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DAE2B" w14:textId="77777777" w:rsidR="0062446E" w:rsidRPr="00647DE4" w:rsidRDefault="0062446E" w:rsidP="00BE7AF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47DE4">
        <w:rPr>
          <w:rFonts w:ascii="Times New Roman" w:hAnsi="Times New Roman" w:cs="Times New Roman"/>
          <w:b/>
          <w:sz w:val="24"/>
          <w:szCs w:val="24"/>
          <w:lang w:val="ro-RO"/>
        </w:rPr>
        <w:t>AVIZ</w:t>
      </w:r>
    </w:p>
    <w:p w14:paraId="74681983" w14:textId="4460C25D" w:rsidR="00067ED7" w:rsidRPr="005B050F" w:rsidRDefault="00067ED7" w:rsidP="00694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Universitatea de Stat din Moldova  lansează seria de </w:t>
      </w:r>
      <w:r w:rsidRPr="005B050F">
        <w:rPr>
          <w:rFonts w:ascii="Times New Roman" w:hAnsi="Times New Roman" w:cs="Times New Roman"/>
          <w:b/>
          <w:sz w:val="24"/>
          <w:szCs w:val="24"/>
          <w:lang w:val="ro-RO"/>
        </w:rPr>
        <w:t>conferințe  universitare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 cu participarea personalităților notorii ale comunității academice.</w:t>
      </w:r>
    </w:p>
    <w:p w14:paraId="58A7B0B9" w14:textId="77777777" w:rsidR="00067ED7" w:rsidRPr="005B050F" w:rsidRDefault="00067ED7" w:rsidP="00694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În debut, luni, 31 mai 2021, la ora 14.00, Vă invităm la  prelegerea publică online: </w:t>
      </w:r>
      <w:r w:rsidR="005B050F" w:rsidRPr="005B050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5B050F">
        <w:rPr>
          <w:rFonts w:ascii="Times New Roman" w:hAnsi="Times New Roman" w:cs="Times New Roman"/>
          <w:b/>
          <w:sz w:val="24"/>
          <w:szCs w:val="24"/>
          <w:lang w:val="ro-RO"/>
        </w:rPr>
        <w:t>Mo</w:t>
      </w:r>
      <w:r w:rsidR="005B050F" w:rsidRPr="005B050F">
        <w:rPr>
          <w:rFonts w:ascii="Times New Roman" w:hAnsi="Times New Roman" w:cs="Times New Roman"/>
          <w:b/>
          <w:sz w:val="24"/>
          <w:szCs w:val="24"/>
          <w:lang w:val="ro-RO"/>
        </w:rPr>
        <w:t>delul oportunităților pierdute –</w:t>
      </w:r>
      <w:r w:rsidRPr="005B05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 nouă abordare a monitorizării, analizei și prognozării statisticilor guvernamentale privind epidemia de coronavirus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>”, organizată cu suportul Facultății de Chimie</w:t>
      </w:r>
      <w:r w:rsidR="007C7AA3"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și Tehnologie Chimică 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a USM.</w:t>
      </w:r>
    </w:p>
    <w:p w14:paraId="3433860B" w14:textId="77777777" w:rsidR="00067ED7" w:rsidRPr="005B050F" w:rsidRDefault="00067ED7" w:rsidP="00694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050F">
        <w:rPr>
          <w:rFonts w:ascii="Times New Roman" w:hAnsi="Times New Roman" w:cs="Times New Roman"/>
          <w:b/>
          <w:sz w:val="24"/>
          <w:szCs w:val="24"/>
          <w:lang w:val="ro-RO"/>
        </w:rPr>
        <w:t>Conferențiar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:  prof. univ. </w:t>
      </w:r>
      <w:r w:rsidRPr="00BE7AF3">
        <w:rPr>
          <w:rFonts w:ascii="Times New Roman" w:hAnsi="Times New Roman" w:cs="Times New Roman"/>
          <w:b/>
          <w:bCs/>
          <w:sz w:val="24"/>
          <w:szCs w:val="24"/>
          <w:lang w:val="ro-RO"/>
        </w:rPr>
        <w:t>Serghei Abramov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>, membru corespondent al Academiei de Științe din Rusia, director al Institutului Sisteme de programare</w:t>
      </w:r>
      <w:r w:rsidR="007C7AA3" w:rsidRPr="005B050F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5B050F">
        <w:rPr>
          <w:rFonts w:ascii="Times New Roman" w:hAnsi="Times New Roman" w:cs="Times New Roman"/>
          <w:sz w:val="24"/>
          <w:szCs w:val="24"/>
          <w:lang w:val="ro-RO"/>
        </w:rPr>
        <w:t>I.K. Ailamazyan”.</w:t>
      </w:r>
    </w:p>
    <w:p w14:paraId="37AA2FDC" w14:textId="77777777" w:rsidR="00067ED7" w:rsidRPr="005B050F" w:rsidRDefault="00067ED7" w:rsidP="00694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Această lecție publică  este prilejuită de conlucrarea, în cadrul unui proiect de cercetare științifică mai larg, </w:t>
      </w:r>
      <w:r w:rsidR="007C7AA3"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050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C7AA3"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patru savanți </w:t>
      </w:r>
      <w:r w:rsidR="007C7AA3" w:rsidRPr="005B050F">
        <w:rPr>
          <w:rFonts w:ascii="Times New Roman" w:hAnsi="Times New Roman" w:cs="Times New Roman"/>
          <w:sz w:val="24"/>
          <w:szCs w:val="24"/>
          <w:lang w:val="ro-RO"/>
        </w:rPr>
        <w:t>consacrați: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547"/>
      </w:tblGrid>
      <w:tr w:rsidR="00954770" w:rsidRPr="004078E0" w14:paraId="2566E652" w14:textId="77777777" w:rsidTr="00694FBA">
        <w:tc>
          <w:tcPr>
            <w:tcW w:w="1809" w:type="dxa"/>
          </w:tcPr>
          <w:p w14:paraId="5759A832" w14:textId="2BBDF123" w:rsidR="00647DE4" w:rsidRDefault="00647DE4" w:rsidP="00694FBA">
            <w:pPr>
              <w:jc w:val="center"/>
              <w:rPr>
                <w:noProof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val="en-US" w:eastAsia="ru-RU"/>
              </w:rPr>
              <w:t>A</w:t>
            </w:r>
            <w:r w:rsidRPr="0095477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val="en-US" w:eastAsia="ru-RU"/>
              </w:rPr>
              <w:t>cademician Gheorghe DUCA</w:t>
            </w:r>
          </w:p>
          <w:p w14:paraId="259668EC" w14:textId="77777777" w:rsidR="00647DE4" w:rsidRDefault="00647DE4" w:rsidP="00694FBA">
            <w:pPr>
              <w:rPr>
                <w:noProof/>
                <w:lang w:val="ro-RO" w:eastAsia="ru-RU"/>
              </w:rPr>
            </w:pPr>
          </w:p>
          <w:p w14:paraId="1643E8A6" w14:textId="77777777" w:rsidR="00647DE4" w:rsidRDefault="00647DE4" w:rsidP="00694FBA">
            <w:pPr>
              <w:rPr>
                <w:noProof/>
                <w:lang w:val="ro-RO" w:eastAsia="ru-RU"/>
              </w:rPr>
            </w:pPr>
          </w:p>
          <w:p w14:paraId="33521CB2" w14:textId="5A5CDDDB" w:rsidR="00954770" w:rsidRDefault="00954770" w:rsidP="00694F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174F48" wp14:editId="43BC8054">
                  <wp:extent cx="950026" cy="704025"/>
                  <wp:effectExtent l="19050" t="19050" r="21590" b="20320"/>
                  <wp:docPr id="1" name="Рисунок 1" descr="Gheorghe Duca a demisionat din funcţia de preşedinte al Academiei de  Ştiinţe a Moldovei - FLUX on-lineFLUX on-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heorghe Duca a demisionat din funcţia de preşedinte al Academiei de  Ştiinţe a Moldovei - FLUX on-lineFLUX on-l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1" r="28261"/>
                          <a:stretch/>
                        </pic:blipFill>
                        <pic:spPr bwMode="auto">
                          <a:xfrm>
                            <a:off x="0" y="0"/>
                            <a:ext cx="950852" cy="704637"/>
                          </a:xfrm>
                          <a:prstGeom prst="rect">
                            <a:avLst/>
                          </a:prstGeom>
                          <a:noFill/>
                          <a:ln w="25400"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14:paraId="7023B86B" w14:textId="4D80336D" w:rsidR="00954770" w:rsidRDefault="00954770" w:rsidP="004078E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477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val="en-US" w:eastAsia="ru-RU"/>
              </w:rPr>
              <w:t>Gheorghe DUCA, academician</w:t>
            </w:r>
            <w:r w:rsidRPr="00647DE4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doctor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habilitat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în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chimie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profesor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universitar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președinte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AȘM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perioada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2004-2018</w:t>
            </w:r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Director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Centru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Chimie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fizică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și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anorganică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Institutul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Chimie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titularul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discipliei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Chimie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ecologică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facultatea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Chimie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și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Tehnologie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Chimică</w:t>
            </w:r>
            <w:proofErr w:type="spellEnd"/>
            <w:r w:rsidRPr="009547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USM.</w:t>
            </w:r>
            <w:r w:rsidR="00407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dezvoltat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și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elaborat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cursurile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chimie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fizică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chimie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tehnologică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chimie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ecologică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și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chimia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mediului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metode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fizice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cercetare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procese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și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aparate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evaluarea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riscului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chimic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cinetica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și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termodinamica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sistemelor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ecologice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A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ținut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prelegeri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la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Universitatea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de Stat din Moldova,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Universitatea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de Stat „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Dmitrie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Cantemir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" (Moldova),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Universitățile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din Roma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și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Turin (Italia), Texas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și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California (SUA), Zurich (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Elveția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),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Praga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Cehia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),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Iași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Timișoara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Cluj,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București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și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Oradea (</w:t>
            </w:r>
            <w:proofErr w:type="spellStart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România</w:t>
            </w:r>
            <w:proofErr w:type="spellEnd"/>
            <w:r w:rsidRPr="00954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). </w:t>
            </w:r>
          </w:p>
        </w:tc>
      </w:tr>
      <w:tr w:rsidR="00954770" w:rsidRPr="004078E0" w14:paraId="2CD3D10F" w14:textId="77777777" w:rsidTr="00694FBA">
        <w:tc>
          <w:tcPr>
            <w:tcW w:w="1809" w:type="dxa"/>
          </w:tcPr>
          <w:p w14:paraId="76386994" w14:textId="77777777" w:rsidR="00647DE4" w:rsidRDefault="00647DE4" w:rsidP="00694F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47D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M.cor.</w:t>
            </w:r>
            <w:r w:rsidRPr="00C16E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0BFAEA4F" w14:textId="2FB5C7D1" w:rsidR="00647DE4" w:rsidRDefault="00647DE4" w:rsidP="00694FBA">
            <w:pPr>
              <w:ind w:right="-108"/>
              <w:jc w:val="both"/>
              <w:rPr>
                <w:noProof/>
                <w:lang w:val="ro-RO" w:eastAsia="ru-RU"/>
              </w:rPr>
            </w:pPr>
            <w:r w:rsidRPr="00C16E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Sergey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A</w:t>
            </w:r>
            <w:r w:rsidRPr="00C16E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BRAMOV</w:t>
            </w:r>
          </w:p>
          <w:p w14:paraId="33FBA0EE" w14:textId="77777777" w:rsidR="00647DE4" w:rsidRDefault="00647DE4" w:rsidP="00694FBA">
            <w:pPr>
              <w:rPr>
                <w:noProof/>
                <w:lang w:val="ro-RO" w:eastAsia="ru-RU"/>
              </w:rPr>
            </w:pPr>
          </w:p>
          <w:p w14:paraId="779E9E98" w14:textId="6A9ED583" w:rsidR="00954770" w:rsidRDefault="00CF773D" w:rsidP="00694F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1DF3B6" wp14:editId="467A9D6D">
                  <wp:extent cx="952500" cy="633453"/>
                  <wp:effectExtent l="19050" t="19050" r="19050" b="14605"/>
                  <wp:docPr id="2" name="Рисунок 2" descr="P-abramov-sm-8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-abramov-sm-8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71" cy="640217"/>
                          </a:xfrm>
                          <a:prstGeom prst="rect">
                            <a:avLst/>
                          </a:prstGeom>
                          <a:noFill/>
                          <a:ln w="25400"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14:paraId="3ECEC15F" w14:textId="77777777" w:rsidR="00694FBA" w:rsidRDefault="00694FBA" w:rsidP="00694F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1B372003" w14:textId="52599C81" w:rsidR="00954770" w:rsidRPr="00C16E3C" w:rsidRDefault="00CF773D" w:rsidP="00694F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47D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M.cor.</w:t>
            </w:r>
            <w:r w:rsidRPr="00C16E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16E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Sergey Abramov,</w:t>
            </w:r>
            <w:r w:rsidRPr="00C16E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Institutul „I.K. Ailamazyan”,  Academia de Științe din Rusia (Rusia)</w:t>
            </w:r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Savant, specialist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domeniul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programării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sistemelor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tehnologiilor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informaționale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sisteme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supercomputer,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telecomunicații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teoria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metasistemelor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constructive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meta-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calcule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Profesor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doctor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științe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fizice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matematice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membru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corespondent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Academiei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Științe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Rusia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(2006). Director al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Institutului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sisteme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programe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Academiei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Științe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Rusia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rector al A.K.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Ailamazyan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USP.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Supraveghetor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științific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Rusia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programelor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SKIF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SKIF-GRID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dezvoltarea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supercomputerelor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(un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proiect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statului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uniunii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Rusia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Belarus). Specialist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domeniul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programării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sistemelor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tehnologiei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informației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sisteme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supercomputer,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telecomunicații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teoria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metasistemelor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constructive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metacomputații</w:t>
            </w:r>
            <w:proofErr w:type="spellEnd"/>
            <w:r w:rsidRPr="00C1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</w:tr>
      <w:tr w:rsidR="00954770" w:rsidRPr="004078E0" w14:paraId="6CB040D1" w14:textId="77777777" w:rsidTr="00694FBA">
        <w:tc>
          <w:tcPr>
            <w:tcW w:w="1809" w:type="dxa"/>
          </w:tcPr>
          <w:p w14:paraId="506EDF68" w14:textId="77777777" w:rsidR="00647DE4" w:rsidRDefault="00647DE4" w:rsidP="00694F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47D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M.cor.</w:t>
            </w: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</w:p>
          <w:p w14:paraId="59B8E4DB" w14:textId="59C36B2C" w:rsidR="00647DE4" w:rsidRDefault="00647DE4" w:rsidP="00694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40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Sergey TRAVIN</w:t>
            </w:r>
          </w:p>
          <w:p w14:paraId="5507E83E" w14:textId="54A367E6" w:rsidR="00954770" w:rsidRDefault="00C16E3C" w:rsidP="00694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6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D5CEE7" wp14:editId="4050E3EA">
                  <wp:extent cx="419100" cy="542925"/>
                  <wp:effectExtent l="19050" t="19050" r="19050" b="28575"/>
                  <wp:docPr id="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99"/>
                          <a:stretch/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25400"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/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14:paraId="1CDD3886" w14:textId="77777777" w:rsidR="00694FBA" w:rsidRDefault="00694FBA" w:rsidP="00694F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656A6A" w14:textId="6B14892A" w:rsidR="00954770" w:rsidRPr="00F940DD" w:rsidRDefault="00C16E3C" w:rsidP="00694F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M.cor.  </w:t>
            </w:r>
            <w:r w:rsidRPr="00F940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Sergey Travin,</w:t>
            </w: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Institutul de Fizică Chimică  „N.N. Semenov” (Rusia).</w:t>
            </w:r>
            <w:r w:rsidR="00F940DD" w:rsidRPr="00F940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940DD"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Savant, activează în laborator științific de cataliză a proceselor de oxido-reducere, specialist în domeniul dinamicii și legităților proceselor chimice și biologice. </w:t>
            </w:r>
          </w:p>
        </w:tc>
      </w:tr>
      <w:tr w:rsidR="00954770" w:rsidRPr="004078E0" w14:paraId="228831E7" w14:textId="77777777" w:rsidTr="00694FBA">
        <w:tc>
          <w:tcPr>
            <w:tcW w:w="1809" w:type="dxa"/>
          </w:tcPr>
          <w:p w14:paraId="24C74847" w14:textId="77777777" w:rsidR="00647DE4" w:rsidRDefault="00647DE4" w:rsidP="00694F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47D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M.cor</w:t>
            </w: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 </w:t>
            </w:r>
          </w:p>
          <w:p w14:paraId="42C4BF9C" w14:textId="75F35E2B" w:rsidR="00647DE4" w:rsidRDefault="00647DE4" w:rsidP="00694FBA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40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Radu-Emil PREKUP</w:t>
            </w:r>
          </w:p>
          <w:p w14:paraId="10F7A827" w14:textId="77777777" w:rsidR="00647DE4" w:rsidRDefault="00647DE4" w:rsidP="00694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B389BD" w14:textId="01F3120C" w:rsidR="00954770" w:rsidRDefault="00647DE4" w:rsidP="00694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920A3C" wp14:editId="3D6957D1">
                  <wp:extent cx="523875" cy="523875"/>
                  <wp:effectExtent l="19050" t="19050" r="28575" b="28575"/>
                  <wp:docPr id="3" name="Рисунок 3" descr="http://www.aut.upt.ro/~rprecup/index_files/PhotoRa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.upt.ro/~rprecup/index_files/PhotoRad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9" t="6902" b="42536"/>
                          <a:stretch/>
                        </pic:blipFill>
                        <pic:spPr bwMode="auto">
                          <a:xfrm>
                            <a:off x="0" y="0"/>
                            <a:ext cx="539241" cy="539241"/>
                          </a:xfrm>
                          <a:prstGeom prst="rect">
                            <a:avLst/>
                          </a:prstGeom>
                          <a:noFill/>
                          <a:ln w="25400"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14:paraId="6DCE2C71" w14:textId="77777777" w:rsidR="00694FBA" w:rsidRDefault="00694FBA" w:rsidP="00694F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B7DC38" w14:textId="55A4BC7F" w:rsidR="00954770" w:rsidRPr="00F940DD" w:rsidRDefault="00F940DD" w:rsidP="004078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M.cor.  </w:t>
            </w:r>
            <w:r w:rsidRPr="00F940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Radu-Emil Prekup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Universitatea Politehnică din Timișoara (România).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Domenii de interes științific:</w:t>
            </w:r>
            <w:r w:rsidR="004078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47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d</w:t>
            </w: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ezvoltarea și analiza noilor structuri de control și algoritmi, inclusiv control convențional, control fuzzy, control bazat pe date, control fără model, etc.</w:t>
            </w:r>
            <w:r w:rsidR="00647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4078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47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t</w:t>
            </w: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eoria și aplicațiile soft computingului</w:t>
            </w:r>
            <w:r w:rsidR="00647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4078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47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m</w:t>
            </w: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odelarea, identificarea și optimizarea sistemelor (inclusiv algoritmi inspirați din natură)</w:t>
            </w:r>
            <w:r w:rsidR="00647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4078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47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p</w:t>
            </w: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roiectarea computerizată a sistemelor de control</w:t>
            </w:r>
            <w:r w:rsidR="00647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4078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47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940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plicații la sistemele mecatronice (inclusiv sisteme auto și roboți mobili), sisteme încorporate, controlul centralelor electrice, sisteme servo, sisteme electrice de acționare etc.</w:t>
            </w:r>
          </w:p>
        </w:tc>
      </w:tr>
    </w:tbl>
    <w:p w14:paraId="7E9EFEC9" w14:textId="77777777" w:rsidR="00954770" w:rsidRDefault="00954770" w:rsidP="00694FB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40DA664" w14:textId="6B8E6125" w:rsidR="0062446E" w:rsidRPr="005B050F" w:rsidRDefault="005B050F" w:rsidP="00694FB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5B050F">
        <w:rPr>
          <w:rFonts w:ascii="Times New Roman" w:hAnsi="Times New Roman" w:cs="Times New Roman"/>
          <w:sz w:val="24"/>
          <w:szCs w:val="24"/>
          <w:lang w:val="ro-RO"/>
        </w:rPr>
        <w:t>În cadrul prelegerii, autorii vor vorbi despre întrebările –  și posibilele răspunsuri  –, puse în fa</w:t>
      </w:r>
      <w:r w:rsidR="00647DE4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647D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>a omenirii de către epidemia de coronavirus:</w:t>
      </w:r>
      <w:r w:rsidR="0062446E"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AB516D5" w14:textId="77777777" w:rsidR="0062446E" w:rsidRPr="005B050F" w:rsidRDefault="0062446E" w:rsidP="00694FB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5B050F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16B1B">
        <w:rPr>
          <w:rFonts w:ascii="Times New Roman" w:hAnsi="Times New Roman" w:cs="Times New Roman"/>
          <w:b/>
          <w:bCs/>
          <w:sz w:val="24"/>
          <w:szCs w:val="24"/>
          <w:lang w:val="ro-RO"/>
        </w:rPr>
        <w:t>Ce ne așteaptă în viitorul apropiat?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039AE50" w14:textId="77777777" w:rsidR="0062446E" w:rsidRPr="005B050F" w:rsidRDefault="0062446E" w:rsidP="00694FB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5B050F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16B1B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ce fază a epidemiei suntem?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FE1111A" w14:textId="77777777" w:rsidR="0062446E" w:rsidRPr="005B050F" w:rsidRDefault="0062446E" w:rsidP="00694FB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5B050F">
        <w:rPr>
          <w:rFonts w:ascii="Times New Roman" w:hAnsi="Times New Roman" w:cs="Times New Roman"/>
          <w:sz w:val="24"/>
          <w:szCs w:val="24"/>
          <w:lang w:val="ro-RO"/>
        </w:rPr>
        <w:t>3.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16B1B">
        <w:rPr>
          <w:rFonts w:ascii="Times New Roman" w:hAnsi="Times New Roman" w:cs="Times New Roman"/>
          <w:b/>
          <w:bCs/>
          <w:sz w:val="24"/>
          <w:szCs w:val="24"/>
          <w:lang w:val="ro-RO"/>
        </w:rPr>
        <w:t>Când se va termina totul?</w:t>
      </w:r>
    </w:p>
    <w:p w14:paraId="1859C45A" w14:textId="0DC3BA9A" w:rsidR="00DD3013" w:rsidRDefault="0062446E" w:rsidP="00694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Prelegerea </w:t>
      </w:r>
      <w:r w:rsidR="005B050F" w:rsidRPr="005B050F">
        <w:rPr>
          <w:rFonts w:ascii="Times New Roman" w:hAnsi="Times New Roman" w:cs="Times New Roman"/>
          <w:sz w:val="24"/>
          <w:szCs w:val="24"/>
          <w:lang w:val="ro-RO"/>
        </w:rPr>
        <w:t>are în vizor  metodelele  și rezultatele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050F"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aplicării acestor modele 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de analiz</w:t>
      </w:r>
      <w:r w:rsidR="005B050F" w:rsidRPr="005B050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B050F"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precum și 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>prognoz</w:t>
      </w:r>
      <w:r w:rsidR="005B050F"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area  evoluției situației 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pentru trei țări diferite</w:t>
      </w:r>
      <w:r w:rsidR="005B050F"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ca  suprafață, economie 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și populați</w:t>
      </w:r>
      <w:r w:rsidR="005B050F" w:rsidRPr="005B050F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 xml:space="preserve"> - Rusia, România și Moldova. Autorii lucrării prezintă experiență și instrumente în domeniul procesării seriilor temporale, date senzoriale (Sergey Abramov, Radu Prekup), 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lastRenderedPageBreak/>
        <w:t>experiență și metode de analiză și modelare a diferitelor procese, inclusiv</w:t>
      </w:r>
      <w:r w:rsidR="00694FBA">
        <w:rPr>
          <w:rFonts w:ascii="Times New Roman" w:hAnsi="Times New Roman" w:cs="Times New Roman"/>
          <w:sz w:val="24"/>
          <w:szCs w:val="24"/>
          <w:lang w:val="ro-RO"/>
        </w:rPr>
        <w:t>, p</w:t>
      </w:r>
      <w:r w:rsidRPr="005B050F">
        <w:rPr>
          <w:rFonts w:ascii="Times New Roman" w:hAnsi="Times New Roman" w:cs="Times New Roman"/>
          <w:sz w:val="24"/>
          <w:szCs w:val="24"/>
          <w:lang w:val="ro-RO"/>
        </w:rPr>
        <w:t>rocese de autoaccelerare într-un domeniu cu resurse limitate” (Sergey Travin, Gheorghe Duca).</w:t>
      </w:r>
    </w:p>
    <w:p w14:paraId="27248353" w14:textId="77777777" w:rsidR="00694FBA" w:rsidRDefault="00694FBA" w:rsidP="00694FB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2185E4" w14:textId="676F0EFF" w:rsidR="00416B1B" w:rsidRDefault="00416B1B" w:rsidP="00694FBA">
      <w:pPr>
        <w:spacing w:after="0"/>
        <w:rPr>
          <w:lang w:val="ro-RO"/>
        </w:rPr>
      </w:pPr>
      <w:r w:rsidRPr="00694FBA">
        <w:rPr>
          <w:rFonts w:ascii="Times New Roman" w:hAnsi="Times New Roman" w:cs="Times New Roman"/>
          <w:b/>
          <w:sz w:val="24"/>
          <w:szCs w:val="24"/>
          <w:lang w:val="ro-RO"/>
        </w:rPr>
        <w:t>Adresa de contact ZOOM:</w:t>
      </w:r>
      <w:r w:rsidR="00954770" w:rsidRPr="00694F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hyperlink r:id="rId8" w:tgtFrame="_blank" w:history="1">
        <w:r w:rsidR="00954770">
          <w:rPr>
            <w:rStyle w:val="Hyperlink"/>
            <w:rFonts w:ascii="Helvetica" w:hAnsi="Helvetica" w:cs="Helvetica"/>
            <w:color w:val="1155CC"/>
            <w:sz w:val="20"/>
            <w:szCs w:val="20"/>
            <w:shd w:val="clear" w:color="auto" w:fill="FFFFFF"/>
            <w:lang w:val="en-US"/>
          </w:rPr>
          <w:t>https://us02web.zoom.us/j/82222677902?pwd=NGQ4VnpNd0FORHZRVll6cFA2VkVNQT09</w:t>
        </w:r>
      </w:hyperlink>
    </w:p>
    <w:p w14:paraId="2A9F3CF5" w14:textId="77777777" w:rsidR="00954770" w:rsidRPr="00954770" w:rsidRDefault="00954770" w:rsidP="0062446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954770" w:rsidRPr="00954770" w:rsidSect="00694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A3"/>
    <w:rsid w:val="00067ED7"/>
    <w:rsid w:val="0012515B"/>
    <w:rsid w:val="004078E0"/>
    <w:rsid w:val="00416B1B"/>
    <w:rsid w:val="00454183"/>
    <w:rsid w:val="005B050F"/>
    <w:rsid w:val="0062446E"/>
    <w:rsid w:val="00647DE4"/>
    <w:rsid w:val="00694FBA"/>
    <w:rsid w:val="007C7AA3"/>
    <w:rsid w:val="00954770"/>
    <w:rsid w:val="00B02DA3"/>
    <w:rsid w:val="00BE7AF3"/>
    <w:rsid w:val="00C16E3C"/>
    <w:rsid w:val="00CF773D"/>
    <w:rsid w:val="00DD3013"/>
    <w:rsid w:val="00F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D7F77"/>
  <w15:docId w15:val="{C91CC0D2-92AF-9D49-AFD3-F3E1299B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477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4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5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unhideWhenUsed/>
    <w:rsid w:val="0095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222677902?pwd=NGQ4VnpNd0FORHZRVll6cFA2VkVNQT0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219.c</dc:creator>
  <cp:lastModifiedBy>Gheorghe Duca</cp:lastModifiedBy>
  <cp:revision>2</cp:revision>
  <dcterms:created xsi:type="dcterms:W3CDTF">2021-05-28T15:33:00Z</dcterms:created>
  <dcterms:modified xsi:type="dcterms:W3CDTF">2021-05-28T15:33:00Z</dcterms:modified>
</cp:coreProperties>
</file>