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header2.xml" ContentType="application/vnd.openxmlformats-officedocument.wordprocessingml.header+xml"/>
  <Override PartName="/word/media/image9.jpeg" ContentType="image/jpeg"/>
  <Override PartName="/word/media/image2.wmf" ContentType="image/x-wmf"/>
  <Override PartName="/word/media/image1.jpeg" ContentType="image/jpeg"/>
  <Override PartName="/word/media/image4.png" ContentType="image/png"/>
  <Override PartName="/word/media/image3.wmf" ContentType="image/x-wmf"/>
  <Override PartName="/word/media/image5.png" ContentType="image/png"/>
  <Override PartName="/word/media/image8.jpeg" ContentType="image/jpeg"/>
  <Override PartName="/word/media/image6.png" ContentType="image/png"/>
  <Override PartName="/word/media/image7.png" ContentType="image/png"/>
  <Override PartName="/word/media/image10.jpeg" ContentType="image/jpeg"/>
  <Override PartName="/word/media/image11.jpeg" ContentType="image/jpeg"/>
  <Override PartName="/word/media/image12.jpeg" ContentType="image/jpeg"/>
  <Override PartName="/word/media/image19.png" ContentType="image/pn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20.jpeg" ContentType="image/jpeg"/>
  <Override PartName="/word/media/image21.jpeg" ContentType="image/jpeg"/>
  <Override PartName="/word/header1.xml" ContentType="application/vnd.openxmlformats-officedocument.wordprocessingml.header+xml"/>
  <Override PartName="/word/footer3.xml" ContentType="application/vnd.openxmlformats-officedocument.wordprocessingml.footer+xml"/>
  <Override PartName="/word/numbering.xml" ContentType="application/vnd.openxmlformats-officedocument.wordprocessingml.numbering+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tabs>
          <w:tab w:val="left" w:pos="3448" w:leader="none"/>
          <w:tab w:val="left" w:pos="5882" w:leader="none"/>
        </w:tabs>
        <w:bidi w:val="0"/>
        <w:spacing w:before="240" w:after="0"/>
        <w:ind w:left="0" w:right="0" w:hanging="0"/>
        <w:jc w:val="center"/>
        <w:textAlignment w:val="auto"/>
        <w:rPr>
          <w:lang w:val="ro-MD"/>
        </w:rPr>
      </w:pPr>
      <w:r>
        <w:rPr>
          <w:rFonts w:cs="Times New Roman CE" w:ascii="Times New Roman CE" w:hAnsi="Times New Roman CE"/>
          <w:b/>
          <w:spacing w:val="20"/>
          <w:sz w:val="28"/>
          <w:szCs w:val="28"/>
          <w:lang w:val="ro-MD"/>
        </w:rPr>
        <w:t>ACADEMIA DE ŞTIINŢE A MOLDOVEI</w:t>
      </w:r>
    </w:p>
    <w:p>
      <w:pPr>
        <w:pStyle w:val="Normal"/>
        <w:widowControl/>
        <w:pBdr>
          <w:bottom w:val="single" w:sz="12" w:space="1" w:color="000001"/>
        </w:pBdr>
        <w:bidi w:val="0"/>
        <w:ind w:left="0" w:right="0" w:hanging="0"/>
        <w:jc w:val="center"/>
        <w:textAlignment w:val="auto"/>
        <w:rPr>
          <w:rFonts w:ascii="Times New Roman" w:hAnsi="Times New Roman"/>
          <w:lang w:val="ro-MD"/>
        </w:rPr>
      </w:pPr>
      <w:r>
        <w:rPr>
          <w:lang w:val="ro-MD"/>
        </w:rPr>
      </w:r>
    </w:p>
    <w:p>
      <w:pPr>
        <w:pStyle w:val="Style14"/>
        <w:widowControl/>
        <w:bidi w:val="0"/>
        <w:ind w:left="0" w:right="0" w:hanging="0"/>
        <w:jc w:val="center"/>
        <w:textAlignment w:val="auto"/>
        <w:rPr>
          <w:lang w:val="ro-MD"/>
        </w:rPr>
      </w:pPr>
      <w:r>
        <w:rPr>
          <w:rFonts w:cs="Times New Roman CE" w:ascii="Times New Roman CE" w:hAnsi="Times New Roman CE"/>
          <w:lang w:val="ro-MD"/>
        </w:rPr>
        <w:t>Institutul de Matematică şi Informatică</w:t>
      </w:r>
    </w:p>
    <w:p>
      <w:pPr>
        <w:pStyle w:val="Normal"/>
        <w:widowControl/>
        <w:tabs>
          <w:tab w:val="left" w:pos="3448" w:leader="none"/>
          <w:tab w:val="left" w:pos="5882" w:leader="none"/>
        </w:tabs>
        <w:bidi w:val="0"/>
        <w:spacing w:before="240" w:after="0"/>
        <w:ind w:left="0" w:right="0" w:hanging="0"/>
        <w:jc w:val="center"/>
        <w:textAlignment w:val="auto"/>
        <w:rPr>
          <w:rFonts w:ascii="Times New Roman" w:hAnsi="Times New Roman"/>
          <w:i/>
          <w:i/>
          <w:spacing w:val="20"/>
          <w:sz w:val="28"/>
          <w:szCs w:val="28"/>
          <w:lang w:val="ro-MD"/>
        </w:rPr>
      </w:pPr>
      <w:r>
        <w:rPr>
          <w:i/>
          <w:spacing w:val="20"/>
          <w:sz w:val="28"/>
          <w:szCs w:val="28"/>
          <w:lang w:val="ro-MD"/>
        </w:rPr>
      </w:r>
    </w:p>
    <w:p>
      <w:pPr>
        <w:pStyle w:val="Normal"/>
        <w:widowControl/>
        <w:tabs>
          <w:tab w:val="left" w:pos="3448" w:leader="none"/>
          <w:tab w:val="left" w:pos="5882" w:leader="none"/>
        </w:tabs>
        <w:bidi w:val="0"/>
        <w:spacing w:before="240" w:after="0"/>
        <w:ind w:left="0" w:right="0" w:hanging="0"/>
        <w:jc w:val="center"/>
        <w:textAlignment w:val="auto"/>
        <w:rPr>
          <w:rFonts w:ascii="Times New Roman" w:hAnsi="Times New Roman"/>
          <w:i/>
          <w:i/>
          <w:spacing w:val="20"/>
          <w:sz w:val="28"/>
          <w:szCs w:val="28"/>
          <w:lang w:val="ro-MD"/>
        </w:rPr>
      </w:pPr>
      <w:r>
        <w:rPr>
          <w:i/>
          <w:spacing w:val="20"/>
          <w:sz w:val="28"/>
          <w:szCs w:val="28"/>
          <w:lang w:val="ro-MD"/>
        </w:rPr>
      </w:r>
    </w:p>
    <w:p>
      <w:pPr>
        <w:pStyle w:val="Normal"/>
        <w:widowControl/>
        <w:tabs>
          <w:tab w:val="left" w:pos="3448" w:leader="none"/>
          <w:tab w:val="left" w:pos="5882" w:leader="none"/>
        </w:tabs>
        <w:bidi w:val="0"/>
        <w:spacing w:before="240" w:after="0"/>
        <w:ind w:left="0" w:right="0" w:hanging="0"/>
        <w:jc w:val="center"/>
        <w:textAlignment w:val="auto"/>
        <w:rPr>
          <w:rFonts w:ascii="Times New Roman" w:hAnsi="Times New Roman"/>
          <w:i/>
          <w:i/>
          <w:spacing w:val="20"/>
          <w:sz w:val="28"/>
          <w:szCs w:val="28"/>
          <w:lang w:val="ro-MD"/>
        </w:rPr>
      </w:pPr>
      <w:r>
        <w:rPr>
          <w:i/>
          <w:spacing w:val="20"/>
          <w:sz w:val="28"/>
          <w:szCs w:val="28"/>
          <w:lang w:val="ro-MD"/>
        </w:rPr>
      </w:r>
    </w:p>
    <w:p>
      <w:pPr>
        <w:pStyle w:val="Normal"/>
        <w:widowControl/>
        <w:tabs>
          <w:tab w:val="left" w:pos="3448" w:leader="none"/>
          <w:tab w:val="left" w:pos="5882" w:leader="none"/>
        </w:tabs>
        <w:bidi w:val="0"/>
        <w:spacing w:before="240" w:after="0"/>
        <w:ind w:left="0" w:right="0" w:hanging="0"/>
        <w:jc w:val="center"/>
        <w:textAlignment w:val="auto"/>
        <w:rPr>
          <w:rFonts w:ascii="Times New Roman" w:hAnsi="Times New Roman"/>
          <w:i/>
          <w:i/>
          <w:spacing w:val="20"/>
          <w:sz w:val="28"/>
          <w:szCs w:val="28"/>
          <w:lang w:val="ro-MD"/>
        </w:rPr>
      </w:pPr>
      <w:r>
        <w:rPr>
          <w:i/>
          <w:spacing w:val="20"/>
          <w:sz w:val="28"/>
          <w:szCs w:val="28"/>
          <w:lang w:val="ro-MD"/>
        </w:rPr>
      </w:r>
    </w:p>
    <w:p>
      <w:pPr>
        <w:pStyle w:val="Normal"/>
        <w:widowControl/>
        <w:tabs>
          <w:tab w:val="left" w:pos="3448" w:leader="none"/>
          <w:tab w:val="left" w:pos="5882" w:leader="none"/>
        </w:tabs>
        <w:bidi w:val="0"/>
        <w:spacing w:before="240" w:after="0"/>
        <w:ind w:left="0" w:right="0" w:hanging="0"/>
        <w:jc w:val="center"/>
        <w:textAlignment w:val="auto"/>
        <w:rPr>
          <w:lang w:val="ro-MD"/>
        </w:rPr>
      </w:pPr>
      <w:r>
        <w:rPr>
          <w:b/>
          <w:caps/>
          <w:spacing w:val="20"/>
          <w:sz w:val="28"/>
          <w:szCs w:val="28"/>
          <w:lang w:val="ro-MD"/>
        </w:rPr>
        <w:t>Raport</w:t>
      </w:r>
    </w:p>
    <w:p>
      <w:pPr>
        <w:pStyle w:val="Normal"/>
        <w:widowControl/>
        <w:tabs>
          <w:tab w:val="left" w:pos="3448" w:leader="none"/>
          <w:tab w:val="left" w:pos="5882" w:leader="none"/>
        </w:tabs>
        <w:bidi w:val="0"/>
        <w:spacing w:before="240" w:after="0"/>
        <w:ind w:left="0" w:right="0" w:hanging="0"/>
        <w:jc w:val="center"/>
        <w:textAlignment w:val="auto"/>
        <w:rPr>
          <w:lang w:val="ro-MD"/>
        </w:rPr>
      </w:pPr>
      <w:r>
        <w:rPr>
          <w:b/>
          <w:caps/>
          <w:spacing w:val="20"/>
          <w:sz w:val="28"/>
          <w:szCs w:val="28"/>
          <w:lang w:val="ro-MD"/>
        </w:rPr>
        <w:t>Privind</w:t>
      </w:r>
      <w:r>
        <w:rPr>
          <w:b/>
          <w:spacing w:val="20"/>
          <w:sz w:val="28"/>
          <w:szCs w:val="28"/>
          <w:lang w:val="ro-MD"/>
        </w:rPr>
        <w:t xml:space="preserve"> ACTIVITATEA </w:t>
      </w:r>
    </w:p>
    <w:p>
      <w:pPr>
        <w:pStyle w:val="Normal"/>
        <w:widowControl/>
        <w:tabs>
          <w:tab w:val="left" w:pos="3448" w:leader="none"/>
          <w:tab w:val="left" w:pos="5882" w:leader="none"/>
        </w:tabs>
        <w:bidi w:val="0"/>
        <w:spacing w:before="240" w:after="0"/>
        <w:ind w:left="0" w:right="0" w:hanging="0"/>
        <w:jc w:val="center"/>
        <w:textAlignment w:val="auto"/>
        <w:rPr>
          <w:lang w:val="ro-MD"/>
        </w:rPr>
      </w:pPr>
      <w:r>
        <w:rPr>
          <w:rFonts w:cs="Times New Roman CE" w:ascii="Times New Roman CE" w:hAnsi="Times New Roman CE"/>
          <w:b/>
          <w:spacing w:val="20"/>
          <w:sz w:val="28"/>
          <w:szCs w:val="28"/>
          <w:lang w:val="ro-MD"/>
        </w:rPr>
        <w:t xml:space="preserve">ŞTIINŢIFICĂ ŞI INOVAŢIONALĂ </w:t>
      </w:r>
    </w:p>
    <w:p>
      <w:pPr>
        <w:pStyle w:val="Normal"/>
        <w:widowControl/>
        <w:tabs>
          <w:tab w:val="left" w:pos="3448" w:leader="none"/>
          <w:tab w:val="left" w:pos="5882" w:leader="none"/>
        </w:tabs>
        <w:bidi w:val="0"/>
        <w:spacing w:before="240" w:after="0"/>
        <w:ind w:left="0" w:right="0" w:hanging="0"/>
        <w:jc w:val="center"/>
        <w:textAlignment w:val="auto"/>
        <w:rPr>
          <w:lang w:val="ro-MD"/>
        </w:rPr>
      </w:pPr>
      <w:r>
        <w:rPr>
          <w:rFonts w:cs="Times New Roman CE" w:ascii="Times New Roman CE" w:hAnsi="Times New Roman CE"/>
          <w:b/>
          <w:spacing w:val="20"/>
          <w:sz w:val="28"/>
          <w:szCs w:val="28"/>
          <w:lang w:val="ro-MD"/>
        </w:rPr>
        <w:t>în anul</w:t>
      </w:r>
      <w:r>
        <w:rPr>
          <w:b/>
          <w:spacing w:val="20"/>
          <w:sz w:val="28"/>
          <w:szCs w:val="28"/>
          <w:lang w:val="ro-MD"/>
        </w:rPr>
        <w:t xml:space="preserve"> 2016</w:t>
      </w:r>
    </w:p>
    <w:p>
      <w:pPr>
        <w:pStyle w:val="Normal"/>
        <w:widowControl/>
        <w:tabs>
          <w:tab w:val="left" w:pos="3448" w:leader="none"/>
          <w:tab w:val="left" w:pos="5882" w:leader="none"/>
        </w:tabs>
        <w:bidi w:val="0"/>
        <w:spacing w:before="240" w:after="0"/>
        <w:ind w:left="0" w:right="0" w:hanging="0"/>
        <w:jc w:val="both"/>
        <w:textAlignment w:val="auto"/>
        <w:rPr>
          <w:rFonts w:ascii="Times New Roman" w:hAnsi="Times New Roman"/>
          <w:spacing w:val="20"/>
          <w:lang w:val="ro-MD"/>
        </w:rPr>
      </w:pPr>
      <w:r>
        <w:rPr>
          <w:spacing w:val="20"/>
          <w:lang w:val="ro-MD"/>
        </w:rPr>
      </w:r>
    </w:p>
    <w:p>
      <w:pPr>
        <w:pStyle w:val="Normal"/>
        <w:widowControl/>
        <w:tabs>
          <w:tab w:val="left" w:pos="3448" w:leader="none"/>
          <w:tab w:val="left" w:pos="5882" w:leader="none"/>
        </w:tabs>
        <w:bidi w:val="0"/>
        <w:spacing w:before="240" w:after="0"/>
        <w:ind w:left="0" w:right="0" w:hanging="0"/>
        <w:jc w:val="both"/>
        <w:textAlignment w:val="auto"/>
        <w:rPr>
          <w:rFonts w:ascii="Times New Roman" w:hAnsi="Times New Roman"/>
          <w:spacing w:val="20"/>
          <w:lang w:val="ro-MD"/>
        </w:rPr>
      </w:pPr>
      <w:r>
        <w:rPr>
          <w:spacing w:val="20"/>
          <w:lang w:val="ro-MD"/>
        </w:rPr>
      </w:r>
    </w:p>
    <w:p>
      <w:pPr>
        <w:pStyle w:val="Normal"/>
        <w:widowControl/>
        <w:tabs>
          <w:tab w:val="left" w:pos="3448" w:leader="none"/>
          <w:tab w:val="left" w:pos="5882" w:leader="none"/>
        </w:tabs>
        <w:bidi w:val="0"/>
        <w:spacing w:before="240" w:after="0"/>
        <w:ind w:left="0" w:right="0" w:hanging="0"/>
        <w:jc w:val="both"/>
        <w:textAlignment w:val="auto"/>
        <w:rPr>
          <w:rFonts w:ascii="Times New Roman" w:hAnsi="Times New Roman"/>
          <w:spacing w:val="20"/>
          <w:lang w:val="ro-MD"/>
        </w:rPr>
      </w:pPr>
      <w:r>
        <w:rPr>
          <w:spacing w:val="20"/>
          <w:lang w:val="ro-MD"/>
        </w:rPr>
      </w:r>
    </w:p>
    <w:p>
      <w:pPr>
        <w:pStyle w:val="Normal"/>
        <w:widowControl/>
        <w:tabs>
          <w:tab w:val="left" w:pos="4303" w:leader="none"/>
        </w:tabs>
        <w:bidi w:val="0"/>
        <w:spacing w:before="240" w:after="0"/>
        <w:ind w:left="0" w:right="0" w:hanging="0"/>
        <w:jc w:val="both"/>
        <w:textAlignment w:val="auto"/>
        <w:rPr>
          <w:rFonts w:ascii="Times New Roman" w:hAnsi="Times New Roman"/>
          <w:b/>
          <w:b/>
          <w:spacing w:val="20"/>
          <w:lang w:val="ro-MD"/>
        </w:rPr>
      </w:pPr>
      <w:r>
        <w:rPr>
          <w:b/>
          <w:spacing w:val="20"/>
          <w:lang w:val="ro-MD"/>
        </w:rPr>
      </w:r>
    </w:p>
    <w:p>
      <w:pPr>
        <w:pStyle w:val="Normal"/>
        <w:widowControl/>
        <w:tabs>
          <w:tab w:val="left" w:pos="3448" w:leader="none"/>
          <w:tab w:val="left" w:pos="5882" w:leader="none"/>
        </w:tabs>
        <w:bidi w:val="0"/>
        <w:spacing w:before="240" w:after="0"/>
        <w:ind w:left="0" w:right="0" w:hanging="0"/>
        <w:jc w:val="both"/>
        <w:textAlignment w:val="auto"/>
        <w:rPr>
          <w:rFonts w:ascii="Times New Roman" w:hAnsi="Times New Roman"/>
          <w:b/>
          <w:b/>
          <w:spacing w:val="20"/>
          <w:lang w:val="ro-MD"/>
        </w:rPr>
      </w:pPr>
      <w:r>
        <w:rPr>
          <w:b/>
          <w:spacing w:val="20"/>
          <w:lang w:val="ro-MD"/>
        </w:rPr>
      </w:r>
    </w:p>
    <w:p>
      <w:pPr>
        <w:pStyle w:val="Normal"/>
        <w:widowControl/>
        <w:tabs>
          <w:tab w:val="left" w:pos="3448" w:leader="none"/>
          <w:tab w:val="left" w:pos="5882" w:leader="none"/>
        </w:tabs>
        <w:bidi w:val="0"/>
        <w:spacing w:before="240" w:after="0"/>
        <w:ind w:left="0" w:right="0" w:hanging="0"/>
        <w:jc w:val="both"/>
        <w:textAlignment w:val="auto"/>
        <w:rPr>
          <w:rFonts w:ascii="Times New Roman" w:hAnsi="Times New Roman"/>
          <w:b/>
          <w:b/>
          <w:spacing w:val="20"/>
          <w:lang w:val="ro-MD"/>
        </w:rPr>
      </w:pPr>
      <w:r>
        <w:rPr>
          <w:b/>
          <w:spacing w:val="20"/>
          <w:lang w:val="ro-MD"/>
        </w:rPr>
      </w:r>
    </w:p>
    <w:p>
      <w:pPr>
        <w:pStyle w:val="Normal"/>
        <w:widowControl/>
        <w:tabs>
          <w:tab w:val="left" w:pos="3448" w:leader="none"/>
          <w:tab w:val="left" w:pos="5882" w:leader="none"/>
        </w:tabs>
        <w:bidi w:val="0"/>
        <w:spacing w:before="240" w:after="0"/>
        <w:ind w:left="0" w:right="0" w:hanging="0"/>
        <w:jc w:val="both"/>
        <w:textAlignment w:val="auto"/>
        <w:rPr>
          <w:rFonts w:ascii="Times New Roman" w:hAnsi="Times New Roman"/>
          <w:b/>
          <w:b/>
          <w:spacing w:val="20"/>
          <w:lang w:val="ro-MD"/>
        </w:rPr>
      </w:pPr>
      <w:r>
        <w:rPr>
          <w:b/>
          <w:spacing w:val="20"/>
          <w:lang w:val="ro-MD"/>
        </w:rPr>
      </w:r>
    </w:p>
    <w:p>
      <w:pPr>
        <w:pStyle w:val="Normal"/>
        <w:widowControl/>
        <w:tabs>
          <w:tab w:val="left" w:pos="3448" w:leader="none"/>
          <w:tab w:val="left" w:pos="5882" w:leader="none"/>
        </w:tabs>
        <w:bidi w:val="0"/>
        <w:spacing w:before="240" w:after="0"/>
        <w:ind w:left="0" w:right="0" w:hanging="0"/>
        <w:jc w:val="both"/>
        <w:textAlignment w:val="auto"/>
        <w:rPr>
          <w:lang w:val="ro-MD"/>
        </w:rPr>
      </w:pPr>
      <w:r>
        <w:rPr>
          <w:b/>
          <w:spacing w:val="20"/>
          <w:lang w:val="ro-MD"/>
        </w:rPr>
        <w:t xml:space="preserve">Director:  </w:t>
        <w:tab/>
        <w:tab/>
        <w:tab/>
        <w:t>dr.h. COJOCARU Svetlana</w:t>
      </w:r>
    </w:p>
    <w:p>
      <w:pPr>
        <w:pStyle w:val="Normal"/>
        <w:widowControl/>
        <w:tabs>
          <w:tab w:val="left" w:pos="3448" w:leader="none"/>
          <w:tab w:val="left" w:pos="5882" w:leader="none"/>
        </w:tabs>
        <w:bidi w:val="0"/>
        <w:spacing w:before="240" w:after="0"/>
        <w:ind w:left="0" w:right="0" w:hanging="0"/>
        <w:jc w:val="both"/>
        <w:textAlignment w:val="auto"/>
        <w:rPr/>
      </w:pPr>
      <w:r>
        <w:rPr>
          <w:b/>
          <w:spacing w:val="20"/>
          <w:lang w:val="ro-MD"/>
        </w:rPr>
        <w:t xml:space="preserve">Director adjunct: </w:t>
        <w:tab/>
        <w:tab/>
        <w:tab/>
        <w:t xml:space="preserve">dr.    </w:t>
      </w:r>
      <w:r>
        <w:rPr>
          <w:b/>
          <w:spacing w:val="20"/>
          <w:lang w:val="ro-RO"/>
        </w:rPr>
        <w:t xml:space="preserve">CORLAT      </w:t>
      </w:r>
      <w:r>
        <w:rPr>
          <w:b/>
          <w:spacing w:val="20"/>
          <w:lang w:val="ro-MD"/>
        </w:rPr>
        <w:t>Andrei</w:t>
      </w:r>
    </w:p>
    <w:p>
      <w:pPr>
        <w:pStyle w:val="Normal"/>
        <w:widowControl/>
        <w:tabs>
          <w:tab w:val="left" w:pos="3448" w:leader="none"/>
          <w:tab w:val="left" w:pos="5882" w:leader="none"/>
        </w:tabs>
        <w:bidi w:val="0"/>
        <w:spacing w:before="240" w:after="0"/>
        <w:ind w:left="0" w:right="0" w:hanging="0"/>
        <w:jc w:val="both"/>
        <w:textAlignment w:val="auto"/>
        <w:rPr>
          <w:lang w:val="ro-MD"/>
        </w:rPr>
      </w:pPr>
      <w:r>
        <w:rPr>
          <w:rFonts w:cs="Times New Roman CE" w:ascii="Times New Roman CE" w:hAnsi="Times New Roman CE"/>
          <w:b/>
          <w:spacing w:val="20"/>
          <w:lang w:val="ro-MD"/>
        </w:rPr>
        <w:t>Secretar ştiinţifi</w:t>
      </w:r>
      <w:r>
        <w:rPr>
          <w:b/>
          <w:spacing w:val="20"/>
          <w:lang w:val="ro-MD"/>
        </w:rPr>
        <w:t xml:space="preserve">c: </w:t>
        <w:tab/>
        <w:tab/>
        <w:tab/>
        <w:t>dr.     NAVAL       Elvira</w:t>
      </w:r>
    </w:p>
    <w:p>
      <w:pPr>
        <w:pStyle w:val="Normal"/>
        <w:widowControl/>
        <w:tabs>
          <w:tab w:val="left" w:pos="3448" w:leader="none"/>
          <w:tab w:val="left" w:pos="5882" w:leader="none"/>
        </w:tabs>
        <w:bidi w:val="0"/>
        <w:spacing w:before="240" w:after="0"/>
        <w:ind w:left="0" w:right="0" w:hanging="0"/>
        <w:jc w:val="both"/>
        <w:textAlignment w:val="auto"/>
        <w:rPr>
          <w:lang w:val="ro-MD"/>
        </w:rPr>
      </w:pPr>
      <w:r>
        <w:rPr>
          <w:rFonts w:cs="Times New Roman CE" w:ascii="Times New Roman CE" w:hAnsi="Times New Roman CE"/>
          <w:b/>
          <w:spacing w:val="20"/>
          <w:lang w:val="ro-MD"/>
        </w:rPr>
        <w:t xml:space="preserve">Contabil şef: </w:t>
      </w:r>
      <w:r>
        <w:rPr>
          <w:b/>
          <w:spacing w:val="20"/>
          <w:lang w:val="ro-MD"/>
        </w:rPr>
        <w:tab/>
        <w:tab/>
        <w:tab/>
        <w:tab/>
        <w:t>URSU          Lidia</w:t>
      </w:r>
    </w:p>
    <w:p>
      <w:pPr>
        <w:pStyle w:val="Normal"/>
        <w:widowControl/>
        <w:tabs>
          <w:tab w:val="left" w:pos="3448" w:leader="none"/>
          <w:tab w:val="left" w:pos="5882" w:leader="none"/>
        </w:tabs>
        <w:bidi w:val="0"/>
        <w:spacing w:before="240" w:after="0"/>
        <w:ind w:left="0" w:right="0" w:hanging="0"/>
        <w:jc w:val="both"/>
        <w:textAlignment w:val="auto"/>
        <w:rPr>
          <w:rFonts w:ascii="Times New Roman" w:hAnsi="Times New Roman"/>
          <w:b/>
          <w:b/>
          <w:spacing w:val="20"/>
          <w:lang w:val="ro-MD"/>
        </w:rPr>
      </w:pPr>
      <w:r>
        <w:rPr>
          <w:b/>
          <w:spacing w:val="20"/>
          <w:lang w:val="ro-MD"/>
        </w:rPr>
      </w:r>
    </w:p>
    <w:p>
      <w:pPr>
        <w:pStyle w:val="Normal"/>
        <w:widowControl/>
        <w:tabs>
          <w:tab w:val="left" w:pos="3448" w:leader="none"/>
          <w:tab w:val="left" w:pos="5882" w:leader="none"/>
        </w:tabs>
        <w:bidi w:val="0"/>
        <w:spacing w:before="240" w:after="0"/>
        <w:ind w:left="0" w:right="0" w:hanging="0"/>
        <w:jc w:val="both"/>
        <w:textAlignment w:val="auto"/>
        <w:rPr>
          <w:rFonts w:ascii="Times New Roman" w:hAnsi="Times New Roman"/>
          <w:b/>
          <w:b/>
          <w:spacing w:val="20"/>
          <w:lang w:val="ro-MD"/>
        </w:rPr>
      </w:pPr>
      <w:r>
        <w:rPr>
          <w:b/>
          <w:spacing w:val="20"/>
          <w:lang w:val="ro-MD"/>
        </w:rPr>
      </w:r>
    </w:p>
    <w:p>
      <w:pPr>
        <w:pStyle w:val="Normal"/>
        <w:widowControl/>
        <w:tabs>
          <w:tab w:val="left" w:pos="3448" w:leader="none"/>
          <w:tab w:val="left" w:pos="5882" w:leader="none"/>
        </w:tabs>
        <w:bidi w:val="0"/>
        <w:spacing w:before="240" w:after="0"/>
        <w:ind w:left="0" w:right="0" w:hanging="0"/>
        <w:jc w:val="both"/>
        <w:textAlignment w:val="auto"/>
        <w:rPr>
          <w:rFonts w:ascii="Times New Roman" w:hAnsi="Times New Roman"/>
          <w:b/>
          <w:b/>
          <w:spacing w:val="20"/>
          <w:lang w:val="ro-MD"/>
        </w:rPr>
      </w:pPr>
      <w:r>
        <w:rPr>
          <w:b/>
          <w:spacing w:val="20"/>
          <w:lang w:val="ro-MD"/>
        </w:rPr>
      </w:r>
    </w:p>
    <w:p>
      <w:pPr>
        <w:pStyle w:val="Normal"/>
        <w:widowControl/>
        <w:tabs>
          <w:tab w:val="left" w:pos="3448" w:leader="none"/>
          <w:tab w:val="left" w:pos="5882" w:leader="none"/>
        </w:tabs>
        <w:bidi w:val="0"/>
        <w:spacing w:before="240" w:after="0"/>
        <w:ind w:left="0" w:right="0" w:hanging="0"/>
        <w:jc w:val="both"/>
        <w:textAlignment w:val="auto"/>
        <w:rPr>
          <w:rFonts w:ascii="Times New Roman" w:hAnsi="Times New Roman"/>
          <w:b/>
          <w:b/>
          <w:spacing w:val="20"/>
          <w:lang w:val="ro-MD"/>
        </w:rPr>
      </w:pPr>
      <w:r>
        <w:rPr>
          <w:b/>
          <w:spacing w:val="20"/>
          <w:lang w:val="ro-MD"/>
        </w:rPr>
      </w:r>
    </w:p>
    <w:p>
      <w:pPr>
        <w:pStyle w:val="Normal"/>
        <w:widowControl/>
        <w:tabs>
          <w:tab w:val="left" w:pos="3448" w:leader="none"/>
          <w:tab w:val="left" w:pos="5882" w:leader="none"/>
        </w:tabs>
        <w:bidi w:val="0"/>
        <w:spacing w:before="240" w:after="0"/>
        <w:ind w:left="0" w:right="0" w:hanging="0"/>
        <w:jc w:val="both"/>
        <w:textAlignment w:val="auto"/>
        <w:rPr>
          <w:rFonts w:ascii="Times New Roman" w:hAnsi="Times New Roman"/>
          <w:b/>
          <w:b/>
          <w:spacing w:val="20"/>
          <w:lang w:val="ro-MD"/>
        </w:rPr>
      </w:pPr>
      <w:r>
        <w:rPr>
          <w:b/>
          <w:spacing w:val="20"/>
          <w:lang w:val="ro-MD"/>
        </w:rPr>
      </w:r>
    </w:p>
    <w:p>
      <w:pPr>
        <w:pStyle w:val="Normal"/>
        <w:widowControl/>
        <w:tabs>
          <w:tab w:val="left" w:pos="3448" w:leader="none"/>
          <w:tab w:val="left" w:pos="5882" w:leader="none"/>
        </w:tabs>
        <w:bidi w:val="0"/>
        <w:spacing w:before="240" w:after="0"/>
        <w:ind w:left="0" w:right="0" w:hanging="0"/>
        <w:jc w:val="center"/>
        <w:textAlignment w:val="auto"/>
        <w:rPr>
          <w:lang w:val="ro-MD"/>
        </w:rPr>
      </w:pPr>
      <w:r>
        <w:rPr>
          <w:b/>
          <w:spacing w:val="20"/>
          <w:lang w:val="ro-MD"/>
        </w:rPr>
        <w:t>CHI</w:t>
      </w:r>
      <w:r>
        <w:rPr>
          <w:rFonts w:cs="Times New Roman CE" w:ascii="Times New Roman CE" w:hAnsi="Times New Roman CE"/>
          <w:b/>
          <w:spacing w:val="20"/>
          <w:lang w:val="ro-MD"/>
        </w:rPr>
        <w:t>Ş</w:t>
      </w:r>
      <w:r>
        <w:rPr>
          <w:b/>
          <w:spacing w:val="20"/>
          <w:lang w:val="ro-MD"/>
        </w:rPr>
        <w:t>IN</w:t>
      </w:r>
      <w:r>
        <w:rPr>
          <w:rFonts w:cs="Times New Roman CE" w:ascii="Times New Roman CE" w:hAnsi="Times New Roman CE"/>
          <w:b/>
          <w:spacing w:val="20"/>
          <w:lang w:val="ro-MD"/>
        </w:rPr>
        <w:t>Ă</w:t>
      </w:r>
      <w:r>
        <w:rPr>
          <w:b/>
          <w:spacing w:val="20"/>
          <w:lang w:val="ro-MD"/>
        </w:rPr>
        <w:t xml:space="preserve">U – 2016  </w:t>
      </w:r>
    </w:p>
    <w:p>
      <w:pPr>
        <w:sectPr>
          <w:type w:val="nextPage"/>
          <w:pgSz w:w="11906" w:h="16838"/>
          <w:pgMar w:left="1134" w:right="851" w:header="0" w:top="851" w:footer="0" w:bottom="567" w:gutter="0"/>
          <w:pgNumType w:start="1" w:fmt="decimal"/>
          <w:formProt w:val="false"/>
          <w:textDirection w:val="lrTb"/>
          <w:docGrid w:type="default" w:linePitch="240" w:charSpace="4294961151"/>
        </w:sectPr>
        <w:pStyle w:val="Normal"/>
        <w:widowControl/>
        <w:pBdr/>
        <w:tabs>
          <w:tab w:val="left" w:pos="3448" w:leader="none"/>
          <w:tab w:val="left" w:pos="5882" w:leader="none"/>
        </w:tabs>
        <w:bidi w:val="0"/>
        <w:spacing w:before="240" w:after="0"/>
        <w:ind w:left="0" w:right="0" w:hanging="0"/>
        <w:jc w:val="right"/>
        <w:textAlignment w:val="auto"/>
        <w:rPr>
          <w:lang w:val="ro-RO"/>
        </w:rPr>
      </w:pPr>
      <w:r>
        <w:rPr>
          <w:lang w:val="ro-RO"/>
        </w:rPr>
      </w:r>
    </w:p>
    <w:p>
      <w:pPr>
        <w:pStyle w:val="Normal"/>
        <w:widowControl/>
        <w:bidi w:val="0"/>
        <w:ind w:left="0" w:right="0" w:hanging="0"/>
        <w:jc w:val="left"/>
        <w:textAlignment w:val="auto"/>
        <w:rPr>
          <w:lang w:val="en-US"/>
        </w:rPr>
      </w:pPr>
      <w:bookmarkStart w:id="0" w:name="_Forma_1_-_Organigrama"/>
      <w:bookmarkEnd w:id="0"/>
      <w:r>
        <w:rPr>
          <w:sz w:val="30"/>
          <w:szCs w:val="30"/>
          <w:lang w:val="en-US"/>
        </w:rPr>
        <w:t>C U P R I N S</w:t>
      </w:r>
    </w:p>
    <w:p>
      <w:pPr>
        <w:pStyle w:val="Normal"/>
        <w:widowControl/>
        <w:bidi w:val="0"/>
        <w:ind w:left="0" w:right="0" w:hanging="0"/>
        <w:jc w:val="center"/>
        <w:textAlignment w:val="auto"/>
        <w:rPr/>
      </w:pPr>
      <w:r>
        <w:rPr/>
      </w:r>
    </w:p>
    <w:p>
      <w:pPr>
        <w:pStyle w:val="11"/>
        <w:widowControl/>
        <w:tabs>
          <w:tab w:val="right" w:pos="9799" w:leader="dot"/>
        </w:tabs>
        <w:bidi w:val="0"/>
        <w:ind w:left="0" w:right="0" w:hanging="0"/>
        <w:jc w:val="left"/>
        <w:textAlignment w:val="auto"/>
        <w:rPr>
          <w:b w:val="false"/>
          <w:b w:val="false"/>
        </w:rPr>
      </w:pPr>
      <w:r>
        <w:fldChar w:fldCharType="begin"/>
      </w:r>
      <w:r>
        <w:instrText> TOC \z \o "1-3" \u \h</w:instrText>
      </w:r>
      <w:r>
        <w:fldChar w:fldCharType="separate"/>
      </w:r>
      <w:hyperlink w:anchor="_Toc469651872">
        <w:r>
          <w:rPr>
            <w:webHidden/>
            <w:rStyle w:val="Style8"/>
            <w:lang w:val="ru-RU" w:eastAsia="ru-RU" w:bidi="ar-SA"/>
          </w:rPr>
          <w:t>Forma 1 – Organigrama</w:t>
        </w:r>
        <w:r>
          <w:rPr>
            <w:webHidden/>
          </w:rPr>
          <w:fldChar w:fldCharType="begin"/>
        </w:r>
        <w:r>
          <w:rPr>
            <w:webHidden/>
          </w:rPr>
          <w:instrText>PAGEREF _Toc469651872 \h</w:instrText>
        </w:r>
        <w:r>
          <w:rPr>
            <w:webHidden/>
          </w:rPr>
          <w:fldChar w:fldCharType="separate"/>
        </w:r>
        <w:r>
          <w:rPr>
            <w:rStyle w:val="Style8"/>
          </w:rPr>
          <w:tab/>
          <w:t>4</w:t>
        </w:r>
        <w:r>
          <w:rPr>
            <w:webHidden/>
          </w:rPr>
          <w:fldChar w:fldCharType="end"/>
        </w:r>
      </w:hyperlink>
    </w:p>
    <w:p>
      <w:pPr>
        <w:pStyle w:val="11"/>
        <w:widowControl/>
        <w:tabs>
          <w:tab w:val="right" w:pos="9799" w:leader="dot"/>
        </w:tabs>
        <w:bidi w:val="0"/>
        <w:ind w:left="0" w:right="0" w:hanging="0"/>
        <w:jc w:val="left"/>
        <w:textAlignment w:val="auto"/>
        <w:rPr>
          <w:b w:val="false"/>
          <w:b w:val="false"/>
          <w:lang w:val="ru-RU"/>
        </w:rPr>
      </w:pPr>
      <w:hyperlink w:anchor="_Toc469651873">
        <w:r>
          <w:rPr>
            <w:webHidden/>
            <w:rStyle w:val="Style8"/>
            <w:rFonts w:cs="Times New Roman CE" w:ascii="Times New Roman CE" w:hAnsi="Times New Roman CE"/>
            <w:lang w:val="ru-RU" w:eastAsia="ru-RU" w:bidi="ar-SA"/>
          </w:rPr>
          <w:t>Fiş</w:t>
        </w:r>
        <w:r>
          <w:rPr>
            <w:rStyle w:val="Style8"/>
            <w:lang w:val="ru-RU" w:eastAsia="ru-RU" w:bidi="ar-SA"/>
          </w:rPr>
          <w:t xml:space="preserve">ele proiectelor </w:t>
        </w:r>
        <w:r>
          <w:rPr>
            <w:rStyle w:val="Style8"/>
            <w:rFonts w:cs="Times New Roman CE" w:ascii="Times New Roman CE" w:hAnsi="Times New Roman CE"/>
            <w:lang w:val="ru-RU" w:eastAsia="ru-RU" w:bidi="ar-SA"/>
          </w:rPr>
          <w:t>de cercetări fundamentale  (</w:t>
        </w:r>
        <w:r>
          <w:rPr>
            <w:rStyle w:val="Style8"/>
            <w:lang w:val="ru-RU" w:eastAsia="ru-RU" w:bidi="ar-SA"/>
          </w:rPr>
          <w:t>I-II)</w:t>
        </w:r>
        <w:r>
          <w:rPr>
            <w:webHidden/>
          </w:rPr>
          <w:fldChar w:fldCharType="begin"/>
        </w:r>
        <w:r>
          <w:rPr>
            <w:webHidden/>
          </w:rPr>
          <w:instrText>PAGEREF _Toc469651873 \h</w:instrText>
        </w:r>
        <w:r>
          <w:rPr>
            <w:webHidden/>
          </w:rPr>
          <w:fldChar w:fldCharType="separate"/>
        </w:r>
        <w:r>
          <w:rPr>
            <w:rStyle w:val="Style8"/>
          </w:rPr>
          <w:tab/>
          <w:t>5</w:t>
        </w:r>
        <w:r>
          <w:rPr>
            <w:webHidden/>
          </w:rPr>
          <w:fldChar w:fldCharType="end"/>
        </w:r>
      </w:hyperlink>
    </w:p>
    <w:p>
      <w:pPr>
        <w:pStyle w:val="21"/>
        <w:widowControl/>
        <w:tabs>
          <w:tab w:val="right" w:pos="9799" w:leader="dot"/>
        </w:tabs>
        <w:bidi w:val="0"/>
        <w:ind w:left="240" w:right="0" w:hanging="0"/>
        <w:jc w:val="left"/>
        <w:textAlignment w:val="auto"/>
        <w:rPr>
          <w:lang w:val="ru-RU"/>
        </w:rPr>
      </w:pPr>
      <w:hyperlink w:anchor="_Toc469651874">
        <w:r>
          <w:rPr>
            <w:webHidden/>
            <w:rStyle w:val="Style8"/>
            <w:rFonts w:cs="Times New Roman CE" w:ascii="Times New Roman CE" w:hAnsi="Times New Roman CE"/>
            <w:i/>
            <w:lang w:val="ru-RU" w:eastAsia="ru-RU" w:bidi="ar-SA"/>
          </w:rPr>
          <w:t>Fişa proiectului de cercetări fundamentale I</w:t>
        </w:r>
        <w:r>
          <w:rPr>
            <w:webHidden/>
          </w:rPr>
          <w:fldChar w:fldCharType="begin"/>
        </w:r>
        <w:r>
          <w:rPr>
            <w:webHidden/>
          </w:rPr>
          <w:instrText>PAGEREF _Toc469651874 \h</w:instrText>
        </w:r>
        <w:r>
          <w:rPr>
            <w:webHidden/>
          </w:rPr>
          <w:fldChar w:fldCharType="separate"/>
        </w:r>
        <w:r>
          <w:rPr>
            <w:rStyle w:val="Style8"/>
          </w:rPr>
          <w:tab/>
          <w:t>5</w:t>
        </w:r>
        <w:r>
          <w:rPr>
            <w:webHidden/>
          </w:rPr>
          <w:fldChar w:fldCharType="end"/>
        </w:r>
      </w:hyperlink>
    </w:p>
    <w:p>
      <w:pPr>
        <w:pStyle w:val="21"/>
        <w:widowControl/>
        <w:tabs>
          <w:tab w:val="right" w:pos="9799" w:leader="dot"/>
        </w:tabs>
        <w:bidi w:val="0"/>
        <w:ind w:left="240" w:right="0" w:hanging="0"/>
        <w:jc w:val="left"/>
        <w:textAlignment w:val="auto"/>
        <w:rPr>
          <w:lang w:val="ru-RU"/>
        </w:rPr>
      </w:pPr>
      <w:hyperlink w:anchor="_Toc469651875">
        <w:r>
          <w:rPr>
            <w:webHidden/>
            <w:rStyle w:val="Style8"/>
            <w:rFonts w:cs="Times New Roman CE" w:ascii="Times New Roman CE" w:hAnsi="Times New Roman CE"/>
            <w:i/>
            <w:lang w:val="ru-RU" w:eastAsia="ru-RU" w:bidi="ar-SA"/>
          </w:rPr>
          <w:t>Fişa proiectului de cercetări fundamentale II</w:t>
        </w:r>
        <w:r>
          <w:rPr>
            <w:webHidden/>
          </w:rPr>
          <w:fldChar w:fldCharType="begin"/>
        </w:r>
        <w:r>
          <w:rPr>
            <w:webHidden/>
          </w:rPr>
          <w:instrText>PAGEREF _Toc469651875 \h</w:instrText>
        </w:r>
        <w:r>
          <w:rPr>
            <w:webHidden/>
          </w:rPr>
          <w:fldChar w:fldCharType="separate"/>
        </w:r>
        <w:r>
          <w:rPr>
            <w:rStyle w:val="Style8"/>
          </w:rPr>
          <w:tab/>
          <w:t>11</w:t>
        </w:r>
        <w:r>
          <w:rPr>
            <w:webHidden/>
          </w:rPr>
          <w:fldChar w:fldCharType="end"/>
        </w:r>
      </w:hyperlink>
    </w:p>
    <w:p>
      <w:pPr>
        <w:pStyle w:val="11"/>
        <w:widowControl/>
        <w:tabs>
          <w:tab w:val="right" w:pos="9799" w:leader="dot"/>
        </w:tabs>
        <w:bidi w:val="0"/>
        <w:ind w:left="0" w:right="0" w:hanging="0"/>
        <w:jc w:val="left"/>
        <w:textAlignment w:val="auto"/>
        <w:rPr>
          <w:b w:val="false"/>
          <w:b w:val="false"/>
          <w:lang w:val="ru-RU"/>
        </w:rPr>
      </w:pPr>
      <w:hyperlink w:anchor="_Toc469651876">
        <w:r>
          <w:rPr>
            <w:webHidden/>
            <w:rStyle w:val="Style8"/>
            <w:rFonts w:cs="Times New Roman CE" w:ascii="Times New Roman CE" w:hAnsi="Times New Roman CE"/>
            <w:lang w:val="ru-RU" w:eastAsia="ru-RU" w:bidi="ar-SA"/>
          </w:rPr>
          <w:t>Fişele proiectelor de cercetări aplicative (I-II)</w:t>
        </w:r>
        <w:r>
          <w:rPr>
            <w:webHidden/>
          </w:rPr>
          <w:fldChar w:fldCharType="begin"/>
        </w:r>
        <w:r>
          <w:rPr>
            <w:webHidden/>
          </w:rPr>
          <w:instrText>PAGEREF _Toc469651876 \h</w:instrText>
        </w:r>
        <w:r>
          <w:rPr>
            <w:webHidden/>
          </w:rPr>
          <w:fldChar w:fldCharType="separate"/>
        </w:r>
        <w:r>
          <w:rPr>
            <w:rStyle w:val="Style8"/>
          </w:rPr>
          <w:tab/>
          <w:t>16</w:t>
        </w:r>
        <w:r>
          <w:rPr>
            <w:webHidden/>
          </w:rPr>
          <w:fldChar w:fldCharType="end"/>
        </w:r>
      </w:hyperlink>
    </w:p>
    <w:p>
      <w:pPr>
        <w:pStyle w:val="21"/>
        <w:widowControl/>
        <w:tabs>
          <w:tab w:val="right" w:pos="9799" w:leader="dot"/>
        </w:tabs>
        <w:bidi w:val="0"/>
        <w:ind w:left="240" w:right="0" w:hanging="0"/>
        <w:jc w:val="left"/>
        <w:textAlignment w:val="auto"/>
        <w:rPr>
          <w:lang w:val="ru-RU"/>
        </w:rPr>
      </w:pPr>
      <w:hyperlink w:anchor="_Toc469651877">
        <w:r>
          <w:rPr>
            <w:webHidden/>
            <w:rStyle w:val="Style8"/>
            <w:rFonts w:cs="Times New Roman CE" w:ascii="Times New Roman CE" w:hAnsi="Times New Roman CE"/>
            <w:i/>
            <w:lang w:val="ru-RU" w:eastAsia="ru-RU" w:bidi="ar-SA"/>
          </w:rPr>
          <w:t>Fişa proiectului de cercetări aplicative I</w:t>
        </w:r>
        <w:r>
          <w:rPr>
            <w:webHidden/>
          </w:rPr>
          <w:fldChar w:fldCharType="begin"/>
        </w:r>
        <w:r>
          <w:rPr>
            <w:webHidden/>
          </w:rPr>
          <w:instrText>PAGEREF _Toc469651877 \h</w:instrText>
        </w:r>
        <w:r>
          <w:rPr>
            <w:webHidden/>
          </w:rPr>
          <w:fldChar w:fldCharType="separate"/>
        </w:r>
        <w:r>
          <w:rPr>
            <w:rStyle w:val="Style8"/>
          </w:rPr>
          <w:tab/>
          <w:t>16</w:t>
        </w:r>
        <w:r>
          <w:rPr>
            <w:webHidden/>
          </w:rPr>
          <w:fldChar w:fldCharType="end"/>
        </w:r>
      </w:hyperlink>
    </w:p>
    <w:p>
      <w:pPr>
        <w:pStyle w:val="21"/>
        <w:widowControl/>
        <w:tabs>
          <w:tab w:val="right" w:pos="9799" w:leader="dot"/>
        </w:tabs>
        <w:bidi w:val="0"/>
        <w:ind w:left="240" w:right="0" w:hanging="0"/>
        <w:jc w:val="left"/>
        <w:textAlignment w:val="auto"/>
        <w:rPr>
          <w:lang w:val="ru-RU"/>
        </w:rPr>
      </w:pPr>
      <w:hyperlink w:anchor="_Toc469651879">
        <w:r>
          <w:rPr>
            <w:webHidden/>
            <w:rStyle w:val="Style8"/>
            <w:rFonts w:cs="Times New Roman CE" w:ascii="Times New Roman CE" w:hAnsi="Times New Roman CE"/>
            <w:i/>
            <w:lang w:val="ru-RU" w:eastAsia="ru-RU" w:bidi="ar-SA"/>
          </w:rPr>
          <w:t>Fişa proiectului de cercetări aplicative II</w:t>
        </w:r>
        <w:r>
          <w:rPr>
            <w:webHidden/>
          </w:rPr>
          <w:fldChar w:fldCharType="begin"/>
        </w:r>
        <w:r>
          <w:rPr>
            <w:webHidden/>
          </w:rPr>
          <w:instrText>PAGEREF _Toc469651879 \h</w:instrText>
        </w:r>
        <w:r>
          <w:rPr>
            <w:webHidden/>
          </w:rPr>
          <w:fldChar w:fldCharType="separate"/>
        </w:r>
        <w:r>
          <w:rPr>
            <w:rStyle w:val="Style8"/>
          </w:rPr>
          <w:tab/>
          <w:t>20</w:t>
        </w:r>
        <w:r>
          <w:rPr>
            <w:webHidden/>
          </w:rPr>
          <w:fldChar w:fldCharType="end"/>
        </w:r>
      </w:hyperlink>
    </w:p>
    <w:p>
      <w:pPr>
        <w:pStyle w:val="11"/>
        <w:widowControl/>
        <w:tabs>
          <w:tab w:val="right" w:pos="9799" w:leader="dot"/>
        </w:tabs>
        <w:bidi w:val="0"/>
        <w:ind w:left="0" w:right="0" w:hanging="0"/>
        <w:jc w:val="left"/>
        <w:textAlignment w:val="auto"/>
        <w:rPr>
          <w:b w:val="false"/>
          <w:b w:val="false"/>
          <w:lang w:val="ru-RU"/>
        </w:rPr>
      </w:pPr>
      <w:hyperlink w:anchor="_Toc469651880">
        <w:r>
          <w:rPr>
            <w:webHidden/>
            <w:rStyle w:val="Style8"/>
            <w:rFonts w:cs="Times New Roman CE" w:ascii="Times New Roman CE" w:hAnsi="Times New Roman CE"/>
            <w:lang w:val="ru-RU" w:eastAsia="ru-RU" w:bidi="ar-SA"/>
          </w:rPr>
          <w:t>Fişele proiectelor din cadrul Programului de Stat (I)</w:t>
        </w:r>
        <w:r>
          <w:rPr>
            <w:webHidden/>
          </w:rPr>
          <w:fldChar w:fldCharType="begin"/>
        </w:r>
        <w:r>
          <w:rPr>
            <w:webHidden/>
          </w:rPr>
          <w:instrText>PAGEREF _Toc469651880 \h</w:instrText>
        </w:r>
        <w:r>
          <w:rPr>
            <w:webHidden/>
          </w:rPr>
          <w:fldChar w:fldCharType="separate"/>
        </w:r>
        <w:r>
          <w:rPr>
            <w:rStyle w:val="Style8"/>
          </w:rPr>
          <w:tab/>
          <w:t>28</w:t>
        </w:r>
        <w:r>
          <w:rPr>
            <w:webHidden/>
          </w:rPr>
          <w:fldChar w:fldCharType="end"/>
        </w:r>
      </w:hyperlink>
    </w:p>
    <w:p>
      <w:pPr>
        <w:pStyle w:val="21"/>
        <w:widowControl/>
        <w:tabs>
          <w:tab w:val="right" w:pos="9799" w:leader="dot"/>
        </w:tabs>
        <w:bidi w:val="0"/>
        <w:ind w:left="240" w:right="0" w:hanging="0"/>
        <w:jc w:val="left"/>
        <w:textAlignment w:val="auto"/>
        <w:rPr>
          <w:lang w:val="ru-RU"/>
        </w:rPr>
      </w:pPr>
      <w:hyperlink w:anchor="_Toc469651881">
        <w:r>
          <w:rPr>
            <w:webHidden/>
            <w:rStyle w:val="Style8"/>
            <w:rFonts w:cs="Times New Roman CE" w:ascii="Times New Roman CE" w:hAnsi="Times New Roman CE"/>
            <w:i/>
            <w:lang w:val="ru-RU" w:eastAsia="ru-RU" w:bidi="ar-SA"/>
          </w:rPr>
          <w:t xml:space="preserve">Fişa proiectului </w:t>
        </w:r>
        <w:r>
          <w:rPr>
            <w:rStyle w:val="Style8"/>
            <w:i/>
            <w:lang w:val="ru-RU" w:eastAsia="ru-RU" w:bidi="ar-SA"/>
          </w:rPr>
          <w:t>din cadrul Programului de Stat I</w:t>
        </w:r>
        <w:r>
          <w:rPr>
            <w:webHidden/>
          </w:rPr>
          <w:fldChar w:fldCharType="begin"/>
        </w:r>
        <w:r>
          <w:rPr>
            <w:webHidden/>
          </w:rPr>
          <w:instrText>PAGEREF _Toc469651881 \h</w:instrText>
        </w:r>
        <w:r>
          <w:rPr>
            <w:webHidden/>
          </w:rPr>
          <w:fldChar w:fldCharType="separate"/>
        </w:r>
        <w:r>
          <w:rPr>
            <w:rStyle w:val="Style8"/>
          </w:rPr>
          <w:tab/>
          <w:t>28</w:t>
        </w:r>
        <w:r>
          <w:rPr>
            <w:webHidden/>
          </w:rPr>
          <w:fldChar w:fldCharType="end"/>
        </w:r>
      </w:hyperlink>
    </w:p>
    <w:p>
      <w:pPr>
        <w:pStyle w:val="11"/>
        <w:widowControl/>
        <w:tabs>
          <w:tab w:val="right" w:pos="9799" w:leader="dot"/>
        </w:tabs>
        <w:bidi w:val="0"/>
        <w:ind w:left="0" w:right="0" w:hanging="0"/>
        <w:jc w:val="left"/>
        <w:textAlignment w:val="auto"/>
        <w:rPr>
          <w:b w:val="false"/>
          <w:b w:val="false"/>
          <w:lang w:val="ru-RU"/>
        </w:rPr>
      </w:pPr>
      <w:hyperlink w:anchor="_Toc469651882">
        <w:r>
          <w:rPr>
            <w:webHidden/>
            <w:rStyle w:val="Style8"/>
            <w:rFonts w:cs="Times New Roman CE" w:ascii="Times New Roman CE" w:hAnsi="Times New Roman CE"/>
            <w:lang w:val="ru-RU" w:eastAsia="ru-RU" w:bidi="ar-SA"/>
          </w:rPr>
          <w:t>Fişele proiectelor internaţionale (IV)</w:t>
        </w:r>
        <w:r>
          <w:rPr>
            <w:webHidden/>
          </w:rPr>
          <w:fldChar w:fldCharType="begin"/>
        </w:r>
        <w:r>
          <w:rPr>
            <w:webHidden/>
          </w:rPr>
          <w:instrText>PAGEREF _Toc469651882 \h</w:instrText>
        </w:r>
        <w:r>
          <w:rPr>
            <w:webHidden/>
          </w:rPr>
          <w:fldChar w:fldCharType="separate"/>
        </w:r>
        <w:r>
          <w:rPr>
            <w:rStyle w:val="Style8"/>
          </w:rPr>
          <w:tab/>
          <w:t>30</w:t>
        </w:r>
        <w:r>
          <w:rPr>
            <w:webHidden/>
          </w:rPr>
          <w:fldChar w:fldCharType="end"/>
        </w:r>
      </w:hyperlink>
    </w:p>
    <w:p>
      <w:pPr>
        <w:pStyle w:val="21"/>
        <w:widowControl/>
        <w:tabs>
          <w:tab w:val="right" w:pos="9799" w:leader="dot"/>
        </w:tabs>
        <w:bidi w:val="0"/>
        <w:ind w:left="240" w:right="0" w:hanging="0"/>
        <w:jc w:val="left"/>
        <w:textAlignment w:val="auto"/>
        <w:rPr>
          <w:lang w:val="ru-RU"/>
        </w:rPr>
      </w:pPr>
      <w:hyperlink w:anchor="_Toc469651883">
        <w:r>
          <w:rPr>
            <w:webHidden/>
            <w:rStyle w:val="Style8"/>
            <w:rFonts w:cs="Times New Roman CE" w:ascii="Times New Roman CE" w:hAnsi="Times New Roman CE"/>
            <w:i/>
            <w:lang w:val="ru-RU" w:eastAsia="ru-RU" w:bidi="ar-SA"/>
          </w:rPr>
          <w:t>Fişa proiectului internaţional I</w:t>
        </w:r>
        <w:r>
          <w:rPr>
            <w:webHidden/>
          </w:rPr>
          <w:fldChar w:fldCharType="begin"/>
        </w:r>
        <w:r>
          <w:rPr>
            <w:webHidden/>
          </w:rPr>
          <w:instrText>PAGEREF _Toc469651883 \h</w:instrText>
        </w:r>
        <w:r>
          <w:rPr>
            <w:webHidden/>
          </w:rPr>
          <w:fldChar w:fldCharType="separate"/>
        </w:r>
        <w:r>
          <w:rPr>
            <w:rStyle w:val="Style8"/>
          </w:rPr>
          <w:tab/>
          <w:t>30</w:t>
        </w:r>
        <w:r>
          <w:rPr>
            <w:webHidden/>
          </w:rPr>
          <w:fldChar w:fldCharType="end"/>
        </w:r>
      </w:hyperlink>
    </w:p>
    <w:p>
      <w:pPr>
        <w:pStyle w:val="21"/>
        <w:widowControl/>
        <w:tabs>
          <w:tab w:val="right" w:pos="9799" w:leader="dot"/>
        </w:tabs>
        <w:bidi w:val="0"/>
        <w:ind w:left="240" w:right="0" w:hanging="0"/>
        <w:jc w:val="left"/>
        <w:textAlignment w:val="auto"/>
        <w:rPr>
          <w:lang w:val="ru-RU"/>
        </w:rPr>
      </w:pPr>
      <w:hyperlink w:anchor="_Toc469651884">
        <w:r>
          <w:rPr>
            <w:webHidden/>
            <w:rStyle w:val="Style8"/>
            <w:rFonts w:cs="Times New Roman CE" w:ascii="Times New Roman CE" w:hAnsi="Times New Roman CE"/>
            <w:i/>
            <w:lang w:val="ru-RU" w:eastAsia="ru-RU" w:bidi="ar-SA"/>
          </w:rPr>
          <w:t>Fişa proiectului internaţional II</w:t>
        </w:r>
        <w:r>
          <w:rPr>
            <w:webHidden/>
          </w:rPr>
          <w:fldChar w:fldCharType="begin"/>
        </w:r>
        <w:r>
          <w:rPr>
            <w:webHidden/>
          </w:rPr>
          <w:instrText>PAGEREF _Toc469651884 \h</w:instrText>
        </w:r>
        <w:r>
          <w:rPr>
            <w:webHidden/>
          </w:rPr>
          <w:fldChar w:fldCharType="separate"/>
        </w:r>
        <w:r>
          <w:rPr>
            <w:rStyle w:val="Style8"/>
          </w:rPr>
          <w:tab/>
          <w:t>32</w:t>
        </w:r>
        <w:r>
          <w:rPr>
            <w:webHidden/>
          </w:rPr>
          <w:fldChar w:fldCharType="end"/>
        </w:r>
      </w:hyperlink>
    </w:p>
    <w:p>
      <w:pPr>
        <w:pStyle w:val="21"/>
        <w:widowControl/>
        <w:tabs>
          <w:tab w:val="right" w:pos="9799" w:leader="dot"/>
        </w:tabs>
        <w:bidi w:val="0"/>
        <w:ind w:left="240" w:right="0" w:hanging="0"/>
        <w:jc w:val="left"/>
        <w:textAlignment w:val="auto"/>
        <w:rPr>
          <w:lang w:val="ru-RU"/>
        </w:rPr>
      </w:pPr>
      <w:hyperlink w:anchor="_Toc469651886">
        <w:r>
          <w:rPr>
            <w:webHidden/>
            <w:rStyle w:val="Style8"/>
            <w:rFonts w:cs="Times New Roman CE" w:ascii="Times New Roman CE" w:hAnsi="Times New Roman CE"/>
            <w:i/>
            <w:lang w:val="ru-RU" w:eastAsia="ru-RU" w:bidi="ar-SA"/>
          </w:rPr>
          <w:t>Fişa proiectului internaţional III</w:t>
        </w:r>
        <w:r>
          <w:rPr>
            <w:webHidden/>
          </w:rPr>
          <w:fldChar w:fldCharType="begin"/>
        </w:r>
        <w:r>
          <w:rPr>
            <w:webHidden/>
          </w:rPr>
          <w:instrText>PAGEREF _Toc469651886 \h</w:instrText>
        </w:r>
        <w:r>
          <w:rPr>
            <w:webHidden/>
          </w:rPr>
          <w:fldChar w:fldCharType="separate"/>
        </w:r>
        <w:r>
          <w:rPr>
            <w:rStyle w:val="Style8"/>
          </w:rPr>
          <w:tab/>
          <w:t>34</w:t>
        </w:r>
        <w:r>
          <w:rPr>
            <w:webHidden/>
          </w:rPr>
          <w:fldChar w:fldCharType="end"/>
        </w:r>
      </w:hyperlink>
    </w:p>
    <w:p>
      <w:pPr>
        <w:pStyle w:val="21"/>
        <w:widowControl/>
        <w:tabs>
          <w:tab w:val="right" w:pos="9799" w:leader="dot"/>
        </w:tabs>
        <w:bidi w:val="0"/>
        <w:ind w:left="240" w:right="0" w:hanging="0"/>
        <w:jc w:val="left"/>
        <w:textAlignment w:val="auto"/>
        <w:rPr>
          <w:lang w:val="ru-RU"/>
        </w:rPr>
      </w:pPr>
      <w:hyperlink w:anchor="_Toc469651887">
        <w:r>
          <w:rPr>
            <w:webHidden/>
            <w:rStyle w:val="Style8"/>
            <w:rFonts w:cs="Times New Roman CE" w:ascii="Times New Roman CE" w:hAnsi="Times New Roman CE"/>
            <w:i/>
            <w:lang w:val="ru-RU" w:eastAsia="ru-RU" w:bidi="ar-SA"/>
          </w:rPr>
          <w:t>Fişa proiectului internaţional VI</w:t>
        </w:r>
        <w:r>
          <w:rPr>
            <w:webHidden/>
          </w:rPr>
          <w:fldChar w:fldCharType="begin"/>
        </w:r>
        <w:r>
          <w:rPr>
            <w:webHidden/>
          </w:rPr>
          <w:instrText>PAGEREF _Toc469651887 \h</w:instrText>
        </w:r>
        <w:r>
          <w:rPr>
            <w:webHidden/>
          </w:rPr>
          <w:fldChar w:fldCharType="separate"/>
        </w:r>
        <w:r>
          <w:rPr>
            <w:rStyle w:val="Style8"/>
          </w:rPr>
          <w:tab/>
          <w:t>36</w:t>
        </w:r>
        <w:r>
          <w:rPr>
            <w:webHidden/>
          </w:rPr>
          <w:fldChar w:fldCharType="end"/>
        </w:r>
      </w:hyperlink>
    </w:p>
    <w:p>
      <w:pPr>
        <w:pStyle w:val="11"/>
        <w:widowControl/>
        <w:tabs>
          <w:tab w:val="right" w:pos="9799" w:leader="dot"/>
        </w:tabs>
        <w:bidi w:val="0"/>
        <w:ind w:left="0" w:right="0" w:hanging="0"/>
        <w:jc w:val="left"/>
        <w:textAlignment w:val="auto"/>
        <w:rPr>
          <w:b w:val="false"/>
          <w:b w:val="false"/>
          <w:lang w:val="ru-RU"/>
        </w:rPr>
      </w:pPr>
      <w:hyperlink w:anchor="_Toc469651888">
        <w:r>
          <w:rPr>
            <w:webHidden/>
            <w:rStyle w:val="Style8"/>
            <w:rFonts w:cs="Times New Roman CE" w:ascii="Times New Roman CE" w:hAnsi="Times New Roman CE"/>
            <w:lang w:val="ru-RU" w:eastAsia="ru-RU" w:bidi="ar-SA"/>
          </w:rPr>
          <w:t>Fişele rapoartelor de activitate în anul 2016 pentru membrii titulari şi membrii corespondenţi ai A.Ş.M.</w:t>
        </w:r>
        <w:r>
          <w:rPr>
            <w:webHidden/>
          </w:rPr>
          <w:fldChar w:fldCharType="begin"/>
        </w:r>
        <w:r>
          <w:rPr>
            <w:webHidden/>
          </w:rPr>
          <w:instrText>PAGEREF _Toc469651888 \h</w:instrText>
        </w:r>
        <w:r>
          <w:rPr>
            <w:webHidden/>
          </w:rPr>
          <w:fldChar w:fldCharType="separate"/>
        </w:r>
        <w:r>
          <w:rPr>
            <w:rStyle w:val="Style8"/>
          </w:rPr>
          <w:tab/>
          <w:t>38</w:t>
        </w:r>
        <w:r>
          <w:rPr>
            <w:webHidden/>
          </w:rPr>
          <w:fldChar w:fldCharType="end"/>
        </w:r>
      </w:hyperlink>
    </w:p>
    <w:p>
      <w:pPr>
        <w:pStyle w:val="21"/>
        <w:widowControl/>
        <w:tabs>
          <w:tab w:val="right" w:pos="9799" w:leader="dot"/>
        </w:tabs>
        <w:bidi w:val="0"/>
        <w:ind w:left="240" w:right="0" w:hanging="0"/>
        <w:jc w:val="left"/>
        <w:textAlignment w:val="auto"/>
        <w:rPr>
          <w:lang w:val="ru-RU"/>
        </w:rPr>
      </w:pPr>
      <w:hyperlink w:anchor="_Toc469651889">
        <w:r>
          <w:rPr>
            <w:webHidden/>
            <w:rStyle w:val="Style8"/>
            <w:i/>
            <w:lang w:val="ru-RU" w:eastAsia="ru-RU" w:bidi="ar-SA"/>
          </w:rPr>
          <w:t>Academicianul REABUHIN Iurii</w:t>
        </w:r>
        <w:r>
          <w:rPr>
            <w:webHidden/>
          </w:rPr>
          <w:fldChar w:fldCharType="begin"/>
        </w:r>
        <w:r>
          <w:rPr>
            <w:webHidden/>
          </w:rPr>
          <w:instrText>PAGEREF _Toc469651889 \h</w:instrText>
        </w:r>
        <w:r>
          <w:rPr>
            <w:webHidden/>
          </w:rPr>
          <w:fldChar w:fldCharType="separate"/>
        </w:r>
        <w:r>
          <w:rPr>
            <w:rStyle w:val="Style8"/>
          </w:rPr>
          <w:tab/>
          <w:t>38</w:t>
        </w:r>
        <w:r>
          <w:rPr>
            <w:webHidden/>
          </w:rPr>
          <w:fldChar w:fldCharType="end"/>
        </w:r>
      </w:hyperlink>
    </w:p>
    <w:p>
      <w:pPr>
        <w:pStyle w:val="21"/>
        <w:widowControl/>
        <w:tabs>
          <w:tab w:val="right" w:pos="9799" w:leader="dot"/>
        </w:tabs>
        <w:bidi w:val="0"/>
        <w:ind w:left="240" w:right="0" w:hanging="0"/>
        <w:jc w:val="left"/>
        <w:textAlignment w:val="auto"/>
        <w:rPr>
          <w:lang w:val="ru-RU"/>
        </w:rPr>
      </w:pPr>
      <w:hyperlink w:anchor="_Toc469651890">
        <w:r>
          <w:rPr>
            <w:webHidden/>
            <w:rStyle w:val="Style8"/>
            <w:i/>
            <w:lang w:val="ru-RU" w:eastAsia="ru-RU" w:bidi="ar-SA"/>
          </w:rPr>
          <w:t>Academicianul ARNAUTOV Vladimir</w:t>
        </w:r>
        <w:r>
          <w:rPr>
            <w:webHidden/>
          </w:rPr>
          <w:fldChar w:fldCharType="begin"/>
        </w:r>
        <w:r>
          <w:rPr>
            <w:webHidden/>
          </w:rPr>
          <w:instrText>PAGEREF _Toc469651890 \h</w:instrText>
        </w:r>
        <w:r>
          <w:rPr>
            <w:webHidden/>
          </w:rPr>
          <w:fldChar w:fldCharType="separate"/>
        </w:r>
        <w:r>
          <w:rPr>
            <w:rStyle w:val="Style8"/>
          </w:rPr>
          <w:tab/>
          <w:t>39</w:t>
        </w:r>
        <w:r>
          <w:rPr>
            <w:webHidden/>
          </w:rPr>
          <w:fldChar w:fldCharType="end"/>
        </w:r>
      </w:hyperlink>
    </w:p>
    <w:p>
      <w:pPr>
        <w:pStyle w:val="21"/>
        <w:widowControl/>
        <w:tabs>
          <w:tab w:val="right" w:pos="9799" w:leader="dot"/>
        </w:tabs>
        <w:bidi w:val="0"/>
        <w:ind w:left="240" w:right="0" w:hanging="0"/>
        <w:jc w:val="left"/>
        <w:textAlignment w:val="auto"/>
        <w:rPr>
          <w:lang w:val="ru-RU"/>
        </w:rPr>
      </w:pPr>
      <w:hyperlink w:anchor="_Toc469651891">
        <w:r>
          <w:rPr>
            <w:webHidden/>
            <w:rStyle w:val="Style8"/>
            <w:rFonts w:cs="Times New Roman CE" w:ascii="Times New Roman CE" w:hAnsi="Times New Roman CE"/>
            <w:i/>
            <w:lang w:val="ru-RU" w:eastAsia="ru-RU" w:bidi="ar-SA"/>
          </w:rPr>
          <w:t>Academicianul MIŞCOI Gheorghe</w:t>
        </w:r>
        <w:r>
          <w:rPr>
            <w:webHidden/>
          </w:rPr>
          <w:fldChar w:fldCharType="begin"/>
        </w:r>
        <w:r>
          <w:rPr>
            <w:webHidden/>
          </w:rPr>
          <w:instrText>PAGEREF _Toc469651891 \h</w:instrText>
        </w:r>
        <w:r>
          <w:rPr>
            <w:webHidden/>
          </w:rPr>
          <w:fldChar w:fldCharType="separate"/>
        </w:r>
        <w:r>
          <w:rPr>
            <w:rStyle w:val="Style8"/>
          </w:rPr>
          <w:tab/>
          <w:t>40</w:t>
        </w:r>
        <w:r>
          <w:rPr>
            <w:webHidden/>
          </w:rPr>
          <w:fldChar w:fldCharType="end"/>
        </w:r>
      </w:hyperlink>
    </w:p>
    <w:p>
      <w:pPr>
        <w:pStyle w:val="21"/>
        <w:widowControl/>
        <w:tabs>
          <w:tab w:val="right" w:pos="9799" w:leader="dot"/>
        </w:tabs>
        <w:bidi w:val="0"/>
        <w:ind w:left="240" w:right="0" w:hanging="0"/>
        <w:jc w:val="left"/>
        <w:textAlignment w:val="auto"/>
        <w:rPr>
          <w:lang w:val="ru-RU"/>
        </w:rPr>
      </w:pPr>
      <w:hyperlink w:anchor="_Toc469651892">
        <w:r>
          <w:rPr>
            <w:webHidden/>
            <w:rStyle w:val="Style8"/>
            <w:i/>
            <w:lang w:val="ru-RU" w:eastAsia="ru-RU" w:bidi="ar-SA"/>
          </w:rPr>
          <w:t>Membru corespondent VULPE Nicolae</w:t>
        </w:r>
        <w:r>
          <w:rPr>
            <w:webHidden/>
          </w:rPr>
          <w:fldChar w:fldCharType="begin"/>
        </w:r>
        <w:r>
          <w:rPr>
            <w:webHidden/>
          </w:rPr>
          <w:instrText>PAGEREF _Toc469651892 \h</w:instrText>
        </w:r>
        <w:r>
          <w:rPr>
            <w:webHidden/>
          </w:rPr>
          <w:fldChar w:fldCharType="separate"/>
        </w:r>
        <w:r>
          <w:rPr>
            <w:rStyle w:val="Style8"/>
          </w:rPr>
          <w:tab/>
          <w:t>41</w:t>
        </w:r>
        <w:r>
          <w:rPr>
            <w:webHidden/>
          </w:rPr>
          <w:fldChar w:fldCharType="end"/>
        </w:r>
      </w:hyperlink>
    </w:p>
    <w:p>
      <w:pPr>
        <w:pStyle w:val="21"/>
        <w:widowControl/>
        <w:tabs>
          <w:tab w:val="right" w:pos="9799" w:leader="dot"/>
        </w:tabs>
        <w:bidi w:val="0"/>
        <w:ind w:left="240" w:right="0" w:hanging="0"/>
        <w:jc w:val="left"/>
        <w:textAlignment w:val="auto"/>
        <w:rPr>
          <w:lang w:val="ru-RU"/>
        </w:rPr>
      </w:pPr>
      <w:hyperlink w:anchor="_Toc469651893">
        <w:r>
          <w:rPr>
            <w:webHidden/>
            <w:rStyle w:val="Style8"/>
            <w:i/>
            <w:lang w:val="ru-RU" w:eastAsia="ru-RU" w:bidi="ar-SA"/>
          </w:rPr>
          <w:t>Membru corespondent GAINDRIC Constantin</w:t>
        </w:r>
        <w:r>
          <w:rPr>
            <w:webHidden/>
          </w:rPr>
          <w:fldChar w:fldCharType="begin"/>
        </w:r>
        <w:r>
          <w:rPr>
            <w:webHidden/>
          </w:rPr>
          <w:instrText>PAGEREF _Toc469651893 \h</w:instrText>
        </w:r>
        <w:r>
          <w:rPr>
            <w:webHidden/>
          </w:rPr>
          <w:fldChar w:fldCharType="separate"/>
        </w:r>
        <w:r>
          <w:rPr>
            <w:rStyle w:val="Style8"/>
          </w:rPr>
          <w:tab/>
          <w:t>42</w:t>
        </w:r>
        <w:r>
          <w:rPr>
            <w:webHidden/>
          </w:rPr>
          <w:fldChar w:fldCharType="end"/>
        </w:r>
      </w:hyperlink>
    </w:p>
    <w:p>
      <w:pPr>
        <w:pStyle w:val="11"/>
        <w:widowControl/>
        <w:tabs>
          <w:tab w:val="right" w:pos="9799" w:leader="dot"/>
        </w:tabs>
        <w:bidi w:val="0"/>
        <w:ind w:left="0" w:right="0" w:hanging="0"/>
        <w:jc w:val="left"/>
        <w:textAlignment w:val="auto"/>
        <w:rPr>
          <w:b w:val="false"/>
          <w:b w:val="false"/>
          <w:lang w:val="ru-RU"/>
        </w:rPr>
      </w:pPr>
      <w:hyperlink w:anchor="_Toc469651894">
        <w:r>
          <w:rPr>
            <w:webHidden/>
            <w:rStyle w:val="Style8"/>
            <w:lang w:val="ru-RU" w:eastAsia="ru-RU" w:bidi="ar-SA"/>
          </w:rPr>
          <w:t>Anexe E1</w:t>
        </w:r>
        <w:r>
          <w:rPr>
            <w:webHidden/>
          </w:rPr>
          <w:fldChar w:fldCharType="begin"/>
        </w:r>
        <w:r>
          <w:rPr>
            <w:webHidden/>
          </w:rPr>
          <w:instrText>PAGEREF _Toc469651894 \h</w:instrText>
        </w:r>
        <w:r>
          <w:rPr>
            <w:webHidden/>
          </w:rPr>
          <w:fldChar w:fldCharType="separate"/>
        </w:r>
        <w:r>
          <w:rPr>
            <w:rStyle w:val="Style8"/>
          </w:rPr>
          <w:tab/>
          <w:t>44</w:t>
        </w:r>
        <w:r>
          <w:rPr>
            <w:webHidden/>
          </w:rPr>
          <w:fldChar w:fldCharType="end"/>
        </w:r>
      </w:hyperlink>
    </w:p>
    <w:p>
      <w:pPr>
        <w:pStyle w:val="21"/>
        <w:widowControl/>
        <w:tabs>
          <w:tab w:val="right" w:pos="9799" w:leader="dot"/>
        </w:tabs>
        <w:bidi w:val="0"/>
        <w:ind w:left="240" w:right="0" w:hanging="0"/>
        <w:jc w:val="left"/>
        <w:textAlignment w:val="auto"/>
        <w:rPr>
          <w:lang w:val="ru-RU"/>
        </w:rPr>
      </w:pPr>
      <w:hyperlink w:anchor="_Toc469651895">
        <w:r>
          <w:rPr>
            <w:webHidden/>
            <w:rStyle w:val="Style8"/>
            <w:rFonts w:cs="Times New Roman CE" w:ascii="Times New Roman CE" w:hAnsi="Times New Roman CE"/>
            <w:i/>
            <w:lang w:val="ru-RU" w:eastAsia="ru-RU" w:bidi="ar-SA"/>
          </w:rPr>
          <w:t>Metoda de apreciere a severităţii dereglărilor circulatorii în hipertensiunea portală asociată cirozei heppatice bazată pe ecografi</w:t>
        </w:r>
        <w:r>
          <w:rPr>
            <w:rStyle w:val="Style8"/>
            <w:i/>
            <w:lang w:val="ru-RU" w:eastAsia="ru-RU" w:bidi="ar-SA"/>
          </w:rPr>
          <w:t>a doppler duplex color.</w:t>
        </w:r>
        <w:r>
          <w:rPr>
            <w:webHidden/>
          </w:rPr>
          <w:fldChar w:fldCharType="begin"/>
        </w:r>
        <w:r>
          <w:rPr>
            <w:webHidden/>
          </w:rPr>
          <w:instrText>PAGEREF _Toc469651895 \h</w:instrText>
        </w:r>
        <w:r>
          <w:rPr>
            <w:webHidden/>
          </w:rPr>
          <w:fldChar w:fldCharType="separate"/>
        </w:r>
        <w:r>
          <w:rPr>
            <w:rStyle w:val="Style8"/>
          </w:rPr>
          <w:tab/>
          <w:t>44</w:t>
        </w:r>
        <w:r>
          <w:rPr>
            <w:webHidden/>
          </w:rPr>
          <w:fldChar w:fldCharType="end"/>
        </w:r>
      </w:hyperlink>
    </w:p>
    <w:p>
      <w:pPr>
        <w:pStyle w:val="21"/>
        <w:widowControl/>
        <w:tabs>
          <w:tab w:val="right" w:pos="9799" w:leader="dot"/>
        </w:tabs>
        <w:bidi w:val="0"/>
        <w:ind w:left="240" w:right="0" w:hanging="0"/>
        <w:jc w:val="left"/>
        <w:textAlignment w:val="auto"/>
        <w:rPr>
          <w:lang w:val="ru-RU"/>
        </w:rPr>
      </w:pPr>
      <w:hyperlink w:anchor="_Toc469651896">
        <w:r>
          <w:rPr>
            <w:webHidden/>
            <w:rStyle w:val="Style8"/>
            <w:rFonts w:cs="Times New Roman CE" w:ascii="Times New Roman CE" w:hAnsi="Times New Roman CE"/>
            <w:i/>
            <w:lang w:val="ru-RU" w:eastAsia="ru-RU" w:bidi="ar-SA"/>
          </w:rPr>
          <w:t>Antrenarea reţelei neurale modulare</w:t>
        </w:r>
        <w:r>
          <w:rPr>
            <w:webHidden/>
          </w:rPr>
          <w:fldChar w:fldCharType="begin"/>
        </w:r>
        <w:r>
          <w:rPr>
            <w:webHidden/>
          </w:rPr>
          <w:instrText>PAGEREF _Toc469651896 \h</w:instrText>
        </w:r>
        <w:r>
          <w:rPr>
            <w:webHidden/>
          </w:rPr>
          <w:fldChar w:fldCharType="separate"/>
        </w:r>
        <w:r>
          <w:rPr>
            <w:rStyle w:val="Style8"/>
          </w:rPr>
          <w:tab/>
          <w:t>46</w:t>
        </w:r>
        <w:r>
          <w:rPr>
            <w:webHidden/>
          </w:rPr>
          <w:fldChar w:fldCharType="end"/>
        </w:r>
      </w:hyperlink>
    </w:p>
    <w:p>
      <w:pPr>
        <w:pStyle w:val="21"/>
        <w:widowControl/>
        <w:tabs>
          <w:tab w:val="right" w:pos="9799" w:leader="dot"/>
        </w:tabs>
        <w:bidi w:val="0"/>
        <w:ind w:left="240" w:right="0" w:hanging="0"/>
        <w:jc w:val="left"/>
        <w:textAlignment w:val="auto"/>
        <w:rPr>
          <w:lang w:val="ru-RU"/>
        </w:rPr>
      </w:pPr>
      <w:hyperlink w:anchor="_Toc469651897">
        <w:r>
          <w:rPr>
            <w:webHidden/>
            <w:rStyle w:val="Style8"/>
            <w:i/>
            <w:lang w:val="ru-RU" w:eastAsia="ru-RU" w:bidi="ar-SA"/>
          </w:rPr>
          <w:t>Scoring for portal henodynamics disorders severity in liver cirrhosis assessment by duplex ultrasound.</w:t>
        </w:r>
        <w:r>
          <w:rPr>
            <w:webHidden/>
          </w:rPr>
          <w:fldChar w:fldCharType="begin"/>
        </w:r>
        <w:r>
          <w:rPr>
            <w:webHidden/>
          </w:rPr>
          <w:instrText>PAGEREF _Toc469651897 \h</w:instrText>
        </w:r>
        <w:r>
          <w:rPr>
            <w:webHidden/>
          </w:rPr>
          <w:fldChar w:fldCharType="separate"/>
        </w:r>
        <w:r>
          <w:rPr>
            <w:rStyle w:val="Style8"/>
          </w:rPr>
          <w:tab/>
          <w:t>47</w:t>
        </w:r>
        <w:r>
          <w:rPr>
            <w:webHidden/>
          </w:rPr>
          <w:fldChar w:fldCharType="end"/>
        </w:r>
      </w:hyperlink>
    </w:p>
    <w:p>
      <w:pPr>
        <w:pStyle w:val="11"/>
        <w:widowControl/>
        <w:tabs>
          <w:tab w:val="right" w:pos="9799" w:leader="dot"/>
        </w:tabs>
        <w:bidi w:val="0"/>
        <w:ind w:left="0" w:right="0" w:hanging="0"/>
        <w:jc w:val="left"/>
        <w:textAlignment w:val="auto"/>
        <w:rPr>
          <w:b w:val="false"/>
          <w:b w:val="false"/>
          <w:lang w:val="ru-RU"/>
        </w:rPr>
      </w:pPr>
      <w:hyperlink w:anchor="_Toc469651898">
        <w:r>
          <w:rPr>
            <w:webHidden/>
            <w:rStyle w:val="Style8"/>
            <w:lang w:val="ru-RU" w:eastAsia="ru-RU" w:bidi="ar-SA"/>
          </w:rPr>
          <w:t>Anexe E2</w:t>
        </w:r>
        <w:r>
          <w:rPr>
            <w:webHidden/>
          </w:rPr>
          <w:fldChar w:fldCharType="begin"/>
        </w:r>
        <w:r>
          <w:rPr>
            <w:webHidden/>
          </w:rPr>
          <w:instrText>PAGEREF _Toc469651898 \h</w:instrText>
        </w:r>
        <w:r>
          <w:rPr>
            <w:webHidden/>
          </w:rPr>
          <w:fldChar w:fldCharType="separate"/>
        </w:r>
        <w:r>
          <w:rPr>
            <w:rStyle w:val="Style8"/>
          </w:rPr>
          <w:tab/>
          <w:t>51</w:t>
        </w:r>
        <w:r>
          <w:rPr>
            <w:webHidden/>
          </w:rPr>
          <w:fldChar w:fldCharType="end"/>
        </w:r>
      </w:hyperlink>
    </w:p>
    <w:p>
      <w:pPr>
        <w:pStyle w:val="21"/>
        <w:widowControl/>
        <w:tabs>
          <w:tab w:val="right" w:pos="9799" w:leader="dot"/>
        </w:tabs>
        <w:bidi w:val="0"/>
        <w:ind w:left="240" w:right="0" w:hanging="0"/>
        <w:jc w:val="left"/>
        <w:textAlignment w:val="auto"/>
        <w:rPr>
          <w:lang w:val="ru-RU"/>
        </w:rPr>
      </w:pPr>
      <w:hyperlink w:anchor="_Toc469651899">
        <w:r>
          <w:rPr>
            <w:webHidden/>
            <w:rStyle w:val="Style8"/>
            <w:i/>
            <w:lang w:val="ru-RU" w:eastAsia="ru-RU" w:bidi="ar-SA"/>
          </w:rPr>
          <w:t>Proceedings of the Workshop on Foundations of Informatics FOI-2016</w:t>
        </w:r>
        <w:r>
          <w:rPr>
            <w:webHidden/>
          </w:rPr>
          <w:fldChar w:fldCharType="begin"/>
        </w:r>
        <w:r>
          <w:rPr>
            <w:webHidden/>
          </w:rPr>
          <w:instrText>PAGEREF _Toc469651899 \h</w:instrText>
        </w:r>
        <w:r>
          <w:rPr>
            <w:webHidden/>
          </w:rPr>
          <w:fldChar w:fldCharType="separate"/>
        </w:r>
        <w:r>
          <w:rPr>
            <w:rStyle w:val="Style8"/>
          </w:rPr>
          <w:tab/>
          <w:t>51</w:t>
        </w:r>
        <w:r>
          <w:rPr>
            <w:webHidden/>
          </w:rPr>
          <w:fldChar w:fldCharType="end"/>
        </w:r>
      </w:hyperlink>
    </w:p>
    <w:p>
      <w:pPr>
        <w:pStyle w:val="21"/>
        <w:widowControl/>
        <w:tabs>
          <w:tab w:val="right" w:pos="9799" w:leader="dot"/>
        </w:tabs>
        <w:bidi w:val="0"/>
        <w:ind w:left="240" w:right="0" w:hanging="0"/>
        <w:jc w:val="left"/>
        <w:textAlignment w:val="auto"/>
        <w:rPr>
          <w:lang w:val="ru-RU"/>
        </w:rPr>
      </w:pPr>
      <w:hyperlink w:anchor="_Toc469651903">
        <w:r>
          <w:rPr>
            <w:webHidden/>
            <w:rStyle w:val="Style8"/>
            <w:i/>
            <w:lang w:val="ru-RU" w:eastAsia="ru-RU" w:bidi="ar-SA"/>
          </w:rPr>
          <w:t>Multidisciplinary Creativity. Homage to Gheorghe Paun on His 65th Birthday</w:t>
        </w:r>
        <w:r>
          <w:rPr>
            <w:webHidden/>
          </w:rPr>
          <w:fldChar w:fldCharType="begin"/>
        </w:r>
        <w:r>
          <w:rPr>
            <w:webHidden/>
          </w:rPr>
          <w:instrText>PAGEREF _Toc469651903 \h</w:instrText>
        </w:r>
        <w:r>
          <w:rPr>
            <w:webHidden/>
          </w:rPr>
          <w:fldChar w:fldCharType="separate"/>
        </w:r>
        <w:r>
          <w:rPr>
            <w:rStyle w:val="Style8"/>
          </w:rPr>
          <w:tab/>
          <w:t>52</w:t>
        </w:r>
        <w:r>
          <w:rPr>
            <w:webHidden/>
          </w:rPr>
          <w:fldChar w:fldCharType="end"/>
        </w:r>
      </w:hyperlink>
    </w:p>
    <w:p>
      <w:pPr>
        <w:pStyle w:val="21"/>
        <w:widowControl/>
        <w:tabs>
          <w:tab w:val="right" w:pos="9799" w:leader="dot"/>
        </w:tabs>
        <w:bidi w:val="0"/>
        <w:ind w:left="240" w:right="0" w:hanging="0"/>
        <w:jc w:val="left"/>
        <w:textAlignment w:val="auto"/>
        <w:rPr>
          <w:lang w:val="ru-RU"/>
        </w:rPr>
      </w:pPr>
      <w:hyperlink w:anchor="_Toc469651910">
        <w:r>
          <w:rPr>
            <w:webHidden/>
            <w:rStyle w:val="Style8"/>
            <w:rFonts w:cs="Times New Roman CE" w:ascii="Times New Roman CE" w:hAnsi="Times New Roman CE"/>
            <w:i/>
            <w:lang w:val="ru-RU" w:eastAsia="ru-RU" w:bidi="ar-SA"/>
          </w:rPr>
          <w:t>Matematică discretă ( note de curs)</w:t>
        </w:r>
        <w:r>
          <w:rPr>
            <w:webHidden/>
          </w:rPr>
          <w:fldChar w:fldCharType="begin"/>
        </w:r>
        <w:r>
          <w:rPr>
            <w:webHidden/>
          </w:rPr>
          <w:instrText>PAGEREF _Toc469651910 \h</w:instrText>
        </w:r>
        <w:r>
          <w:rPr>
            <w:webHidden/>
          </w:rPr>
          <w:fldChar w:fldCharType="separate"/>
        </w:r>
        <w:r>
          <w:rPr>
            <w:rStyle w:val="Style8"/>
          </w:rPr>
          <w:tab/>
          <w:t>53</w:t>
        </w:r>
        <w:r>
          <w:rPr>
            <w:webHidden/>
          </w:rPr>
          <w:fldChar w:fldCharType="end"/>
        </w:r>
      </w:hyperlink>
    </w:p>
    <w:p>
      <w:pPr>
        <w:pStyle w:val="21"/>
        <w:widowControl/>
        <w:tabs>
          <w:tab w:val="right" w:pos="9799" w:leader="dot"/>
        </w:tabs>
        <w:bidi w:val="0"/>
        <w:ind w:left="240" w:right="0" w:hanging="0"/>
        <w:jc w:val="left"/>
        <w:textAlignment w:val="auto"/>
        <w:rPr>
          <w:lang w:val="ru-RU"/>
        </w:rPr>
      </w:pPr>
      <w:hyperlink w:anchor="_Toc469651911">
        <w:r>
          <w:rPr>
            <w:webHidden/>
            <w:rStyle w:val="Style8"/>
            <w:i/>
            <w:lang w:val="ru-RU" w:eastAsia="ru-RU" w:bidi="ar-SA"/>
          </w:rPr>
          <w:t>Procesarea limbajului natural. Aspecte morfologice</w:t>
        </w:r>
        <w:r>
          <w:rPr>
            <w:webHidden/>
          </w:rPr>
          <w:fldChar w:fldCharType="begin"/>
        </w:r>
        <w:r>
          <w:rPr>
            <w:webHidden/>
          </w:rPr>
          <w:instrText>PAGEREF _Toc469651911 \h</w:instrText>
        </w:r>
        <w:r>
          <w:rPr>
            <w:webHidden/>
          </w:rPr>
          <w:fldChar w:fldCharType="separate"/>
        </w:r>
        <w:r>
          <w:rPr>
            <w:rStyle w:val="Style8"/>
          </w:rPr>
          <w:tab/>
          <w:t>54</w:t>
        </w:r>
        <w:r>
          <w:rPr>
            <w:webHidden/>
          </w:rPr>
          <w:fldChar w:fldCharType="end"/>
        </w:r>
      </w:hyperlink>
    </w:p>
    <w:p>
      <w:pPr>
        <w:pStyle w:val="21"/>
        <w:widowControl/>
        <w:tabs>
          <w:tab w:val="right" w:pos="9799" w:leader="dot"/>
        </w:tabs>
        <w:bidi w:val="0"/>
        <w:ind w:left="240" w:right="0" w:hanging="0"/>
        <w:jc w:val="left"/>
        <w:textAlignment w:val="auto"/>
        <w:rPr>
          <w:lang w:val="ru-RU"/>
        </w:rPr>
      </w:pPr>
      <w:hyperlink w:anchor="_Toc469651914">
        <w:r>
          <w:rPr>
            <w:webHidden/>
            <w:rStyle w:val="Style8"/>
            <w:rFonts w:cs="Times New Roman CE" w:ascii="Times New Roman CE" w:hAnsi="Times New Roman CE"/>
            <w:i/>
            <w:lang w:val="ru-RU" w:eastAsia="ru-RU" w:bidi="ar-SA"/>
          </w:rPr>
          <w:t>Algebre Lie  şi sisteme dinamice în plan (Curs opţional)</w:t>
        </w:r>
        <w:r>
          <w:rPr>
            <w:webHidden/>
          </w:rPr>
          <w:fldChar w:fldCharType="begin"/>
        </w:r>
        <w:r>
          <w:rPr>
            <w:webHidden/>
          </w:rPr>
          <w:instrText>PAGEREF _Toc469651914 \h</w:instrText>
        </w:r>
        <w:r>
          <w:rPr>
            <w:webHidden/>
          </w:rPr>
          <w:fldChar w:fldCharType="separate"/>
        </w:r>
        <w:r>
          <w:rPr>
            <w:rStyle w:val="Style8"/>
          </w:rPr>
          <w:tab/>
          <w:t>55</w:t>
        </w:r>
        <w:r>
          <w:rPr>
            <w:webHidden/>
          </w:rPr>
          <w:fldChar w:fldCharType="end"/>
        </w:r>
      </w:hyperlink>
    </w:p>
    <w:p>
      <w:pPr>
        <w:pStyle w:val="21"/>
        <w:widowControl/>
        <w:tabs>
          <w:tab w:val="right" w:pos="9799" w:leader="dot"/>
        </w:tabs>
        <w:bidi w:val="0"/>
        <w:ind w:left="240" w:right="0" w:hanging="0"/>
        <w:jc w:val="left"/>
        <w:textAlignment w:val="auto"/>
        <w:rPr>
          <w:lang w:val="ru-RU"/>
        </w:rPr>
      </w:pPr>
      <w:hyperlink w:anchor="_Toc469651915">
        <w:r>
          <w:rPr>
            <w:webHidden/>
            <w:rStyle w:val="Style8"/>
            <w:i/>
            <w:lang w:val="ru-RU" w:eastAsia="ru-RU" w:bidi="ar-SA"/>
          </w:rPr>
          <w:t>Matematica: Caiet de teste sumative – clasa a 7-a</w:t>
        </w:r>
        <w:r>
          <w:rPr>
            <w:webHidden/>
          </w:rPr>
          <w:fldChar w:fldCharType="begin"/>
        </w:r>
        <w:r>
          <w:rPr>
            <w:webHidden/>
          </w:rPr>
          <w:instrText>PAGEREF _Toc469651915 \h</w:instrText>
        </w:r>
        <w:r>
          <w:rPr>
            <w:webHidden/>
          </w:rPr>
          <w:fldChar w:fldCharType="separate"/>
        </w:r>
        <w:r>
          <w:rPr>
            <w:rStyle w:val="Style8"/>
          </w:rPr>
          <w:tab/>
          <w:t>56</w:t>
        </w:r>
        <w:r>
          <w:rPr>
            <w:webHidden/>
          </w:rPr>
          <w:fldChar w:fldCharType="end"/>
        </w:r>
      </w:hyperlink>
    </w:p>
    <w:p>
      <w:pPr>
        <w:pStyle w:val="21"/>
        <w:widowControl/>
        <w:tabs>
          <w:tab w:val="right" w:pos="9799" w:leader="dot"/>
        </w:tabs>
        <w:bidi w:val="0"/>
        <w:ind w:left="240" w:right="0" w:hanging="0"/>
        <w:jc w:val="left"/>
        <w:textAlignment w:val="auto"/>
        <w:rPr>
          <w:lang w:val="ru-RU"/>
        </w:rPr>
      </w:pPr>
      <w:hyperlink w:anchor="_Toc469651916">
        <w:r>
          <w:rPr>
            <w:webHidden/>
            <w:rStyle w:val="Style8"/>
            <w:i/>
            <w:lang w:val="ru-RU" w:eastAsia="ru-RU" w:bidi="ar-SA"/>
          </w:rPr>
          <w:t>Matematici Aplicate/ Note de curs</w:t>
        </w:r>
        <w:r>
          <w:rPr>
            <w:webHidden/>
          </w:rPr>
          <w:fldChar w:fldCharType="begin"/>
        </w:r>
        <w:r>
          <w:rPr>
            <w:webHidden/>
          </w:rPr>
          <w:instrText>PAGEREF _Toc469651916 \h</w:instrText>
        </w:r>
        <w:r>
          <w:rPr>
            <w:webHidden/>
          </w:rPr>
          <w:fldChar w:fldCharType="separate"/>
        </w:r>
        <w:r>
          <w:rPr>
            <w:rStyle w:val="Style8"/>
          </w:rPr>
          <w:tab/>
          <w:t>57</w:t>
        </w:r>
        <w:r>
          <w:rPr>
            <w:webHidden/>
          </w:rPr>
          <w:fldChar w:fldCharType="end"/>
        </w:r>
      </w:hyperlink>
    </w:p>
    <w:p>
      <w:pPr>
        <w:pStyle w:val="11"/>
        <w:widowControl/>
        <w:tabs>
          <w:tab w:val="right" w:pos="9799" w:leader="dot"/>
        </w:tabs>
        <w:bidi w:val="0"/>
        <w:ind w:left="0" w:right="0" w:hanging="0"/>
        <w:jc w:val="left"/>
        <w:textAlignment w:val="auto"/>
        <w:rPr>
          <w:b w:val="false"/>
          <w:b w:val="false"/>
          <w:lang w:val="ru-RU"/>
        </w:rPr>
      </w:pPr>
      <w:hyperlink w:anchor="_Toc469651917">
        <w:r>
          <w:rPr>
            <w:webHidden/>
            <w:rStyle w:val="Style8"/>
            <w:rFonts w:cs="Times New Roman CE" w:ascii="Times New Roman CE" w:hAnsi="Times New Roman CE"/>
            <w:lang w:val="ru-RU" w:eastAsia="ru-RU" w:bidi="ar-SA"/>
          </w:rPr>
          <w:t>Lista lucrărilor publicate în anul 2016  (Forma 4)</w:t>
        </w:r>
        <w:r>
          <w:rPr>
            <w:webHidden/>
          </w:rPr>
          <w:fldChar w:fldCharType="begin"/>
        </w:r>
        <w:r>
          <w:rPr>
            <w:webHidden/>
          </w:rPr>
          <w:instrText>PAGEREF _Toc469651917 \h</w:instrText>
        </w:r>
        <w:r>
          <w:rPr>
            <w:webHidden/>
          </w:rPr>
          <w:fldChar w:fldCharType="separate"/>
        </w:r>
        <w:r>
          <w:rPr>
            <w:rStyle w:val="Style8"/>
          </w:rPr>
          <w:tab/>
          <w:t>58</w:t>
        </w:r>
        <w:r>
          <w:rPr>
            <w:webHidden/>
          </w:rPr>
          <w:fldChar w:fldCharType="end"/>
        </w:r>
      </w:hyperlink>
    </w:p>
    <w:p>
      <w:pPr>
        <w:pStyle w:val="11"/>
        <w:widowControl/>
        <w:tabs>
          <w:tab w:val="right" w:pos="9799" w:leader="dot"/>
        </w:tabs>
        <w:bidi w:val="0"/>
        <w:ind w:left="0" w:right="0" w:hanging="0"/>
        <w:jc w:val="left"/>
        <w:textAlignment w:val="auto"/>
        <w:rPr>
          <w:b w:val="false"/>
          <w:b w:val="false"/>
          <w:lang w:val="ru-RU"/>
        </w:rPr>
      </w:pPr>
      <w:hyperlink w:anchor="_Toc469651918">
        <w:r>
          <w:rPr>
            <w:webHidden/>
            <w:rStyle w:val="Style8"/>
            <w:rFonts w:cs="Times New Roman CE" w:ascii="Times New Roman CE" w:hAnsi="Times New Roman CE"/>
            <w:lang w:val="ru-RU" w:eastAsia="ru-RU" w:bidi="ar-SA"/>
          </w:rPr>
          <w:t>Lista  obiectelor de proprietate intelectuală înregistrate sau depuse în</w:t>
        </w:r>
        <w:r>
          <w:rPr>
            <w:webHidden/>
          </w:rPr>
          <w:fldChar w:fldCharType="begin"/>
        </w:r>
        <w:r>
          <w:rPr>
            <w:webHidden/>
          </w:rPr>
          <w:instrText>PAGEREF _Toc469651918 \h</w:instrText>
        </w:r>
        <w:r>
          <w:rPr>
            <w:webHidden/>
          </w:rPr>
          <w:fldChar w:fldCharType="separate"/>
        </w:r>
        <w:r>
          <w:rPr>
            <w:rStyle w:val="Style8"/>
          </w:rPr>
          <w:tab/>
          <w:t>71</w:t>
        </w:r>
        <w:r>
          <w:rPr>
            <w:webHidden/>
          </w:rPr>
          <w:fldChar w:fldCharType="end"/>
        </w:r>
      </w:hyperlink>
    </w:p>
    <w:p>
      <w:pPr>
        <w:pStyle w:val="11"/>
        <w:widowControl/>
        <w:tabs>
          <w:tab w:val="right" w:pos="9799" w:leader="dot"/>
        </w:tabs>
        <w:bidi w:val="0"/>
        <w:ind w:left="0" w:right="0" w:hanging="0"/>
        <w:jc w:val="left"/>
        <w:textAlignment w:val="auto"/>
        <w:rPr>
          <w:b w:val="false"/>
          <w:b w:val="false"/>
          <w:lang w:val="ru-RU"/>
        </w:rPr>
      </w:pPr>
      <w:hyperlink w:anchor="_Toc469651919">
        <w:r>
          <w:rPr>
            <w:webHidden/>
            <w:rStyle w:val="Style8"/>
            <w:rFonts w:cs="Times New Roman CE" w:ascii="Times New Roman CE" w:hAnsi="Times New Roman CE"/>
            <w:lang w:val="ru-RU" w:eastAsia="ru-RU" w:bidi="ar-SA"/>
          </w:rPr>
          <w:t>perioada raportată (Forma 5)</w:t>
        </w:r>
        <w:r>
          <w:rPr>
            <w:webHidden/>
          </w:rPr>
          <w:fldChar w:fldCharType="begin"/>
        </w:r>
        <w:r>
          <w:rPr>
            <w:webHidden/>
          </w:rPr>
          <w:instrText>PAGEREF _Toc469651919 \h</w:instrText>
        </w:r>
        <w:r>
          <w:rPr>
            <w:webHidden/>
          </w:rPr>
          <w:fldChar w:fldCharType="separate"/>
        </w:r>
        <w:r>
          <w:rPr>
            <w:rStyle w:val="Style8"/>
          </w:rPr>
          <w:tab/>
          <w:t>71</w:t>
        </w:r>
        <w:r>
          <w:rPr>
            <w:webHidden/>
          </w:rPr>
          <w:fldChar w:fldCharType="end"/>
        </w:r>
      </w:hyperlink>
    </w:p>
    <w:p>
      <w:pPr>
        <w:pStyle w:val="11"/>
        <w:widowControl/>
        <w:tabs>
          <w:tab w:val="right" w:pos="9799" w:leader="dot"/>
        </w:tabs>
        <w:bidi w:val="0"/>
        <w:ind w:left="0" w:right="0" w:hanging="0"/>
        <w:jc w:val="left"/>
        <w:textAlignment w:val="auto"/>
        <w:rPr>
          <w:b w:val="false"/>
          <w:b w:val="false"/>
          <w:lang w:val="ru-RU"/>
        </w:rPr>
      </w:pPr>
      <w:hyperlink w:anchor="_Toc469651920">
        <w:r>
          <w:rPr>
            <w:webHidden/>
            <w:rStyle w:val="Style8"/>
            <w:rFonts w:cs="Times New Roman CE" w:ascii="Times New Roman CE" w:hAnsi="Times New Roman CE"/>
            <w:lang w:val="ru-RU" w:eastAsia="ru-RU" w:bidi="ar-SA"/>
          </w:rPr>
          <w:t>Activitatea de brevetare  în anul 2016 (Anexă la Forma 5)</w:t>
        </w:r>
        <w:r>
          <w:rPr>
            <w:webHidden/>
          </w:rPr>
          <w:fldChar w:fldCharType="begin"/>
        </w:r>
        <w:r>
          <w:rPr>
            <w:webHidden/>
          </w:rPr>
          <w:instrText>PAGEREF _Toc469651920 \h</w:instrText>
        </w:r>
        <w:r>
          <w:rPr>
            <w:webHidden/>
          </w:rPr>
          <w:fldChar w:fldCharType="separate"/>
        </w:r>
        <w:r>
          <w:rPr>
            <w:rStyle w:val="Style8"/>
          </w:rPr>
          <w:tab/>
          <w:t>71</w:t>
        </w:r>
        <w:r>
          <w:rPr>
            <w:webHidden/>
          </w:rPr>
          <w:fldChar w:fldCharType="end"/>
        </w:r>
      </w:hyperlink>
    </w:p>
    <w:p>
      <w:pPr>
        <w:pStyle w:val="11"/>
        <w:widowControl/>
        <w:tabs>
          <w:tab w:val="right" w:pos="9799" w:leader="dot"/>
        </w:tabs>
        <w:bidi w:val="0"/>
        <w:ind w:left="0" w:right="0" w:hanging="0"/>
        <w:jc w:val="left"/>
        <w:textAlignment w:val="auto"/>
        <w:rPr>
          <w:b w:val="false"/>
          <w:b w:val="false"/>
          <w:lang w:val="ru-RU"/>
        </w:rPr>
      </w:pPr>
      <w:hyperlink w:anchor="_Toc469651921">
        <w:r>
          <w:rPr>
            <w:webHidden/>
            <w:rStyle w:val="Style8"/>
            <w:rFonts w:cs="Times New Roman CE" w:ascii="Times New Roman CE" w:hAnsi="Times New Roman CE"/>
            <w:lang w:val="ru-RU" w:eastAsia="ru-RU" w:bidi="ar-SA"/>
          </w:rPr>
          <w:t>Lista cercetătorilor ştiinţifici ai organizaţiei la 31.12. 2016 pe subdiviziuni</w:t>
        </w:r>
        <w:r>
          <w:rPr>
            <w:webHidden/>
          </w:rPr>
          <w:fldChar w:fldCharType="begin"/>
        </w:r>
        <w:r>
          <w:rPr>
            <w:webHidden/>
          </w:rPr>
          <w:instrText>PAGEREF _Toc469651921 \h</w:instrText>
        </w:r>
        <w:r>
          <w:rPr>
            <w:webHidden/>
          </w:rPr>
          <w:fldChar w:fldCharType="separate"/>
        </w:r>
        <w:r>
          <w:rPr>
            <w:rStyle w:val="Style8"/>
          </w:rPr>
          <w:tab/>
          <w:t>72</w:t>
        </w:r>
        <w:r>
          <w:rPr>
            <w:webHidden/>
          </w:rPr>
          <w:fldChar w:fldCharType="end"/>
        </w:r>
      </w:hyperlink>
    </w:p>
    <w:p>
      <w:pPr>
        <w:pStyle w:val="11"/>
        <w:widowControl/>
        <w:tabs>
          <w:tab w:val="right" w:pos="9799" w:leader="dot"/>
        </w:tabs>
        <w:bidi w:val="0"/>
        <w:ind w:left="0" w:right="0" w:hanging="0"/>
        <w:jc w:val="left"/>
        <w:textAlignment w:val="auto"/>
        <w:rPr>
          <w:b w:val="false"/>
          <w:b w:val="false"/>
          <w:lang w:val="ru-RU"/>
        </w:rPr>
      </w:pPr>
      <w:hyperlink w:anchor="_Toc469651922">
        <w:r>
          <w:rPr>
            <w:webHidden/>
            <w:rStyle w:val="Style8"/>
            <w:lang w:val="ru-RU" w:eastAsia="ru-RU" w:bidi="ar-SA"/>
          </w:rPr>
          <w:t>(Forma 6)</w:t>
        </w:r>
        <w:r>
          <w:rPr>
            <w:webHidden/>
          </w:rPr>
          <w:fldChar w:fldCharType="begin"/>
        </w:r>
        <w:r>
          <w:rPr>
            <w:webHidden/>
          </w:rPr>
          <w:instrText>PAGEREF _Toc469651922 \h</w:instrText>
        </w:r>
        <w:r>
          <w:rPr>
            <w:webHidden/>
          </w:rPr>
          <w:fldChar w:fldCharType="separate"/>
        </w:r>
        <w:r>
          <w:rPr>
            <w:rStyle w:val="Style8"/>
          </w:rPr>
          <w:tab/>
          <w:t>72</w:t>
        </w:r>
        <w:r>
          <w:rPr>
            <w:webHidden/>
          </w:rPr>
          <w:fldChar w:fldCharType="end"/>
        </w:r>
      </w:hyperlink>
    </w:p>
    <w:p>
      <w:pPr>
        <w:pStyle w:val="11"/>
        <w:widowControl/>
        <w:tabs>
          <w:tab w:val="right" w:pos="9799" w:leader="dot"/>
        </w:tabs>
        <w:bidi w:val="0"/>
        <w:ind w:left="0" w:right="0" w:hanging="0"/>
        <w:jc w:val="left"/>
        <w:textAlignment w:val="auto"/>
        <w:rPr>
          <w:b w:val="false"/>
          <w:b w:val="false"/>
          <w:lang w:val="ru-RU"/>
        </w:rPr>
      </w:pPr>
      <w:hyperlink w:anchor="_Toc469651923">
        <w:r>
          <w:rPr>
            <w:webHidden/>
            <w:rStyle w:val="Style8"/>
            <w:lang w:val="ru-RU" w:eastAsia="ru-RU" w:bidi="ar-SA"/>
          </w:rPr>
          <w:t>Lista  doctora</w:t>
        </w:r>
        <w:r>
          <w:rPr>
            <w:rStyle w:val="Style8"/>
            <w:rFonts w:cs="Times New Roman CE" w:ascii="Times New Roman CE" w:hAnsi="Times New Roman CE"/>
            <w:lang w:val="ru-RU" w:eastAsia="ru-RU" w:bidi="ar-SA"/>
          </w:rPr>
          <w:t>nzilor organizaţiei la 31.12. 2016  pe subdiviziuni</w:t>
        </w:r>
        <w:r>
          <w:rPr>
            <w:webHidden/>
          </w:rPr>
          <w:fldChar w:fldCharType="begin"/>
        </w:r>
        <w:r>
          <w:rPr>
            <w:webHidden/>
          </w:rPr>
          <w:instrText>PAGEREF _Toc469651923 \h</w:instrText>
        </w:r>
        <w:r>
          <w:rPr>
            <w:webHidden/>
          </w:rPr>
          <w:fldChar w:fldCharType="separate"/>
        </w:r>
        <w:r>
          <w:rPr>
            <w:rStyle w:val="Style8"/>
          </w:rPr>
          <w:tab/>
          <w:t>76</w:t>
        </w:r>
        <w:r>
          <w:rPr>
            <w:webHidden/>
          </w:rPr>
          <w:fldChar w:fldCharType="end"/>
        </w:r>
      </w:hyperlink>
    </w:p>
    <w:p>
      <w:pPr>
        <w:pStyle w:val="11"/>
        <w:widowControl/>
        <w:tabs>
          <w:tab w:val="right" w:pos="9799" w:leader="dot"/>
        </w:tabs>
        <w:bidi w:val="0"/>
        <w:ind w:left="0" w:right="0" w:hanging="0"/>
        <w:jc w:val="left"/>
        <w:textAlignment w:val="auto"/>
        <w:rPr>
          <w:b w:val="false"/>
          <w:b w:val="false"/>
          <w:lang w:val="ru-RU"/>
        </w:rPr>
      </w:pPr>
      <w:hyperlink w:anchor="_Toc469651924">
        <w:r>
          <w:rPr>
            <w:webHidden/>
            <w:rStyle w:val="Style8"/>
            <w:rFonts w:cs="Times New Roman CE" w:ascii="Times New Roman CE" w:hAnsi="Times New Roman CE"/>
            <w:lang w:val="ru-RU" w:eastAsia="ru-RU" w:bidi="ar-SA"/>
          </w:rPr>
          <w:t>Date  privind deplasările şi stagiile cercetătorilor peste hotare în anul 2016</w:t>
        </w:r>
        <w:r>
          <w:rPr>
            <w:webHidden/>
          </w:rPr>
          <w:fldChar w:fldCharType="begin"/>
        </w:r>
        <w:r>
          <w:rPr>
            <w:webHidden/>
          </w:rPr>
          <w:instrText>PAGEREF _Toc469651924 \h</w:instrText>
        </w:r>
        <w:r>
          <w:rPr>
            <w:webHidden/>
          </w:rPr>
          <w:fldChar w:fldCharType="separate"/>
        </w:r>
        <w:r>
          <w:rPr>
            <w:rStyle w:val="Style8"/>
          </w:rPr>
          <w:tab/>
          <w:t>77</w:t>
        </w:r>
        <w:r>
          <w:rPr>
            <w:webHidden/>
          </w:rPr>
          <w:fldChar w:fldCharType="end"/>
        </w:r>
      </w:hyperlink>
    </w:p>
    <w:p>
      <w:pPr>
        <w:pStyle w:val="11"/>
        <w:widowControl/>
        <w:tabs>
          <w:tab w:val="right" w:pos="9799" w:leader="dot"/>
        </w:tabs>
        <w:bidi w:val="0"/>
        <w:ind w:left="0" w:right="0" w:hanging="0"/>
        <w:jc w:val="left"/>
        <w:textAlignment w:val="auto"/>
        <w:rPr>
          <w:b w:val="false"/>
          <w:b w:val="false"/>
          <w:lang w:val="ru-RU"/>
        </w:rPr>
      </w:pPr>
      <w:hyperlink w:anchor="_Toc469651925">
        <w:r>
          <w:rPr>
            <w:webHidden/>
            <w:rStyle w:val="Style8"/>
            <w:lang w:val="ru-RU" w:eastAsia="ru-RU" w:bidi="ar-SA"/>
          </w:rPr>
          <w:t>(Forma 7.1.)</w:t>
        </w:r>
        <w:r>
          <w:rPr>
            <w:webHidden/>
          </w:rPr>
          <w:fldChar w:fldCharType="begin"/>
        </w:r>
        <w:r>
          <w:rPr>
            <w:webHidden/>
          </w:rPr>
          <w:instrText>PAGEREF _Toc469651925 \h</w:instrText>
        </w:r>
        <w:r>
          <w:rPr>
            <w:webHidden/>
          </w:rPr>
          <w:fldChar w:fldCharType="separate"/>
        </w:r>
        <w:r>
          <w:rPr>
            <w:rStyle w:val="Style8"/>
          </w:rPr>
          <w:tab/>
          <w:t>77</w:t>
        </w:r>
        <w:r>
          <w:rPr>
            <w:webHidden/>
          </w:rPr>
          <w:fldChar w:fldCharType="end"/>
        </w:r>
      </w:hyperlink>
    </w:p>
    <w:p>
      <w:pPr>
        <w:pStyle w:val="11"/>
        <w:widowControl/>
        <w:tabs>
          <w:tab w:val="right" w:pos="9799" w:leader="dot"/>
        </w:tabs>
        <w:bidi w:val="0"/>
        <w:ind w:left="0" w:right="0" w:hanging="0"/>
        <w:jc w:val="left"/>
        <w:textAlignment w:val="auto"/>
        <w:rPr>
          <w:b w:val="false"/>
          <w:b w:val="false"/>
          <w:lang w:val="ru-RU"/>
        </w:rPr>
      </w:pPr>
      <w:hyperlink w:anchor="_Toc469651926">
        <w:r>
          <w:rPr>
            <w:webHidden/>
            <w:rStyle w:val="Style8"/>
            <w:rFonts w:cs="Times New Roman CE" w:ascii="Times New Roman CE" w:hAnsi="Times New Roman CE"/>
            <w:lang w:val="ru-RU" w:eastAsia="ru-RU" w:bidi="ar-SA"/>
          </w:rPr>
          <w:t>Date  privind vizitele savanţilor şi specialiştilor de peste hotare în IMI 2016 (Forma 7.2.)</w:t>
        </w:r>
        <w:r>
          <w:rPr>
            <w:webHidden/>
          </w:rPr>
          <w:fldChar w:fldCharType="begin"/>
        </w:r>
        <w:r>
          <w:rPr>
            <w:webHidden/>
          </w:rPr>
          <w:instrText>PAGEREF _Toc469651926 \h</w:instrText>
        </w:r>
        <w:r>
          <w:rPr>
            <w:webHidden/>
          </w:rPr>
          <w:fldChar w:fldCharType="separate"/>
        </w:r>
        <w:r>
          <w:rPr>
            <w:rStyle w:val="Style8"/>
          </w:rPr>
          <w:tab/>
          <w:t>82</w:t>
        </w:r>
        <w:r>
          <w:rPr>
            <w:webHidden/>
          </w:rPr>
          <w:fldChar w:fldCharType="end"/>
        </w:r>
      </w:hyperlink>
    </w:p>
    <w:p>
      <w:pPr>
        <w:pStyle w:val="11"/>
        <w:widowControl/>
        <w:tabs>
          <w:tab w:val="right" w:pos="9799" w:leader="dot"/>
        </w:tabs>
        <w:bidi w:val="0"/>
        <w:ind w:left="0" w:right="0" w:hanging="0"/>
        <w:jc w:val="left"/>
        <w:textAlignment w:val="auto"/>
        <w:rPr>
          <w:b w:val="false"/>
          <w:b w:val="false"/>
          <w:lang w:val="ru-RU"/>
        </w:rPr>
      </w:pPr>
      <w:hyperlink w:anchor="_Toc469651927">
        <w:r>
          <w:rPr>
            <w:webHidden/>
            <w:rStyle w:val="Style8"/>
            <w:lang w:val="ru-RU" w:eastAsia="ru-RU" w:bidi="ar-SA"/>
          </w:rPr>
          <w:t>Organiz</w:t>
        </w:r>
        <w:r>
          <w:rPr>
            <w:rStyle w:val="Style8"/>
            <w:rFonts w:cs="Times New Roman CE" w:ascii="Times New Roman CE" w:hAnsi="Times New Roman CE"/>
            <w:lang w:val="ru-RU" w:eastAsia="ru-RU" w:bidi="ar-SA"/>
          </w:rPr>
          <w:t>area Manifestărilor ştiinţifice (Forma 8)</w:t>
        </w:r>
        <w:r>
          <w:rPr>
            <w:webHidden/>
          </w:rPr>
          <w:fldChar w:fldCharType="begin"/>
        </w:r>
        <w:r>
          <w:rPr>
            <w:webHidden/>
          </w:rPr>
          <w:instrText>PAGEREF _Toc469651927 \h</w:instrText>
        </w:r>
        <w:r>
          <w:rPr>
            <w:webHidden/>
          </w:rPr>
          <w:fldChar w:fldCharType="separate"/>
        </w:r>
        <w:r>
          <w:rPr>
            <w:rStyle w:val="Style8"/>
          </w:rPr>
          <w:tab/>
          <w:t>84</w:t>
        </w:r>
        <w:r>
          <w:rPr>
            <w:webHidden/>
          </w:rPr>
          <w:fldChar w:fldCharType="end"/>
        </w:r>
      </w:hyperlink>
    </w:p>
    <w:p>
      <w:pPr>
        <w:pStyle w:val="21"/>
        <w:widowControl/>
        <w:tabs>
          <w:tab w:val="right" w:pos="9799" w:leader="dot"/>
        </w:tabs>
        <w:bidi w:val="0"/>
        <w:ind w:left="240" w:right="0" w:hanging="0"/>
        <w:jc w:val="left"/>
        <w:textAlignment w:val="auto"/>
        <w:rPr>
          <w:lang w:val="ru-RU"/>
        </w:rPr>
      </w:pPr>
      <w:hyperlink w:anchor="_Toc469651928">
        <w:r>
          <w:rPr>
            <w:webHidden/>
            <w:rStyle w:val="Style8"/>
            <w:rFonts w:cs="Times New Roman CE" w:ascii="Times New Roman CE" w:hAnsi="Times New Roman CE"/>
            <w:i/>
            <w:lang w:val="ru-RU" w:eastAsia="ru-RU" w:bidi="ar-SA"/>
          </w:rPr>
          <w:t>Seminarul ştiinţific internaţional „Valentin Belousov”</w:t>
        </w:r>
        <w:r>
          <w:rPr>
            <w:webHidden/>
          </w:rPr>
          <w:fldChar w:fldCharType="begin"/>
        </w:r>
        <w:r>
          <w:rPr>
            <w:webHidden/>
          </w:rPr>
          <w:instrText>PAGEREF _Toc469651928 \h</w:instrText>
        </w:r>
        <w:r>
          <w:rPr>
            <w:webHidden/>
          </w:rPr>
          <w:fldChar w:fldCharType="separate"/>
        </w:r>
        <w:r>
          <w:rPr>
            <w:rStyle w:val="Style8"/>
          </w:rPr>
          <w:tab/>
          <w:t>84</w:t>
        </w:r>
        <w:r>
          <w:rPr>
            <w:webHidden/>
          </w:rPr>
          <w:fldChar w:fldCharType="end"/>
        </w:r>
      </w:hyperlink>
    </w:p>
    <w:p>
      <w:pPr>
        <w:pStyle w:val="21"/>
        <w:widowControl/>
        <w:tabs>
          <w:tab w:val="right" w:pos="9799" w:leader="dot"/>
        </w:tabs>
        <w:bidi w:val="0"/>
        <w:ind w:left="240" w:right="0" w:hanging="0"/>
        <w:jc w:val="left"/>
        <w:textAlignment w:val="auto"/>
        <w:rPr>
          <w:lang w:val="ru-RU"/>
        </w:rPr>
      </w:pPr>
      <w:hyperlink w:anchor="_Toc469651929">
        <w:r>
          <w:rPr>
            <w:webHidden/>
            <w:rStyle w:val="Style8"/>
            <w:rFonts w:cs="Times New Roman CE" w:ascii="Times New Roman CE" w:hAnsi="Times New Roman CE"/>
            <w:i/>
            <w:lang w:val="ru-RU" w:eastAsia="ru-RU" w:bidi="ar-SA"/>
          </w:rPr>
          <w:t>Seminarul ştiinţific internaţional „Alexandru Cuzneţov”</w:t>
        </w:r>
        <w:r>
          <w:rPr>
            <w:webHidden/>
          </w:rPr>
          <w:fldChar w:fldCharType="begin"/>
        </w:r>
        <w:r>
          <w:rPr>
            <w:webHidden/>
          </w:rPr>
          <w:instrText>PAGEREF _Toc469651929 \h</w:instrText>
        </w:r>
        <w:r>
          <w:rPr>
            <w:webHidden/>
          </w:rPr>
          <w:fldChar w:fldCharType="separate"/>
        </w:r>
        <w:r>
          <w:rPr>
            <w:rStyle w:val="Style8"/>
          </w:rPr>
          <w:tab/>
          <w:t>85</w:t>
        </w:r>
        <w:r>
          <w:rPr>
            <w:webHidden/>
          </w:rPr>
          <w:fldChar w:fldCharType="end"/>
        </w:r>
      </w:hyperlink>
    </w:p>
    <w:p>
      <w:pPr>
        <w:pStyle w:val="21"/>
        <w:widowControl/>
        <w:tabs>
          <w:tab w:val="right" w:pos="9799" w:leader="dot"/>
        </w:tabs>
        <w:bidi w:val="0"/>
        <w:ind w:left="240" w:right="0" w:hanging="0"/>
        <w:jc w:val="left"/>
        <w:textAlignment w:val="auto"/>
        <w:rPr>
          <w:lang w:val="ru-RU"/>
        </w:rPr>
      </w:pPr>
      <w:hyperlink w:anchor="_Toc469651931">
        <w:r>
          <w:rPr>
            <w:webHidden/>
            <w:rStyle w:val="Style8"/>
            <w:rFonts w:cs="Times New Roman CE" w:ascii="Times New Roman CE" w:hAnsi="Times New Roman CE"/>
            <w:i/>
            <w:lang w:val="ru-RU" w:eastAsia="ru-RU" w:bidi="ar-SA"/>
          </w:rPr>
          <w:t>Seminarul ştiinţific internaţional dedicat profesorului Iurie Rogojin</w:t>
        </w:r>
        <w:r>
          <w:rPr>
            <w:webHidden/>
          </w:rPr>
          <w:fldChar w:fldCharType="begin"/>
        </w:r>
        <w:r>
          <w:rPr>
            <w:webHidden/>
          </w:rPr>
          <w:instrText>PAGEREF _Toc469651931 \h</w:instrText>
        </w:r>
        <w:r>
          <w:rPr>
            <w:webHidden/>
          </w:rPr>
          <w:fldChar w:fldCharType="separate"/>
        </w:r>
        <w:r>
          <w:rPr>
            <w:rStyle w:val="Style8"/>
          </w:rPr>
          <w:tab/>
          <w:t>86</w:t>
        </w:r>
        <w:r>
          <w:rPr>
            <w:webHidden/>
          </w:rPr>
          <w:fldChar w:fldCharType="end"/>
        </w:r>
      </w:hyperlink>
    </w:p>
    <w:p>
      <w:pPr>
        <w:pStyle w:val="21"/>
        <w:widowControl/>
        <w:tabs>
          <w:tab w:val="right" w:pos="9799" w:leader="dot"/>
        </w:tabs>
        <w:bidi w:val="0"/>
        <w:ind w:left="240" w:right="0" w:hanging="0"/>
        <w:jc w:val="left"/>
        <w:textAlignment w:val="auto"/>
        <w:rPr>
          <w:lang w:val="ru-RU"/>
        </w:rPr>
      </w:pPr>
      <w:hyperlink w:anchor="_Toc469651932">
        <w:r>
          <w:rPr>
            <w:webHidden/>
            <w:rStyle w:val="Style8"/>
            <w:i/>
            <w:lang w:val="ru-RU" w:eastAsia="ru-RU" w:bidi="ar-SA"/>
          </w:rPr>
          <w:t>International Workshop on Foundations of Informatics</w:t>
        </w:r>
        <w:r>
          <w:rPr>
            <w:webHidden/>
          </w:rPr>
          <w:fldChar w:fldCharType="begin"/>
        </w:r>
        <w:r>
          <w:rPr>
            <w:webHidden/>
          </w:rPr>
          <w:instrText>PAGEREF _Toc469651932 \h</w:instrText>
        </w:r>
        <w:r>
          <w:rPr>
            <w:webHidden/>
          </w:rPr>
          <w:fldChar w:fldCharType="separate"/>
        </w:r>
        <w:r>
          <w:rPr>
            <w:rStyle w:val="Style8"/>
          </w:rPr>
          <w:tab/>
          <w:t>87</w:t>
        </w:r>
        <w:r>
          <w:rPr>
            <w:webHidden/>
          </w:rPr>
          <w:fldChar w:fldCharType="end"/>
        </w:r>
      </w:hyperlink>
    </w:p>
    <w:p>
      <w:pPr>
        <w:pStyle w:val="11"/>
        <w:widowControl/>
        <w:tabs>
          <w:tab w:val="right" w:pos="9799" w:leader="dot"/>
        </w:tabs>
        <w:bidi w:val="0"/>
        <w:ind w:left="0" w:right="0" w:hanging="0"/>
        <w:jc w:val="left"/>
        <w:textAlignment w:val="auto"/>
        <w:rPr>
          <w:b w:val="false"/>
          <w:b w:val="false"/>
          <w:lang w:val="ru-RU"/>
        </w:rPr>
      </w:pPr>
      <w:hyperlink w:anchor="_Toc469651933">
        <w:r>
          <w:rPr>
            <w:webHidden/>
            <w:rStyle w:val="Style8"/>
            <w:rFonts w:cs="Times New Roman CE" w:ascii="Times New Roman CE" w:hAnsi="Times New Roman CE"/>
            <w:lang w:val="ru-RU" w:eastAsia="ru-RU" w:bidi="ar-SA"/>
          </w:rPr>
          <w:t>Date despre implementarea rezultatelor ştiinţifice în anul 2016 (Forma 9)</w:t>
        </w:r>
        <w:r>
          <w:rPr>
            <w:webHidden/>
          </w:rPr>
          <w:fldChar w:fldCharType="begin"/>
        </w:r>
        <w:r>
          <w:rPr>
            <w:webHidden/>
          </w:rPr>
          <w:instrText>PAGEREF _Toc469651933 \h</w:instrText>
        </w:r>
        <w:r>
          <w:rPr>
            <w:webHidden/>
          </w:rPr>
          <w:fldChar w:fldCharType="separate"/>
        </w:r>
        <w:r>
          <w:rPr>
            <w:rStyle w:val="Style8"/>
          </w:rPr>
          <w:tab/>
          <w:t>88</w:t>
        </w:r>
        <w:r>
          <w:rPr>
            <w:webHidden/>
          </w:rPr>
          <w:fldChar w:fldCharType="end"/>
        </w:r>
      </w:hyperlink>
    </w:p>
    <w:p>
      <w:pPr>
        <w:pStyle w:val="11"/>
        <w:widowControl/>
        <w:tabs>
          <w:tab w:val="right" w:pos="9799" w:leader="dot"/>
        </w:tabs>
        <w:bidi w:val="0"/>
        <w:ind w:left="0" w:right="0" w:hanging="0"/>
        <w:jc w:val="left"/>
        <w:textAlignment w:val="auto"/>
        <w:rPr>
          <w:b w:val="false"/>
          <w:b w:val="false"/>
          <w:lang w:val="ru-RU"/>
        </w:rPr>
      </w:pPr>
      <w:hyperlink w:anchor="_Toc469651934">
        <w:r>
          <w:rPr>
            <w:webHidden/>
            <w:rStyle w:val="Style8"/>
            <w:lang w:val="ru-RU" w:eastAsia="ru-RU" w:bidi="ar-SA"/>
          </w:rPr>
          <w:t>Date despre acti</w:t>
        </w:r>
        <w:r>
          <w:rPr>
            <w:rStyle w:val="Style8"/>
            <w:rFonts w:cs="Times New Roman CE" w:ascii="Times New Roman CE" w:hAnsi="Times New Roman CE"/>
            <w:lang w:val="ru-RU" w:eastAsia="ru-RU" w:bidi="ar-SA"/>
          </w:rPr>
          <w:t>vitatea de colaborare în sfera ştiinţei şi inovării (Forma 10)</w:t>
        </w:r>
        <w:r>
          <w:rPr>
            <w:webHidden/>
          </w:rPr>
          <w:fldChar w:fldCharType="begin"/>
        </w:r>
        <w:r>
          <w:rPr>
            <w:webHidden/>
          </w:rPr>
          <w:instrText>PAGEREF _Toc469651934 \h</w:instrText>
        </w:r>
        <w:r>
          <w:rPr>
            <w:webHidden/>
          </w:rPr>
          <w:fldChar w:fldCharType="separate"/>
        </w:r>
        <w:r>
          <w:rPr>
            <w:rStyle w:val="Style8"/>
          </w:rPr>
          <w:tab/>
          <w:t>88</w:t>
        </w:r>
        <w:r>
          <w:rPr>
            <w:webHidden/>
          </w:rPr>
          <w:fldChar w:fldCharType="end"/>
        </w:r>
      </w:hyperlink>
    </w:p>
    <w:p>
      <w:pPr>
        <w:pStyle w:val="11"/>
        <w:widowControl/>
        <w:tabs>
          <w:tab w:val="right" w:pos="9799" w:leader="dot"/>
        </w:tabs>
        <w:bidi w:val="0"/>
        <w:ind w:left="0" w:right="0" w:hanging="0"/>
        <w:jc w:val="left"/>
        <w:textAlignment w:val="auto"/>
        <w:rPr>
          <w:b w:val="false"/>
          <w:b w:val="false"/>
          <w:lang w:val="ru-RU"/>
        </w:rPr>
      </w:pPr>
      <w:hyperlink w:anchor="_Toc469652033">
        <w:r>
          <w:rPr>
            <w:webHidden/>
            <w:rStyle w:val="Style8"/>
            <w:rFonts w:cs="Times New Roman CE" w:ascii="Times New Roman CE" w:hAnsi="Times New Roman CE"/>
            <w:lang w:val="ru-RU" w:eastAsia="ru-RU" w:bidi="ar-SA"/>
          </w:rPr>
          <w:t>Rezumatul de activitate ştiinţifică în anul 2016</w:t>
        </w:r>
        <w:r>
          <w:rPr>
            <w:webHidden/>
          </w:rPr>
          <w:fldChar w:fldCharType="begin"/>
        </w:r>
        <w:r>
          <w:rPr>
            <w:webHidden/>
          </w:rPr>
          <w:instrText>PAGEREF _Toc469652033 \h</w:instrText>
        </w:r>
        <w:r>
          <w:rPr>
            <w:webHidden/>
          </w:rPr>
          <w:fldChar w:fldCharType="separate"/>
        </w:r>
        <w:r>
          <w:rPr>
            <w:rStyle w:val="Style8"/>
          </w:rPr>
          <w:tab/>
          <w:t>121</w:t>
        </w:r>
        <w:r>
          <w:rPr>
            <w:webHidden/>
          </w:rPr>
          <w:fldChar w:fldCharType="end"/>
        </w:r>
      </w:hyperlink>
    </w:p>
    <w:p>
      <w:pPr>
        <w:pStyle w:val="11"/>
        <w:widowControl/>
        <w:tabs>
          <w:tab w:val="right" w:pos="9799" w:leader="dot"/>
        </w:tabs>
        <w:bidi w:val="0"/>
        <w:ind w:left="0" w:right="0" w:hanging="0"/>
        <w:jc w:val="left"/>
        <w:textAlignment w:val="auto"/>
        <w:rPr>
          <w:b w:val="false"/>
          <w:b w:val="false"/>
          <w:lang w:val="ru-RU"/>
        </w:rPr>
      </w:pPr>
      <w:hyperlink w:anchor="_Toc469652034">
        <w:r>
          <w:rPr>
            <w:webHidden/>
            <w:rStyle w:val="Style8"/>
            <w:lang w:val="ru-RU" w:eastAsia="ru-RU" w:bidi="ar-SA"/>
          </w:rPr>
          <w:t>Propuneri</w:t>
        </w:r>
        <w:r>
          <w:rPr>
            <w:rStyle w:val="Style8"/>
            <w:rFonts w:cs="Times New Roman CE" w:ascii="Times New Roman CE" w:hAnsi="Times New Roman CE"/>
            <w:lang w:val="ru-RU" w:eastAsia="ru-RU" w:bidi="ar-SA"/>
          </w:rPr>
          <w:t xml:space="preserve"> de perspectivă</w:t>
        </w:r>
        <w:r>
          <w:rPr>
            <w:webHidden/>
          </w:rPr>
          <w:fldChar w:fldCharType="begin"/>
        </w:r>
        <w:r>
          <w:rPr>
            <w:webHidden/>
          </w:rPr>
          <w:instrText>PAGEREF _Toc469652034 \h</w:instrText>
        </w:r>
        <w:r>
          <w:rPr>
            <w:webHidden/>
          </w:rPr>
          <w:fldChar w:fldCharType="separate"/>
        </w:r>
        <w:r>
          <w:rPr>
            <w:rStyle w:val="Style8"/>
          </w:rPr>
          <w:tab/>
          <w:t>122</w:t>
        </w:r>
        <w:r>
          <w:rPr>
            <w:webHidden/>
          </w:rPr>
          <w:fldChar w:fldCharType="end"/>
        </w:r>
      </w:hyperlink>
    </w:p>
    <w:p>
      <w:pPr>
        <w:pStyle w:val="11"/>
        <w:widowControl/>
        <w:tabs>
          <w:tab w:val="right" w:pos="9799" w:leader="dot"/>
        </w:tabs>
        <w:bidi w:val="0"/>
        <w:ind w:left="0" w:right="0" w:hanging="0"/>
        <w:jc w:val="left"/>
        <w:textAlignment w:val="auto"/>
        <w:rPr>
          <w:b w:val="false"/>
          <w:b w:val="false"/>
          <w:lang w:val="ru-RU"/>
        </w:rPr>
      </w:pPr>
      <w:hyperlink w:anchor="_Toc469652035">
        <w:r>
          <w:rPr>
            <w:webHidden/>
            <w:rStyle w:val="Style8"/>
            <w:lang w:val="ru-RU" w:eastAsia="ru-RU" w:bidi="ar-SA"/>
          </w:rPr>
          <w:t>Anexe (f3.xls, f2.xls)</w:t>
        </w:r>
        <w:r>
          <w:rPr>
            <w:webHidden/>
          </w:rPr>
          <w:fldChar w:fldCharType="begin"/>
        </w:r>
        <w:r>
          <w:rPr>
            <w:webHidden/>
          </w:rPr>
          <w:instrText>PAGEREF _Toc469652035 \h</w:instrText>
        </w:r>
        <w:r>
          <w:rPr>
            <w:webHidden/>
          </w:rPr>
          <w:fldChar w:fldCharType="separate"/>
        </w:r>
        <w:r>
          <w:rPr>
            <w:rStyle w:val="Style8"/>
          </w:rPr>
          <w:tab/>
          <w:t>123</w:t>
        </w:r>
        <w:r>
          <w:rPr>
            <w:webHidden/>
          </w:rPr>
          <w:fldChar w:fldCharType="end"/>
        </w:r>
      </w:hyperlink>
    </w:p>
    <w:p>
      <w:pPr>
        <w:pStyle w:val="21"/>
        <w:widowControl/>
        <w:tabs>
          <w:tab w:val="right" w:pos="9799" w:leader="dot"/>
        </w:tabs>
        <w:bidi w:val="0"/>
        <w:ind w:left="240" w:right="0" w:hanging="0"/>
        <w:jc w:val="left"/>
        <w:textAlignment w:val="auto"/>
        <w:rPr>
          <w:lang w:val="ru-RU"/>
        </w:rPr>
      </w:pPr>
      <w:hyperlink w:anchor="_Toc469652036">
        <w:r>
          <w:rPr>
            <w:webHidden/>
            <w:rStyle w:val="Style8"/>
            <w:rFonts w:cs="Times New Roman CE" w:ascii="Times New Roman CE" w:hAnsi="Times New Roman CE"/>
            <w:i/>
            <w:lang w:val="ru-RU" w:eastAsia="ru-RU" w:bidi="ar-SA"/>
          </w:rPr>
          <w:t>Anexa I. Forma indicatorilor de activitate a Institutului de Matematică şi Inform</w:t>
        </w:r>
        <w:r>
          <w:rPr>
            <w:rStyle w:val="Style8"/>
            <w:i/>
            <w:lang w:val="ru-RU" w:eastAsia="ru-RU" w:bidi="ar-SA"/>
          </w:rPr>
          <w:t>atic</w:t>
        </w:r>
        <w:r>
          <w:rPr>
            <w:rStyle w:val="Style8"/>
            <w:rFonts w:cs="Times New Roman CE" w:ascii="Times New Roman CE" w:hAnsi="Times New Roman CE"/>
            <w:i/>
            <w:lang w:val="ru-RU" w:eastAsia="ru-RU" w:bidi="ar-SA"/>
          </w:rPr>
          <w:t>ă</w:t>
        </w:r>
        <w:r>
          <w:rPr>
            <w:webHidden/>
          </w:rPr>
          <w:fldChar w:fldCharType="begin"/>
        </w:r>
        <w:r>
          <w:rPr>
            <w:webHidden/>
          </w:rPr>
          <w:instrText>PAGEREF _Toc469652036 \h</w:instrText>
        </w:r>
        <w:r>
          <w:rPr>
            <w:webHidden/>
          </w:rPr>
          <w:fldChar w:fldCharType="separate"/>
        </w:r>
        <w:r>
          <w:rPr>
            <w:rStyle w:val="Style8"/>
          </w:rPr>
          <w:tab/>
          <w:t>123</w:t>
        </w:r>
        <w:r>
          <w:rPr>
            <w:webHidden/>
          </w:rPr>
          <w:fldChar w:fldCharType="end"/>
        </w:r>
      </w:hyperlink>
    </w:p>
    <w:p>
      <w:pPr>
        <w:pStyle w:val="21"/>
        <w:widowControl/>
        <w:tabs>
          <w:tab w:val="right" w:pos="9799" w:leader="dot"/>
        </w:tabs>
        <w:bidi w:val="0"/>
        <w:ind w:left="240" w:right="0" w:hanging="0"/>
        <w:jc w:val="left"/>
        <w:textAlignment w:val="auto"/>
        <w:rPr>
          <w:lang w:val="ru-RU"/>
        </w:rPr>
      </w:pPr>
      <w:hyperlink w:anchor="_Toc469652037">
        <w:r>
          <w:rPr>
            <w:webHidden/>
            <w:rStyle w:val="Style8"/>
            <w:rFonts w:cs="Times New Roman CE" w:ascii="Times New Roman CE" w:hAnsi="Times New Roman CE"/>
            <w:i/>
            <w:lang w:val="ru-RU" w:eastAsia="ru-RU" w:bidi="ar-SA"/>
          </w:rPr>
          <w:t>Anexa II. Forma indicatorilor de activitate a laboratorului Algebră şi Topologie</w:t>
        </w:r>
        <w:r>
          <w:rPr>
            <w:webHidden/>
          </w:rPr>
          <w:fldChar w:fldCharType="begin"/>
        </w:r>
        <w:r>
          <w:rPr>
            <w:webHidden/>
          </w:rPr>
          <w:instrText>PAGEREF _Toc469652037 \h</w:instrText>
        </w:r>
        <w:r>
          <w:rPr>
            <w:webHidden/>
          </w:rPr>
          <w:fldChar w:fldCharType="separate"/>
        </w:r>
        <w:r>
          <w:rPr>
            <w:rStyle w:val="Style8"/>
          </w:rPr>
          <w:tab/>
          <w:t>133</w:t>
        </w:r>
        <w:r>
          <w:rPr>
            <w:webHidden/>
          </w:rPr>
          <w:fldChar w:fldCharType="end"/>
        </w:r>
      </w:hyperlink>
    </w:p>
    <w:p>
      <w:pPr>
        <w:pStyle w:val="21"/>
        <w:widowControl/>
        <w:tabs>
          <w:tab w:val="right" w:pos="9799" w:leader="dot"/>
        </w:tabs>
        <w:bidi w:val="0"/>
        <w:ind w:left="240" w:right="0" w:hanging="0"/>
        <w:jc w:val="left"/>
        <w:textAlignment w:val="auto"/>
        <w:rPr>
          <w:lang w:val="ru-RU"/>
        </w:rPr>
      </w:pPr>
      <w:hyperlink w:anchor="_Toc469652038">
        <w:r>
          <w:rPr>
            <w:webHidden/>
            <w:rStyle w:val="Style8"/>
            <w:i/>
            <w:lang w:val="ru-RU" w:eastAsia="ru-RU" w:bidi="ar-SA"/>
          </w:rPr>
          <w:t>Anexa III. Forma indicatorilor de</w:t>
        </w:r>
        <w:r>
          <w:rPr>
            <w:rStyle w:val="Style8"/>
            <w:rFonts w:cs="Times New Roman CE" w:ascii="Times New Roman CE" w:hAnsi="Times New Roman CE"/>
            <w:i/>
            <w:lang w:val="ru-RU" w:eastAsia="ru-RU" w:bidi="ar-SA"/>
          </w:rPr>
          <w:t xml:space="preserve"> activitate a laboratorului Ecuaţii Diferenţiale</w:t>
        </w:r>
        <w:r>
          <w:rPr>
            <w:webHidden/>
          </w:rPr>
          <w:fldChar w:fldCharType="begin"/>
        </w:r>
        <w:r>
          <w:rPr>
            <w:webHidden/>
          </w:rPr>
          <w:instrText>PAGEREF _Toc469652038 \h</w:instrText>
        </w:r>
        <w:r>
          <w:rPr>
            <w:webHidden/>
          </w:rPr>
          <w:fldChar w:fldCharType="separate"/>
        </w:r>
        <w:r>
          <w:rPr>
            <w:rStyle w:val="Style8"/>
          </w:rPr>
          <w:tab/>
          <w:t>140</w:t>
        </w:r>
        <w:r>
          <w:rPr>
            <w:webHidden/>
          </w:rPr>
          <w:fldChar w:fldCharType="end"/>
        </w:r>
      </w:hyperlink>
    </w:p>
    <w:p>
      <w:pPr>
        <w:pStyle w:val="21"/>
        <w:widowControl/>
        <w:tabs>
          <w:tab w:val="right" w:pos="9799" w:leader="dot"/>
        </w:tabs>
        <w:bidi w:val="0"/>
        <w:ind w:left="240" w:right="0" w:hanging="0"/>
        <w:jc w:val="left"/>
        <w:textAlignment w:val="auto"/>
        <w:rPr>
          <w:lang w:val="ru-RU"/>
        </w:rPr>
      </w:pPr>
      <w:hyperlink w:anchor="_Toc469652039">
        <w:r>
          <w:rPr>
            <w:webHidden/>
            <w:rStyle w:val="Style8"/>
            <w:rFonts w:cs="Times New Roman CE" w:ascii="Times New Roman CE" w:hAnsi="Times New Roman CE"/>
            <w:i/>
            <w:lang w:val="ru-RU" w:eastAsia="ru-RU" w:bidi="ar-SA"/>
          </w:rPr>
          <w:t>Anexa IV. Forma indicatorilor de activitate a laboratorului Modelare Matematică</w:t>
        </w:r>
        <w:r>
          <w:rPr>
            <w:webHidden/>
          </w:rPr>
          <w:fldChar w:fldCharType="begin"/>
        </w:r>
        <w:r>
          <w:rPr>
            <w:webHidden/>
          </w:rPr>
          <w:instrText>PAGEREF _Toc469652039 \h</w:instrText>
        </w:r>
        <w:r>
          <w:rPr>
            <w:webHidden/>
          </w:rPr>
          <w:fldChar w:fldCharType="separate"/>
        </w:r>
        <w:r>
          <w:rPr>
            <w:rStyle w:val="Style8"/>
          </w:rPr>
          <w:tab/>
          <w:t>147</w:t>
        </w:r>
        <w:r>
          <w:rPr>
            <w:webHidden/>
          </w:rPr>
          <w:fldChar w:fldCharType="end"/>
        </w:r>
      </w:hyperlink>
    </w:p>
    <w:p>
      <w:pPr>
        <w:pStyle w:val="21"/>
        <w:widowControl/>
        <w:tabs>
          <w:tab w:val="right" w:pos="9799" w:leader="dot"/>
        </w:tabs>
        <w:bidi w:val="0"/>
        <w:ind w:left="240" w:right="0" w:hanging="0"/>
        <w:jc w:val="left"/>
        <w:textAlignment w:val="auto"/>
        <w:rPr>
          <w:lang w:val="ru-RU"/>
        </w:rPr>
      </w:pPr>
      <w:hyperlink w:anchor="_Toc469652040">
        <w:r>
          <w:rPr>
            <w:webHidden/>
            <w:rStyle w:val="Style8"/>
            <w:i/>
            <w:lang w:val="ru-RU" w:eastAsia="ru-RU" w:bidi="ar-SA"/>
          </w:rPr>
          <w:t>Anexa V. Forma indicatorilor de activitate a laboratorului Sisteme de Programare</w:t>
        </w:r>
        <w:r>
          <w:rPr>
            <w:webHidden/>
          </w:rPr>
          <w:fldChar w:fldCharType="begin"/>
        </w:r>
        <w:r>
          <w:rPr>
            <w:webHidden/>
          </w:rPr>
          <w:instrText>PAGEREF _Toc469652040 \h</w:instrText>
        </w:r>
        <w:r>
          <w:rPr>
            <w:webHidden/>
          </w:rPr>
          <w:fldChar w:fldCharType="separate"/>
        </w:r>
        <w:r>
          <w:rPr>
            <w:rStyle w:val="Style8"/>
          </w:rPr>
          <w:tab/>
          <w:t>154</w:t>
        </w:r>
        <w:r>
          <w:rPr>
            <w:webHidden/>
          </w:rPr>
          <w:fldChar w:fldCharType="end"/>
        </w:r>
      </w:hyperlink>
    </w:p>
    <w:p>
      <w:pPr>
        <w:pStyle w:val="21"/>
        <w:widowControl/>
        <w:tabs>
          <w:tab w:val="right" w:pos="9799" w:leader="dot"/>
        </w:tabs>
        <w:bidi w:val="0"/>
        <w:ind w:left="240" w:right="0" w:hanging="0"/>
        <w:jc w:val="left"/>
        <w:textAlignment w:val="auto"/>
        <w:rPr>
          <w:lang w:val="ru-RU"/>
        </w:rPr>
      </w:pPr>
      <w:hyperlink w:anchor="_Toc469652041">
        <w:r>
          <w:rPr>
            <w:webHidden/>
            <w:rStyle w:val="Style8"/>
            <w:i/>
            <w:lang w:val="ru-RU" w:eastAsia="ru-RU" w:bidi="ar-SA"/>
          </w:rPr>
          <w:t>Anexa VI. Forma indicatorilor de activitate a laboratorului Sisteme Informatice</w:t>
        </w:r>
        <w:r>
          <w:rPr>
            <w:webHidden/>
          </w:rPr>
          <w:fldChar w:fldCharType="begin"/>
        </w:r>
        <w:r>
          <w:rPr>
            <w:webHidden/>
          </w:rPr>
          <w:instrText>PAGEREF _Toc469652041 \h</w:instrText>
        </w:r>
        <w:r>
          <w:rPr>
            <w:webHidden/>
          </w:rPr>
          <w:fldChar w:fldCharType="separate"/>
        </w:r>
        <w:r>
          <w:rPr>
            <w:rStyle w:val="Style8"/>
          </w:rPr>
          <w:tab/>
          <w:t>161</w:t>
        </w:r>
        <w:r>
          <w:rPr>
            <w:webHidden/>
          </w:rPr>
          <w:fldChar w:fldCharType="end"/>
        </w:r>
      </w:hyperlink>
    </w:p>
    <w:p>
      <w:pPr>
        <w:pStyle w:val="Normal"/>
        <w:widowControl/>
        <w:bidi w:val="0"/>
        <w:ind w:left="0" w:right="0" w:hanging="0"/>
        <w:jc w:val="left"/>
        <w:textAlignment w:val="auto"/>
        <w:rPr>
          <w:rFonts w:ascii="Times New Roman" w:hAnsi="Times New Roman"/>
        </w:rPr>
      </w:pPr>
      <w:r>
        <w:rPr/>
      </w:r>
      <w:r>
        <w:fldChar w:fldCharType="end"/>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lang w:val="ro-MD"/>
        </w:rPr>
      </w:pPr>
      <w:r>
        <w:rPr>
          <w:lang w:val="ro-MD"/>
        </w:rPr>
        <w:tab/>
        <w:tab/>
      </w:r>
    </w:p>
    <w:p>
      <w:pPr>
        <w:pStyle w:val="Normal"/>
        <w:widowControl/>
        <w:bidi w:val="0"/>
        <w:ind w:left="0" w:right="0" w:hanging="0"/>
        <w:jc w:val="left"/>
        <w:textAlignment w:val="auto"/>
        <w:rPr>
          <w:rFonts w:ascii="Times New Roman" w:hAnsi="Times New Roman"/>
          <w:lang w:val="ro-MD"/>
        </w:rPr>
      </w:pPr>
      <w:r>
        <w:rPr>
          <w:lang w:val="ro-MD"/>
        </w:rPr>
      </w:r>
    </w:p>
    <w:p>
      <w:pPr>
        <w:pStyle w:val="1"/>
        <w:keepNext/>
        <w:widowControl/>
        <w:numPr>
          <w:ilvl w:val="0"/>
          <w:numId w:val="0"/>
        </w:numPr>
        <w:bidi w:val="0"/>
        <w:spacing w:before="240" w:after="60"/>
        <w:ind w:left="0" w:right="0" w:hanging="0"/>
        <w:jc w:val="left"/>
        <w:textAlignment w:val="auto"/>
        <w:outlineLvl w:val="0"/>
        <w:rPr>
          <w:b w:val="false"/>
          <w:b w:val="false"/>
          <w:lang w:val="fr-FR"/>
        </w:rPr>
      </w:pPr>
      <w:bookmarkStart w:id="1" w:name="_Toc469651872"/>
      <w:r>
        <w:rPr>
          <w:rFonts w:cs="Times New Roman" w:ascii="Times New Roman" w:hAnsi="Times New Roman"/>
          <w:b w:val="false"/>
          <w:lang w:val="fr-FR"/>
        </w:rPr>
        <w:t xml:space="preserve">Forma 1 – </w:t>
      </w:r>
      <w:bookmarkEnd w:id="1"/>
      <w:r>
        <w:rPr>
          <w:rFonts w:cs="Times New Roman" w:ascii="Times New Roman" w:hAnsi="Times New Roman"/>
          <w:b w:val="false"/>
          <w:lang w:val="ro-RO"/>
        </w:rPr>
        <w:t>Organigrama</w:t>
      </w:r>
    </w:p>
    <w:p>
      <w:pPr>
        <w:pStyle w:val="Normal"/>
        <w:widowControl/>
        <w:bidi w:val="0"/>
        <w:ind w:left="6372" w:right="0" w:hanging="0"/>
        <w:jc w:val="right"/>
        <w:textAlignment w:val="auto"/>
        <w:rPr>
          <w:lang w:val="ro-MD"/>
        </w:rPr>
      </w:pPr>
      <w:r>
        <w:rPr>
          <w:rFonts w:cs="Times New Roman CE" w:ascii="Times New Roman CE" w:hAnsi="Times New Roman CE"/>
          <w:lang w:val="ro-MD"/>
        </w:rPr>
        <w:t xml:space="preserve">Anexă la </w:t>
      </w:r>
      <w:r>
        <w:rPr>
          <w:lang w:val="ro-MD"/>
        </w:rPr>
        <w:t>Raportul de activitate al</w:t>
      </w:r>
    </w:p>
    <w:p>
      <w:pPr>
        <w:pStyle w:val="Normal"/>
        <w:widowControl/>
        <w:bidi w:val="0"/>
        <w:ind w:left="4956" w:right="0" w:hanging="0"/>
        <w:jc w:val="left"/>
        <w:textAlignment w:val="auto"/>
        <w:rPr>
          <w:lang w:val="ro-MD"/>
        </w:rPr>
      </w:pPr>
      <w:r>
        <w:rPr>
          <w:b/>
          <w:lang w:val="ro-MD"/>
        </w:rPr>
        <w:t xml:space="preserve">          </w:t>
      </w:r>
      <w:r>
        <w:rPr>
          <w:rFonts w:cs="Times New Roman CE" w:ascii="Times New Roman CE" w:hAnsi="Times New Roman CE"/>
          <w:b/>
          <w:lang w:val="ro-MD"/>
        </w:rPr>
        <w:t>Institutului de Matematică şi Informatică</w:t>
      </w:r>
    </w:p>
    <w:p>
      <w:pPr>
        <w:pStyle w:val="Style14"/>
        <w:widowControl/>
        <w:bidi w:val="0"/>
        <w:ind w:left="0" w:right="0" w:hanging="0"/>
        <w:jc w:val="right"/>
        <w:textAlignment w:val="auto"/>
        <w:rPr>
          <w:rFonts w:ascii="Times New Roman" w:hAnsi="Times New Roman"/>
          <w:lang w:val="ro-MD"/>
        </w:rPr>
      </w:pPr>
      <w:r>
        <w:rPr>
          <w:lang w:val="ro-MD"/>
        </w:rPr>
      </w:r>
    </w:p>
    <w:p>
      <w:pPr>
        <w:pStyle w:val="Style14"/>
        <w:widowControl/>
        <w:bidi w:val="0"/>
        <w:ind w:left="0" w:right="0" w:hanging="0"/>
        <w:jc w:val="right"/>
        <w:textAlignment w:val="auto"/>
        <w:rPr>
          <w:rFonts w:ascii="Times New Roman" w:hAnsi="Times New Roman"/>
          <w:lang w:val="ro-MD"/>
        </w:rPr>
      </w:pPr>
      <w:r>
        <w:rPr>
          <w:lang w:val="ro-MD"/>
        </w:rPr>
      </w:r>
    </w:p>
    <w:p>
      <w:pPr>
        <w:pStyle w:val="Normal"/>
        <w:widowControl/>
        <w:bidi w:val="0"/>
        <w:ind w:left="0" w:right="0" w:hanging="0"/>
        <w:jc w:val="left"/>
        <w:textAlignment w:val="auto"/>
        <w:rPr>
          <w:lang w:val="ro-MD"/>
        </w:rPr>
      </w:pPr>
      <w:bookmarkStart w:id="2" w:name="_Forma__1"/>
      <w:bookmarkStart w:id="3" w:name="_Forma__1"/>
      <w:bookmarkEnd w:id="3"/>
      <w:r>
        <w:rPr>
          <w:lang w:val="ro-MD"/>
        </w:rPr>
      </w:r>
    </w:p>
    <w:p>
      <w:pPr>
        <w:pStyle w:val="Normal"/>
        <w:widowControl/>
        <w:bidi w:val="0"/>
        <w:ind w:left="0" w:right="0" w:hanging="0"/>
        <w:jc w:val="left"/>
        <w:textAlignment w:val="auto"/>
        <w:rPr>
          <w:rFonts w:ascii="Times New Roman" w:hAnsi="Times New Roman"/>
          <w:lang w:val="ro-RO"/>
        </w:rPr>
      </w:pPr>
      <w:r>
        <w:rPr/>
        <w:drawing>
          <wp:inline distT="0" distB="0" distL="0" distR="0">
            <wp:extent cx="5955665" cy="3684905"/>
            <wp:effectExtent l="0" t="0" r="0" b="0"/>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5955665" cy="3684905"/>
                    </a:xfrm>
                    <a:prstGeom prst="rect">
                      <a:avLst/>
                    </a:prstGeom>
                  </pic:spPr>
                </pic:pic>
              </a:graphicData>
            </a:graphic>
          </wp:inline>
        </w:drawing>
      </w:r>
      <w:r>
        <mc:AlternateContent>
          <mc:Choice Requires="wps">
            <w:drawing>
              <wp:anchor behindDoc="0" distT="0" distB="0" distL="114935" distR="114935" simplePos="0" locked="0" layoutInCell="1" allowOverlap="1" relativeHeight="2">
                <wp:simplePos x="0" y="0"/>
                <wp:positionH relativeFrom="column">
                  <wp:posOffset>1914525</wp:posOffset>
                </wp:positionH>
                <wp:positionV relativeFrom="paragraph">
                  <wp:posOffset>720725</wp:posOffset>
                </wp:positionV>
                <wp:extent cx="1288415" cy="419100"/>
                <wp:effectExtent l="0" t="0" r="0" b="0"/>
                <wp:wrapNone/>
                <wp:docPr id="2" name=""/>
                <a:graphic xmlns:a="http://schemas.openxmlformats.org/drawingml/2006/main">
                  <a:graphicData uri="http://schemas.microsoft.com/office/word/2010/wordprocessingShape">
                    <wps:wsp>
                      <wps:cNvSpPr txBox="1"/>
                      <wps:spPr>
                        <a:xfrm>
                          <a:off x="0" y="0"/>
                          <a:ext cx="1288415" cy="419100"/>
                        </a:xfrm>
                        <a:prstGeom prst="rect"/>
                        <a:solidFill>
                          <a:srgbClr val="FFCC99"/>
                        </a:solidFill>
                        <a:ln w="12700">
                          <a:solidFill>
                            <a:srgbClr val="FABF8F"/>
                          </a:solidFill>
                        </a:ln>
                      </wps:spPr>
                      <wps:txbx>
                        <w:txbxContent>
                          <w:p>
                            <w:pPr>
                              <w:pStyle w:val="Normal"/>
                              <w:widowControl/>
                              <w:bidi w:val="0"/>
                              <w:ind w:left="0" w:right="0" w:hanging="0"/>
                              <w:jc w:val="left"/>
                              <w:textAlignment w:val="auto"/>
                              <w:rPr/>
                            </w:pPr>
                            <w:r>
                              <w:rPr>
                                <w:rFonts w:cs="Times New Roman CE" w:ascii="Times New Roman CE" w:hAnsi="Times New Roman CE"/>
                                <w:sz w:val="20"/>
                                <w:szCs w:val="20"/>
                                <w:lang w:val="en-US"/>
                              </w:rPr>
                              <w:t>Director-adjuct pe probleme de ştiinţă</w:t>
                            </w:r>
                          </w:p>
                        </w:txbxContent>
                      </wps:txbx>
                      <wps:bodyPr anchor="t" lIns="91440" tIns="45720" rIns="91440" bIns="45720">
                        <a:noAutofit/>
                      </wps:bodyPr>
                    </wps:wsp>
                  </a:graphicData>
                </a:graphic>
              </wp:anchor>
            </w:drawing>
          </mc:Choice>
          <mc:Fallback>
            <w:pict>
              <v:rect fillcolor="#FFCC99" strokecolor="#FABF8F" strokeweight="1pt" style="position:absolute;rotation:0;width:101.45pt;height:33pt;mso-wrap-distance-left:9.05pt;mso-wrap-distance-right:9.05pt;mso-wrap-distance-top:5.7pt;mso-wrap-distance-bottom:5.7pt;margin-top:56.75pt;mso-position-vertical-relative:text;margin-left:150.75pt;mso-position-horizontal-relative:text">
                <v:textbox>
                  <w:txbxContent>
                    <w:p>
                      <w:pPr>
                        <w:pStyle w:val="Normal"/>
                        <w:widowControl/>
                        <w:bidi w:val="0"/>
                        <w:ind w:left="0" w:right="0" w:hanging="0"/>
                        <w:jc w:val="left"/>
                        <w:textAlignment w:val="auto"/>
                        <w:rPr/>
                      </w:pPr>
                      <w:r>
                        <w:rPr>
                          <w:rFonts w:cs="Times New Roman CE" w:ascii="Times New Roman CE" w:hAnsi="Times New Roman CE"/>
                          <w:sz w:val="20"/>
                          <w:szCs w:val="20"/>
                          <w:lang w:val="en-US"/>
                        </w:rPr>
                        <w:t>Director-adjuct pe probleme de ştiinţă</w:t>
                      </w:r>
                    </w:p>
                  </w:txbxContent>
                </v:textbox>
              </v:rect>
            </w:pict>
          </mc:Fallback>
        </mc:AlternateContent>
      </w:r>
    </w:p>
    <w:p>
      <w:pPr>
        <w:pStyle w:val="Normal"/>
        <w:widowControl/>
        <w:bidi w:val="0"/>
        <w:ind w:left="0" w:right="0" w:hanging="0"/>
        <w:jc w:val="left"/>
        <w:textAlignment w:val="auto"/>
        <w:rPr>
          <w:lang w:val="ro-MD"/>
        </w:rPr>
      </w:pPr>
      <w:r>
        <w:rPr>
          <w:lang w:val="ro-MD"/>
        </w:rPr>
        <w:tab/>
        <w:t xml:space="preserve">       19</w:t>
        <w:tab/>
        <w:t xml:space="preserve">                  </w:t>
      </w:r>
      <w:r>
        <w:rPr>
          <w:color w:val="FF0000"/>
          <w:lang w:val="ro-MD"/>
        </w:rPr>
        <w:t xml:space="preserve"> </w:t>
      </w:r>
      <w:r>
        <w:rPr>
          <w:lang w:val="ro-MD"/>
        </w:rPr>
        <w:t>12</w:t>
        <w:tab/>
        <w:tab/>
        <w:t xml:space="preserve">        15</w:t>
        <w:tab/>
        <w:t xml:space="preserve">        20</w:t>
        <w:tab/>
        <w:tab/>
        <w:t>16</w:t>
      </w:r>
    </w:p>
    <w:p>
      <w:pPr>
        <w:pStyle w:val="Normal"/>
        <w:widowControl/>
        <w:bidi w:val="0"/>
        <w:ind w:left="-540" w:right="0" w:hanging="0"/>
        <w:jc w:val="center"/>
        <w:textAlignment w:val="auto"/>
        <w:rPr>
          <w:rFonts w:ascii="Times New Roman" w:hAnsi="Times New Roman"/>
          <w:lang w:val="ro-RO"/>
        </w:rPr>
      </w:pPr>
      <w:r>
        <w:rPr>
          <w:lang w:val="ro-RO"/>
        </w:rPr>
      </w:r>
    </w:p>
    <w:p>
      <w:pPr>
        <w:pStyle w:val="Normal"/>
        <w:widowControl/>
        <w:bidi w:val="0"/>
        <w:ind w:left="-540" w:right="0" w:hanging="0"/>
        <w:jc w:val="center"/>
        <w:textAlignment w:val="auto"/>
        <w:rPr>
          <w:rFonts w:ascii="Times New Roman" w:hAnsi="Times New Roman"/>
          <w:lang w:val="ro-RO"/>
        </w:rPr>
      </w:pPr>
      <w:r>
        <w:rPr>
          <w:lang w:val="ro-RO"/>
        </w:rPr>
      </w:r>
    </w:p>
    <w:p>
      <w:pPr>
        <w:pStyle w:val="Normal"/>
        <w:widowControl/>
        <w:bidi w:val="0"/>
        <w:ind w:left="-540" w:right="0" w:hanging="0"/>
        <w:jc w:val="center"/>
        <w:textAlignment w:val="auto"/>
        <w:rPr>
          <w:rFonts w:ascii="Times New Roman" w:hAnsi="Times New Roman"/>
          <w:lang w:val="ro-RO"/>
        </w:rPr>
      </w:pPr>
      <w:r>
        <w:rPr>
          <w:lang w:val="ro-RO"/>
        </w:rPr>
      </w:r>
    </w:p>
    <w:p>
      <w:pPr>
        <w:pStyle w:val="Normal"/>
        <w:widowControl/>
        <w:bidi w:val="0"/>
        <w:ind w:left="-540" w:right="0" w:hanging="0"/>
        <w:jc w:val="center"/>
        <w:textAlignment w:val="auto"/>
        <w:rPr>
          <w:rFonts w:ascii="Times New Roman" w:hAnsi="Times New Roman"/>
          <w:lang w:val="ro-RO"/>
        </w:rPr>
      </w:pPr>
      <w:r>
        <w:rPr>
          <w:lang w:val="ro-RO"/>
        </w:rPr>
      </w:r>
    </w:p>
    <w:p>
      <w:pPr>
        <w:pStyle w:val="Normal"/>
        <w:widowControl/>
        <w:bidi w:val="0"/>
        <w:ind w:left="-540" w:right="0" w:hanging="0"/>
        <w:jc w:val="center"/>
        <w:textAlignment w:val="auto"/>
        <w:rPr>
          <w:rFonts w:ascii="Times New Roman" w:hAnsi="Times New Roman"/>
          <w:lang w:val="ro-RO"/>
        </w:rPr>
      </w:pPr>
      <w:r>
        <w:rPr>
          <w:lang w:val="ro-RO"/>
        </w:rPr>
      </w:r>
    </w:p>
    <w:p>
      <w:pPr>
        <w:pStyle w:val="Normal"/>
        <w:widowControl/>
        <w:bidi w:val="0"/>
        <w:ind w:left="0" w:right="0" w:hanging="0"/>
        <w:jc w:val="left"/>
        <w:textAlignment w:val="auto"/>
        <w:rPr>
          <w:lang w:val="ro-MD"/>
        </w:rPr>
      </w:pPr>
      <w:r>
        <w:rPr>
          <w:b/>
          <w:color w:val="000000"/>
          <w:sz w:val="22"/>
          <w:szCs w:val="22"/>
          <w:lang w:val="ro-MD"/>
        </w:rPr>
        <w:t>Resurse umane (</w:t>
      </w:r>
      <w:r>
        <w:rPr>
          <w:rFonts w:cs="Times New Roman CE" w:ascii="Times New Roman CE" w:hAnsi="Times New Roman CE"/>
          <w:b/>
          <w:color w:val="000000"/>
          <w:sz w:val="22"/>
          <w:szCs w:val="22"/>
          <w:lang w:val="ro-MD"/>
        </w:rPr>
        <w:t>fără</w:t>
      </w:r>
      <w:r>
        <w:rPr>
          <w:b/>
          <w:color w:val="000000"/>
          <w:sz w:val="22"/>
          <w:szCs w:val="22"/>
          <w:lang w:val="ro-MD"/>
        </w:rPr>
        <w:t xml:space="preserve"> cumularzi</w:t>
      </w:r>
      <w:r>
        <w:rPr>
          <w:b/>
          <w:color w:val="000000"/>
          <w:sz w:val="22"/>
          <w:szCs w:val="22"/>
          <w:lang w:val="it-IT"/>
        </w:rPr>
        <w:t>)</w:t>
      </w:r>
      <w:r>
        <w:rPr>
          <w:lang w:val="en-US"/>
        </w:rPr>
        <w:t xml:space="preserve"> *</w:t>
      </w:r>
      <w:r>
        <w:rPr>
          <w:sz w:val="22"/>
          <w:szCs w:val="22"/>
          <w:lang w:val="ro-RO"/>
        </w:rPr>
        <w:t>:</w:t>
      </w:r>
    </w:p>
    <w:tbl>
      <w:tblPr>
        <w:tblW w:w="4428" w:type="dxa"/>
        <w:jc w:val="left"/>
        <w:tblInd w:w="-10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3" w:type="dxa"/>
          <w:bottom w:w="0" w:type="dxa"/>
          <w:right w:w="108" w:type="dxa"/>
        </w:tblCellMar>
      </w:tblPr>
      <w:tblGrid>
        <w:gridCol w:w="3348"/>
        <w:gridCol w:w="1079"/>
      </w:tblGrid>
      <w:tr>
        <w:trPr/>
        <w:tc>
          <w:tcPr>
            <w:tcW w:w="334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tc>
        <w:tc>
          <w:tcPr>
            <w:tcW w:w="10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RO"/>
              </w:rPr>
            </w:pPr>
            <w:r>
              <w:rPr>
                <w:b/>
                <w:sz w:val="22"/>
                <w:szCs w:val="22"/>
                <w:lang w:val="ro-RO"/>
              </w:rPr>
              <w:t>2016</w:t>
            </w:r>
          </w:p>
        </w:tc>
      </w:tr>
      <w:tr>
        <w:trPr/>
        <w:tc>
          <w:tcPr>
            <w:tcW w:w="334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Personal total (</w:t>
            </w:r>
            <w:r>
              <w:rPr>
                <w:sz w:val="20"/>
                <w:szCs w:val="20"/>
                <w:lang w:val="ro-RO"/>
              </w:rPr>
              <w:t>persoane fizice)</w:t>
            </w:r>
          </w:p>
        </w:tc>
        <w:tc>
          <w:tcPr>
            <w:tcW w:w="10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RO"/>
              </w:rPr>
            </w:pPr>
            <w:r>
              <w:rPr>
                <w:sz w:val="22"/>
                <w:szCs w:val="22"/>
                <w:lang w:val="ro-RO"/>
              </w:rPr>
              <w:t>81</w:t>
            </w:r>
          </w:p>
        </w:tc>
      </w:tr>
      <w:tr>
        <w:trPr/>
        <w:tc>
          <w:tcPr>
            <w:tcW w:w="334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right"/>
              <w:textAlignment w:val="auto"/>
              <w:rPr>
                <w:lang w:val="ro-RO"/>
              </w:rPr>
            </w:pPr>
            <w:r>
              <w:rPr>
                <w:sz w:val="22"/>
                <w:szCs w:val="22"/>
                <w:lang w:val="ro-RO"/>
              </w:rPr>
              <w:t>inclusiv:</w:t>
            </w:r>
          </w:p>
        </w:tc>
        <w:tc>
          <w:tcPr>
            <w:tcW w:w="10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rFonts w:ascii="Times New Roman" w:hAnsi="Times New Roman"/>
                <w:sz w:val="22"/>
                <w:szCs w:val="22"/>
                <w:lang w:val="ro-RO"/>
              </w:rPr>
            </w:pPr>
            <w:r>
              <w:rPr>
                <w:sz w:val="22"/>
                <w:szCs w:val="22"/>
                <w:lang w:val="ro-RO"/>
              </w:rPr>
            </w:r>
          </w:p>
        </w:tc>
      </w:tr>
      <w:tr>
        <w:trPr/>
        <w:tc>
          <w:tcPr>
            <w:tcW w:w="334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cercetători ştiinţifici</w:t>
            </w:r>
          </w:p>
        </w:tc>
        <w:tc>
          <w:tcPr>
            <w:tcW w:w="10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RO"/>
              </w:rPr>
            </w:pPr>
            <w:r>
              <w:rPr>
                <w:sz w:val="22"/>
                <w:szCs w:val="22"/>
                <w:lang w:val="ro-RO"/>
              </w:rPr>
              <w:t>47</w:t>
            </w:r>
          </w:p>
        </w:tc>
      </w:tr>
      <w:tr>
        <w:trPr/>
        <w:tc>
          <w:tcPr>
            <w:tcW w:w="334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doctori în ştiinţe</w:t>
            </w:r>
          </w:p>
        </w:tc>
        <w:tc>
          <w:tcPr>
            <w:tcW w:w="10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RO"/>
              </w:rPr>
            </w:pPr>
            <w:r>
              <w:rPr>
                <w:sz w:val="22"/>
                <w:szCs w:val="22"/>
                <w:lang w:val="ro-RO"/>
              </w:rPr>
              <w:t>20</w:t>
            </w:r>
          </w:p>
        </w:tc>
      </w:tr>
      <w:tr>
        <w:trPr>
          <w:trHeight w:val="170" w:hRule="atLeast"/>
        </w:trPr>
        <w:tc>
          <w:tcPr>
            <w:tcW w:w="334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doctori habilitaţi</w:t>
            </w:r>
          </w:p>
        </w:tc>
        <w:tc>
          <w:tcPr>
            <w:tcW w:w="10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RO"/>
              </w:rPr>
            </w:pPr>
            <w:r>
              <w:rPr>
                <w:sz w:val="22"/>
                <w:szCs w:val="22"/>
                <w:lang w:val="ro-RO"/>
              </w:rPr>
              <w:t>13</w:t>
            </w:r>
          </w:p>
        </w:tc>
      </w:tr>
      <w:tr>
        <w:trPr>
          <w:trHeight w:val="170" w:hRule="atLeast"/>
        </w:trPr>
        <w:tc>
          <w:tcPr>
            <w:tcW w:w="334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cercetători ştiinţifici până la 35 ani</w:t>
            </w:r>
          </w:p>
        </w:tc>
        <w:tc>
          <w:tcPr>
            <w:tcW w:w="10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RO"/>
              </w:rPr>
            </w:pPr>
            <w:r>
              <w:rPr>
                <w:sz w:val="22"/>
                <w:szCs w:val="22"/>
                <w:lang w:val="ro-RO"/>
              </w:rPr>
              <w:t>7</w:t>
            </w:r>
          </w:p>
        </w:tc>
      </w:tr>
      <w:tr>
        <w:trPr>
          <w:trHeight w:val="170" w:hRule="atLeast"/>
        </w:trPr>
        <w:tc>
          <w:tcPr>
            <w:tcW w:w="334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doctoranzi</w:t>
            </w:r>
          </w:p>
        </w:tc>
        <w:tc>
          <w:tcPr>
            <w:tcW w:w="10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RO"/>
              </w:rPr>
            </w:pPr>
            <w:r>
              <w:rPr>
                <w:sz w:val="22"/>
                <w:szCs w:val="22"/>
                <w:lang w:val="ro-RO"/>
              </w:rPr>
              <w:t>1/6</w:t>
            </w:r>
          </w:p>
        </w:tc>
      </w:tr>
      <w:tr>
        <w:trPr>
          <w:trHeight w:val="170" w:hRule="atLeast"/>
        </w:trPr>
        <w:tc>
          <w:tcPr>
            <w:tcW w:w="334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masteranzi</w:t>
            </w:r>
          </w:p>
        </w:tc>
        <w:tc>
          <w:tcPr>
            <w:tcW w:w="10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RO"/>
              </w:rPr>
            </w:pPr>
            <w:r>
              <w:rPr>
                <w:sz w:val="22"/>
                <w:szCs w:val="22"/>
                <w:lang w:val="ro-RO"/>
              </w:rPr>
              <w:t>19/17</w:t>
            </w:r>
          </w:p>
        </w:tc>
      </w:tr>
      <w:tr>
        <w:trPr>
          <w:trHeight w:val="170" w:hRule="atLeast"/>
        </w:trPr>
        <w:tc>
          <w:tcPr>
            <w:tcW w:w="334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postdoctoranzi</w:t>
            </w:r>
          </w:p>
        </w:tc>
        <w:tc>
          <w:tcPr>
            <w:tcW w:w="10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RO"/>
              </w:rPr>
            </w:pPr>
            <w:r>
              <w:rPr>
                <w:sz w:val="22"/>
                <w:szCs w:val="22"/>
                <w:lang w:val="ro-RO"/>
              </w:rPr>
              <w:t>0</w:t>
            </w:r>
          </w:p>
        </w:tc>
      </w:tr>
    </w:tbl>
    <w:p>
      <w:pPr>
        <w:pStyle w:val="Normal"/>
        <w:widowControl/>
        <w:bidi w:val="0"/>
        <w:ind w:left="0" w:right="0" w:hanging="0"/>
        <w:jc w:val="left"/>
        <w:textAlignment w:val="auto"/>
        <w:rPr/>
      </w:pPr>
      <w:r>
        <w:rPr/>
        <w:t>*</w:t>
      </w:r>
      <w:r>
        <w:rPr>
          <w:rFonts w:cs="Times New Roman CE" w:ascii="Times New Roman CE" w:hAnsi="Times New Roman CE"/>
          <w:lang w:val="ro-RO"/>
        </w:rPr>
        <w:t xml:space="preserve">Organizaţiile din sfera ştiinţei şi inovării-membrii de profil indică şi persoanele angajate </w:t>
      </w:r>
    </w:p>
    <w:p>
      <w:pPr>
        <w:pStyle w:val="Normal"/>
        <w:widowControl/>
        <w:bidi w:val="0"/>
        <w:ind w:left="0" w:right="0" w:hanging="0"/>
        <w:jc w:val="left"/>
        <w:textAlignment w:val="auto"/>
        <w:rPr>
          <w:lang w:val="ro-RO"/>
        </w:rPr>
      </w:pPr>
      <w:r>
        <w:rPr>
          <w:lang w:val="ro-RO"/>
        </w:rPr>
        <w:t xml:space="preserve">   </w:t>
      </w:r>
      <w:r>
        <w:rPr>
          <w:lang w:val="ro-RO"/>
        </w:rPr>
        <w:t>prin cumul intern</w:t>
      </w:r>
    </w:p>
    <w:p>
      <w:pPr>
        <w:sectPr>
          <w:footerReference w:type="default" r:id="rId3"/>
          <w:type w:val="nextPage"/>
          <w:pgSz w:w="11906" w:h="16838"/>
          <w:pgMar w:left="1247" w:right="851" w:header="0" w:top="851" w:footer="720" w:bottom="777" w:gutter="0"/>
          <w:pgNumType w:start="1" w:fmt="decimal"/>
          <w:formProt w:val="false"/>
          <w:textDirection w:val="lrTb"/>
          <w:docGrid w:type="default" w:linePitch="240" w:charSpace="4294961151"/>
        </w:sectPr>
        <w:pStyle w:val="Normal"/>
        <w:widowControl/>
        <w:bidi w:val="0"/>
        <w:ind w:left="0" w:right="0" w:hanging="0"/>
        <w:jc w:val="left"/>
        <w:textAlignment w:val="auto"/>
        <w:rPr>
          <w:lang w:val="ro-RO"/>
        </w:rPr>
      </w:pPr>
      <w:r>
        <w:rPr>
          <w:lang w:val="ro-RO"/>
        </w:rPr>
        <w:t>** Raportul dintre masteranzii care</w:t>
      </w:r>
      <w:r>
        <w:rPr>
          <w:color w:val="FF0000"/>
          <w:lang w:val="ro-RO"/>
        </w:rPr>
        <w:t xml:space="preserve"> </w:t>
      </w:r>
      <w:r>
        <w:rPr>
          <w:rFonts w:cs="Times New Roman CE" w:ascii="Times New Roman CE" w:hAnsi="Times New Roman CE"/>
          <w:lang w:val="ro-RO"/>
        </w:rPr>
        <w:t xml:space="preserve">îşi fac studiile în baza contractelor de </w:t>
      </w:r>
      <w:r>
        <w:rPr>
          <w:i/>
          <w:lang w:val="ro-RO"/>
        </w:rPr>
        <w:t>buget/contract</w:t>
      </w:r>
    </w:p>
    <w:p>
      <w:pPr>
        <w:pStyle w:val="1"/>
        <w:keepNext/>
        <w:widowControl/>
        <w:numPr>
          <w:ilvl w:val="0"/>
          <w:numId w:val="0"/>
        </w:numPr>
        <w:bidi w:val="0"/>
        <w:spacing w:before="240" w:after="60"/>
        <w:ind w:left="0" w:right="0" w:hanging="0"/>
        <w:jc w:val="left"/>
        <w:textAlignment w:val="auto"/>
        <w:outlineLvl w:val="0"/>
        <w:rPr>
          <w:b w:val="false"/>
          <w:b w:val="false"/>
          <w:lang w:val="fr-FR"/>
        </w:rPr>
      </w:pPr>
      <w:bookmarkStart w:id="4" w:name="_Forma_2"/>
      <w:bookmarkStart w:id="5" w:name="_Toc469651873"/>
      <w:bookmarkStart w:id="6" w:name="_Toc375219561"/>
      <w:bookmarkStart w:id="7" w:name="_Toc311820773"/>
      <w:bookmarkStart w:id="8" w:name="_Toc311820449"/>
      <w:bookmarkStart w:id="9" w:name="_Toc311819970"/>
      <w:bookmarkStart w:id="10" w:name="_Toc311819699"/>
      <w:bookmarkStart w:id="11" w:name="_Toc311818755"/>
      <w:bookmarkStart w:id="12" w:name="_Toc311818423"/>
      <w:bookmarkStart w:id="13" w:name="_Forma_3"/>
      <w:bookmarkEnd w:id="12"/>
      <w:bookmarkEnd w:id="13"/>
      <w:r>
        <w:rPr>
          <w:rFonts w:cs="Times New Roman CE" w:ascii="Times New Roman CE" w:hAnsi="Times New Roman CE"/>
          <w:b w:val="false"/>
          <w:lang w:val="fr-FR"/>
        </w:rPr>
        <w:t>Fiş</w:t>
      </w:r>
      <w:r>
        <w:rPr>
          <w:rFonts w:cs="Times New Roman" w:ascii="Times New Roman" w:hAnsi="Times New Roman"/>
          <w:b w:val="false"/>
          <w:lang w:val="fr-FR"/>
        </w:rPr>
        <w:t>ele proiectelor</w:t>
      </w:r>
      <w:r>
        <w:rPr>
          <w:rFonts w:cs="Times New Roman CE" w:ascii="Times New Roman CE" w:hAnsi="Times New Roman CE"/>
          <w:b w:val="false"/>
          <w:lang w:val="fr-FR"/>
        </w:rPr>
        <w:t xml:space="preserve"> de cercetări fundamentale  (</w:t>
      </w:r>
      <w:bookmarkEnd w:id="4"/>
      <w:bookmarkEnd w:id="5"/>
      <w:bookmarkEnd w:id="6"/>
      <w:bookmarkEnd w:id="7"/>
      <w:bookmarkEnd w:id="8"/>
      <w:bookmarkEnd w:id="9"/>
      <w:bookmarkEnd w:id="10"/>
      <w:bookmarkEnd w:id="11"/>
      <w:r>
        <w:rPr>
          <w:rFonts w:cs="Times New Roman" w:ascii="Times New Roman" w:hAnsi="Times New Roman"/>
          <w:b w:val="false"/>
          <w:lang w:val="fr-FR"/>
        </w:rPr>
        <w:t>I-II)</w:t>
      </w:r>
    </w:p>
    <w:p>
      <w:pPr>
        <w:pStyle w:val="2"/>
        <w:keepNext/>
        <w:widowControl/>
        <w:numPr>
          <w:ilvl w:val="0"/>
          <w:numId w:val="0"/>
        </w:numPr>
        <w:bidi w:val="0"/>
        <w:ind w:left="0" w:right="0" w:hanging="0"/>
        <w:jc w:val="left"/>
        <w:textAlignment w:val="auto"/>
        <w:outlineLvl w:val="1"/>
        <w:rPr>
          <w:lang w:val="it-IT"/>
        </w:rPr>
      </w:pPr>
      <w:bookmarkStart w:id="14" w:name="_Toc375219562"/>
      <w:bookmarkStart w:id="15" w:name="_Toc469651874"/>
      <w:bookmarkEnd w:id="14"/>
      <w:bookmarkEnd w:id="15"/>
      <w:r>
        <w:rPr>
          <w:rFonts w:cs="Times New Roman CE" w:ascii="Times New Roman CE" w:hAnsi="Times New Roman CE"/>
          <w:i/>
          <w:sz w:val="26"/>
          <w:lang w:val="it-IT" w:eastAsia="ru-RU"/>
        </w:rPr>
        <w:t>Fişa proiectului de cercetări fundamentale I</w:t>
      </w:r>
    </w:p>
    <w:p>
      <w:pPr>
        <w:pStyle w:val="Normal"/>
        <w:widowControl/>
        <w:bidi w:val="0"/>
        <w:ind w:left="0" w:right="0" w:hanging="0"/>
        <w:jc w:val="center"/>
        <w:textAlignment w:val="auto"/>
        <w:rPr>
          <w:rFonts w:ascii="Times New Roman" w:hAnsi="Times New Roman"/>
          <w:sz w:val="22"/>
          <w:szCs w:val="22"/>
          <w:lang w:val="it-IT"/>
        </w:rPr>
      </w:pPr>
      <w:r>
        <w:rPr>
          <w:sz w:val="22"/>
          <w:szCs w:val="22"/>
          <w:lang w:val="it-IT"/>
        </w:rPr>
      </w:r>
    </w:p>
    <w:p>
      <w:pPr>
        <w:pStyle w:val="Normal"/>
        <w:widowControl/>
        <w:numPr>
          <w:ilvl w:val="0"/>
          <w:numId w:val="5"/>
        </w:numPr>
        <w:tabs>
          <w:tab w:val="left" w:pos="180" w:leader="none"/>
        </w:tabs>
        <w:bidi w:val="0"/>
        <w:ind w:left="180" w:right="0" w:hanging="0"/>
        <w:jc w:val="left"/>
        <w:textAlignment w:val="auto"/>
        <w:rPr>
          <w:lang w:val="ro-MD"/>
        </w:rPr>
      </w:pPr>
      <w:r>
        <w:rPr>
          <w:rFonts w:cs="Times New Roman CE" w:ascii="Times New Roman CE" w:hAnsi="Times New Roman CE"/>
          <w:bCs/>
          <w:sz w:val="22"/>
          <w:szCs w:val="22"/>
          <w:lang w:val="ro-MD"/>
        </w:rPr>
        <w:t>Denumirea direcţiei strategice,</w:t>
      </w:r>
      <w:r>
        <w:rPr>
          <w:sz w:val="22"/>
          <w:szCs w:val="22"/>
          <w:lang w:val="ro-MD"/>
        </w:rPr>
        <w:t xml:space="preserve"> </w:t>
      </w:r>
      <w:r>
        <w:rPr>
          <w:rFonts w:cs="Times New Roman CE" w:ascii="Times New Roman CE" w:hAnsi="Times New Roman CE"/>
          <w:bCs/>
          <w:sz w:val="22"/>
          <w:szCs w:val="22"/>
          <w:lang w:val="ro-MD"/>
        </w:rPr>
        <w:t xml:space="preserve">codul şi </w:t>
      </w:r>
      <w:r>
        <w:rPr>
          <w:bCs/>
          <w:color w:val="000000"/>
          <w:sz w:val="22"/>
          <w:szCs w:val="22"/>
          <w:lang w:val="ro-MD"/>
        </w:rPr>
        <w:t xml:space="preserve">denumirea </w:t>
      </w:r>
      <w:r>
        <w:rPr>
          <w:color w:val="000000"/>
          <w:sz w:val="22"/>
          <w:szCs w:val="22"/>
          <w:lang w:val="ro-MD"/>
        </w:rPr>
        <w:t>proiectului</w:t>
      </w:r>
      <w:r>
        <w:rPr>
          <w:bCs/>
          <w:color w:val="000000"/>
          <w:sz w:val="22"/>
          <w:szCs w:val="22"/>
          <w:lang w:val="ro-MD"/>
        </w:rPr>
        <w:t xml:space="preserve"> </w:t>
      </w:r>
    </w:p>
    <w:tbl>
      <w:tblPr>
        <w:tblW w:w="10065"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10065"/>
      </w:tblGrid>
      <w:tr>
        <w:trPr/>
        <w:tc>
          <w:tcPr>
            <w:tcW w:w="10065"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MD"/>
              </w:rPr>
            </w:pPr>
            <w:r>
              <w:rPr>
                <w:i/>
                <w:sz w:val="22"/>
                <w:szCs w:val="22"/>
                <w:lang w:val="ro-MD"/>
              </w:rPr>
              <w:t xml:space="preserve">16.02 </w:t>
            </w:r>
            <w:r>
              <w:rPr>
                <w:rFonts w:cs="Times New Roman CE" w:ascii="Times New Roman CE" w:hAnsi="Times New Roman CE"/>
                <w:color w:val="000000"/>
                <w:lang w:val="ro-RO"/>
              </w:rPr>
              <w:t xml:space="preserve">Cercetările ştiinţifice fundamentale </w:t>
            </w:r>
            <w:r>
              <w:rPr>
                <w:color w:val="000000"/>
                <w:lang w:val="ro-RO"/>
              </w:rPr>
              <w:t>„</w:t>
            </w:r>
            <w:r>
              <w:rPr>
                <w:rFonts w:cs="Times New Roman CE" w:ascii="Times New Roman CE" w:hAnsi="Times New Roman CE"/>
                <w:i/>
                <w:sz w:val="22"/>
                <w:szCs w:val="22"/>
                <w:lang w:val="ro-MD"/>
              </w:rPr>
              <w:t>Materiale, tehnologii şi produse inovative</w:t>
            </w:r>
            <w:r>
              <w:rPr>
                <w:i/>
                <w:sz w:val="22"/>
                <w:szCs w:val="22"/>
                <w:lang w:val="ro-MD"/>
              </w:rPr>
              <w:t>”</w:t>
            </w:r>
          </w:p>
          <w:p>
            <w:pPr>
              <w:pStyle w:val="Normal"/>
              <w:widowControl/>
              <w:bidi w:val="0"/>
              <w:ind w:left="0" w:right="0" w:hanging="0"/>
              <w:jc w:val="left"/>
              <w:textAlignment w:val="auto"/>
              <w:rPr/>
            </w:pPr>
            <w:r>
              <w:rPr>
                <w:sz w:val="22"/>
                <w:szCs w:val="22"/>
              </w:rPr>
              <w:t xml:space="preserve">15.817.02.03F </w:t>
            </w:r>
            <w:r>
              <w:rPr>
                <w:rFonts w:cs="Times New Roman CE" w:ascii="Times New Roman CE" w:hAnsi="Times New Roman CE"/>
                <w:sz w:val="22"/>
                <w:szCs w:val="22"/>
                <w:lang w:val="en-US"/>
              </w:rPr>
              <w:t>Invarianţi</w:t>
            </w:r>
            <w:r>
              <w:rPr>
                <w:sz w:val="22"/>
                <w:szCs w:val="22"/>
                <w:lang w:val="en-US"/>
              </w:rPr>
              <w:t xml:space="preserve"> algebrici </w:t>
            </w:r>
            <w:r>
              <w:rPr>
                <w:rFonts w:cs="Times New Roman CE" w:ascii="Times New Roman CE" w:hAnsi="Times New Roman CE"/>
                <w:sz w:val="22"/>
                <w:szCs w:val="22"/>
                <w:lang w:val="en-US"/>
              </w:rPr>
              <w:t>şi</w:t>
            </w:r>
            <w:r>
              <w:rPr>
                <w:sz w:val="22"/>
                <w:szCs w:val="22"/>
                <w:lang w:val="en-US"/>
              </w:rPr>
              <w:t xml:space="preserve"> geometrici în studiul calitativ al sistemelor </w:t>
            </w:r>
            <w:r>
              <w:rPr>
                <w:rFonts w:cs="Times New Roman CE" w:ascii="Times New Roman CE" w:hAnsi="Times New Roman CE"/>
                <w:sz w:val="22"/>
                <w:szCs w:val="22"/>
                <w:lang w:val="en-US"/>
              </w:rPr>
              <w:t>diferenţiale</w:t>
            </w:r>
            <w:r>
              <w:rPr>
                <w:sz w:val="22"/>
                <w:szCs w:val="22"/>
                <w:lang w:val="en-US"/>
              </w:rPr>
              <w:t xml:space="preserve"> polinomiale</w:t>
            </w:r>
          </w:p>
        </w:tc>
      </w:tr>
    </w:tbl>
    <w:p>
      <w:pPr>
        <w:pStyle w:val="Normal"/>
        <w:widowControl/>
        <w:numPr>
          <w:ilvl w:val="0"/>
          <w:numId w:val="5"/>
        </w:numPr>
        <w:tabs>
          <w:tab w:val="left" w:pos="180" w:leader="none"/>
        </w:tabs>
        <w:bidi w:val="0"/>
        <w:ind w:left="925" w:right="0" w:hanging="0"/>
        <w:jc w:val="left"/>
        <w:textAlignment w:val="auto"/>
        <w:rPr>
          <w:lang w:val="ro-MD"/>
        </w:rPr>
      </w:pPr>
      <w:r>
        <w:rPr>
          <w:bCs/>
          <w:sz w:val="22"/>
          <w:szCs w:val="22"/>
          <w:lang w:val="ro-MD"/>
        </w:rPr>
        <w:t xml:space="preserve">Obiectivele proiectului </w:t>
      </w:r>
    </w:p>
    <w:tbl>
      <w:tblPr>
        <w:tblW w:w="10065"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10065"/>
      </w:tblGrid>
      <w:tr>
        <w:trPr/>
        <w:tc>
          <w:tcPr>
            <w:tcW w:w="10065"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shd w:fill="FFFFFF"/>
              <w:bidi w:val="0"/>
              <w:ind w:left="0" w:right="0" w:hanging="0"/>
              <w:jc w:val="both"/>
              <w:textAlignment w:val="auto"/>
              <w:rPr>
                <w:lang w:val="ro-MD"/>
              </w:rPr>
            </w:pPr>
            <w:r>
              <w:rPr>
                <w:rFonts w:cs="Times New Roman CE" w:ascii="Times New Roman CE" w:hAnsi="Times New Roman CE"/>
                <w:bCs/>
                <w:i/>
                <w:color w:val="000000"/>
                <w:sz w:val="22"/>
                <w:szCs w:val="22"/>
                <w:lang w:val="ro-MD"/>
              </w:rPr>
              <w:t xml:space="preserve">Rolul şi însemnătatea </w:t>
            </w:r>
            <w:r>
              <w:rPr>
                <w:rFonts w:cs="Times New Roman CE" w:ascii="Times New Roman CE" w:hAnsi="Times New Roman CE"/>
                <w:i/>
                <w:color w:val="000000"/>
                <w:sz w:val="22"/>
                <w:szCs w:val="22"/>
                <w:lang w:val="ro-MD"/>
              </w:rPr>
              <w:t>proiectului constă în asigurarea continuităţii şi succesiunii în cercetare, în susţinerea şi dezvoltarea şcolilor ştiinţifice existente în ţară, implicarea tineretului în activitatea de cercetare, lărgirea sferei de aplicare a rezultatelor ştiinţi</w:t>
            </w:r>
            <w:r>
              <w:rPr>
                <w:i/>
                <w:color w:val="000000"/>
                <w:sz w:val="22"/>
                <w:szCs w:val="22"/>
                <w:lang w:val="ro-MD"/>
              </w:rPr>
              <w:t xml:space="preserve">fice. Se prevede </w:t>
            </w:r>
            <w:r>
              <w:rPr>
                <w:i/>
                <w:color w:val="000000"/>
                <w:lang w:val="ro-MD"/>
              </w:rPr>
              <w:t xml:space="preserve">rezolvarea unor probleme actuale din domeniul </w:t>
            </w:r>
            <w:r>
              <w:rPr>
                <w:rFonts w:cs="Times New Roman CE" w:ascii="Times New Roman CE" w:hAnsi="Times New Roman CE"/>
                <w:i/>
                <w:color w:val="000000"/>
                <w:lang w:val="ro-MD"/>
              </w:rPr>
              <w:t>ecuaţiilor</w:t>
            </w:r>
            <w:r>
              <w:rPr>
                <w:i/>
                <w:color w:val="000000"/>
                <w:lang w:val="ro-MD"/>
              </w:rPr>
              <w:t xml:space="preserve"> </w:t>
            </w:r>
            <w:r>
              <w:rPr>
                <w:rFonts w:cs="Times New Roman CE" w:ascii="Times New Roman CE" w:hAnsi="Times New Roman CE"/>
                <w:i/>
                <w:color w:val="000000"/>
                <w:lang w:val="ro-MD"/>
              </w:rPr>
              <w:t>diferenţiale, propagarea</w:t>
            </w:r>
            <w:r>
              <w:rPr>
                <w:i/>
                <w:color w:val="000000"/>
                <w:lang w:val="ro-MD"/>
              </w:rPr>
              <w:t xml:space="preserve"> </w:t>
            </w:r>
            <w:r>
              <w:rPr>
                <w:rFonts w:cs="Times New Roman CE" w:ascii="Times New Roman CE" w:hAnsi="Times New Roman CE"/>
                <w:i/>
                <w:color w:val="000000"/>
                <w:lang w:val="ro-MD"/>
              </w:rPr>
              <w:t>ş</w:t>
            </w:r>
            <w:r>
              <w:rPr>
                <w:i/>
                <w:color w:val="000000"/>
                <w:lang w:val="ro-MD"/>
              </w:rPr>
              <w:t xml:space="preserve">i diseminarea rezultatelor </w:t>
            </w:r>
            <w:r>
              <w:rPr>
                <w:rFonts w:cs="Times New Roman CE" w:ascii="Times New Roman CE" w:hAnsi="Times New Roman CE"/>
                <w:i/>
                <w:color w:val="000000"/>
                <w:lang w:val="ro-MD"/>
              </w:rPr>
              <w:t>obţinute, precizarea</w:t>
            </w:r>
            <w:r>
              <w:rPr>
                <w:i/>
                <w:color w:val="000000"/>
                <w:lang w:val="ro-MD"/>
              </w:rPr>
              <w:t xml:space="preserve"> </w:t>
            </w:r>
            <w:r>
              <w:rPr>
                <w:rFonts w:cs="Times New Roman CE" w:ascii="Times New Roman CE" w:hAnsi="Times New Roman CE"/>
                <w:i/>
                <w:color w:val="000000"/>
                <w:lang w:val="ro-MD"/>
              </w:rPr>
              <w:t>căilor</w:t>
            </w:r>
            <w:r>
              <w:rPr>
                <w:i/>
                <w:color w:val="000000"/>
                <w:lang w:val="ro-MD"/>
              </w:rPr>
              <w:t xml:space="preserve"> </w:t>
            </w:r>
            <w:r>
              <w:rPr>
                <w:rFonts w:cs="Times New Roman CE" w:ascii="Times New Roman CE" w:hAnsi="Times New Roman CE"/>
                <w:i/>
                <w:color w:val="000000"/>
                <w:lang w:val="ro-MD"/>
              </w:rPr>
              <w:t>şi</w:t>
            </w:r>
            <w:r>
              <w:rPr>
                <w:i/>
                <w:color w:val="000000"/>
                <w:lang w:val="ro-MD"/>
              </w:rPr>
              <w:t xml:space="preserve"> </w:t>
            </w:r>
            <w:r>
              <w:rPr>
                <w:rFonts w:cs="Times New Roman CE" w:ascii="Times New Roman CE" w:hAnsi="Times New Roman CE"/>
                <w:i/>
                <w:color w:val="000000"/>
                <w:lang w:val="ro-MD"/>
              </w:rPr>
              <w:t>posibilităţilor de aplicare</w:t>
            </w:r>
            <w:r>
              <w:rPr>
                <w:i/>
                <w:color w:val="000000"/>
                <w:lang w:val="ro-MD"/>
              </w:rPr>
              <w:t xml:space="preserve"> </w:t>
            </w:r>
            <w:r>
              <w:rPr>
                <w:rFonts w:cs="Times New Roman CE" w:ascii="Times New Roman CE" w:hAnsi="Times New Roman CE"/>
                <w:i/>
                <w:color w:val="000000"/>
                <w:lang w:val="ro-MD"/>
              </w:rPr>
              <w:t>şi</w:t>
            </w:r>
            <w:r>
              <w:rPr>
                <w:i/>
                <w:color w:val="000000"/>
                <w:lang w:val="ro-MD"/>
              </w:rPr>
              <w:t xml:space="preserve"> implementare a rezultatelor.</w:t>
            </w:r>
          </w:p>
        </w:tc>
      </w:tr>
    </w:tbl>
    <w:p>
      <w:pPr>
        <w:pStyle w:val="Normal"/>
        <w:widowControl/>
        <w:numPr>
          <w:ilvl w:val="0"/>
          <w:numId w:val="5"/>
        </w:numPr>
        <w:tabs>
          <w:tab w:val="left" w:pos="180" w:leader="none"/>
        </w:tabs>
        <w:bidi w:val="0"/>
        <w:spacing w:lineRule="exact" w:line="360"/>
        <w:ind w:left="180" w:right="0" w:hanging="0"/>
        <w:jc w:val="left"/>
        <w:textAlignment w:val="auto"/>
        <w:rPr>
          <w:lang w:val="ro-MD"/>
        </w:rPr>
      </w:pPr>
      <w:r>
        <w:rPr>
          <w:rFonts w:cs="Times New Roman CE" w:ascii="Times New Roman CE" w:hAnsi="Times New Roman CE"/>
          <w:bCs/>
          <w:sz w:val="22"/>
          <w:szCs w:val="22"/>
          <w:lang w:val="ro-MD"/>
        </w:rPr>
        <w:t>Termenul executării</w:t>
      </w:r>
      <w:r>
        <w:rPr>
          <w:color w:val="800000"/>
          <w:sz w:val="22"/>
          <w:szCs w:val="22"/>
          <w:lang w:val="ro-MD"/>
        </w:rPr>
        <w:t xml:space="preserve"> </w:t>
      </w:r>
    </w:p>
    <w:tbl>
      <w:tblPr>
        <w:tblW w:w="8972"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8972"/>
      </w:tblGrid>
      <w:tr>
        <w:trPr/>
        <w:tc>
          <w:tcPr>
            <w:tcW w:w="8972"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MD"/>
              </w:rPr>
            </w:pPr>
            <w:r>
              <w:rPr>
                <w:i/>
                <w:sz w:val="22"/>
                <w:szCs w:val="22"/>
                <w:lang w:val="ro-MD"/>
              </w:rPr>
              <w:t>2015 – 2018</w:t>
            </w:r>
          </w:p>
        </w:tc>
      </w:tr>
    </w:tbl>
    <w:p>
      <w:pPr>
        <w:pStyle w:val="Normal"/>
        <w:widowControl/>
        <w:numPr>
          <w:ilvl w:val="0"/>
          <w:numId w:val="5"/>
        </w:numPr>
        <w:tabs>
          <w:tab w:val="left" w:pos="180" w:leader="none"/>
        </w:tabs>
        <w:bidi w:val="0"/>
        <w:spacing w:lineRule="exact" w:line="360"/>
        <w:ind w:left="180" w:right="0" w:hanging="0"/>
        <w:jc w:val="left"/>
        <w:textAlignment w:val="auto"/>
        <w:rPr>
          <w:lang w:val="ro-MD"/>
        </w:rPr>
      </w:pPr>
      <w:r>
        <w:rPr>
          <w:sz w:val="22"/>
          <w:szCs w:val="22"/>
          <w:lang w:val="ro-MD"/>
        </w:rPr>
        <w:t xml:space="preserve">Volumul total planificat al </w:t>
      </w:r>
      <w:r>
        <w:rPr>
          <w:rFonts w:cs="Times New Roman CE" w:ascii="Times New Roman CE" w:hAnsi="Times New Roman CE"/>
          <w:sz w:val="22"/>
          <w:szCs w:val="22"/>
          <w:lang w:val="ro-MD"/>
        </w:rPr>
        <w:t>finanţării</w:t>
      </w:r>
    </w:p>
    <w:tbl>
      <w:tblPr>
        <w:tblW w:w="8972"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8972"/>
      </w:tblGrid>
      <w:tr>
        <w:trPr/>
        <w:tc>
          <w:tcPr>
            <w:tcW w:w="8972"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MD"/>
              </w:rPr>
            </w:pPr>
            <w:r>
              <w:rPr>
                <w:i/>
                <w:sz w:val="22"/>
                <w:szCs w:val="22"/>
                <w:lang w:val="ro-MD"/>
              </w:rPr>
              <w:t>3875,8  mii lei</w:t>
            </w:r>
          </w:p>
        </w:tc>
      </w:tr>
    </w:tbl>
    <w:p>
      <w:pPr>
        <w:pStyle w:val="Normal"/>
        <w:widowControl/>
        <w:numPr>
          <w:ilvl w:val="0"/>
          <w:numId w:val="5"/>
        </w:numPr>
        <w:tabs>
          <w:tab w:val="left" w:pos="180" w:leader="none"/>
        </w:tabs>
        <w:bidi w:val="0"/>
        <w:spacing w:lineRule="exact" w:line="360"/>
        <w:ind w:left="180" w:right="0" w:hanging="0"/>
        <w:jc w:val="left"/>
        <w:textAlignment w:val="auto"/>
        <w:rPr>
          <w:lang w:val="ro-MD"/>
        </w:rPr>
      </w:pPr>
      <w:r>
        <w:rPr>
          <w:rFonts w:cs="Times New Roman CE" w:ascii="Times New Roman CE" w:hAnsi="Times New Roman CE"/>
          <w:sz w:val="22"/>
          <w:szCs w:val="22"/>
          <w:lang w:val="ro-MD"/>
        </w:rPr>
        <w:t>Volumul finanţări</w:t>
      </w:r>
      <w:r>
        <w:rPr>
          <w:sz w:val="22"/>
          <w:szCs w:val="22"/>
          <w:lang w:val="ro-MD"/>
        </w:rPr>
        <w:t>i pe perioada evaluat</w:t>
      </w:r>
      <w:r>
        <w:rPr>
          <w:rFonts w:cs="Times New Roman CE" w:ascii="Times New Roman CE" w:hAnsi="Times New Roman CE"/>
          <w:sz w:val="22"/>
          <w:szCs w:val="22"/>
          <w:lang w:val="ro-RO"/>
        </w:rPr>
        <w:t>ă (mii lei)</w:t>
      </w:r>
    </w:p>
    <w:tbl>
      <w:tblPr>
        <w:tblW w:w="8972"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4716"/>
        <w:gridCol w:w="4255"/>
      </w:tblGrid>
      <w:tr>
        <w:trPr/>
        <w:tc>
          <w:tcPr>
            <w:tcW w:w="4716"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MD"/>
              </w:rPr>
            </w:pPr>
            <w:r>
              <w:rPr>
                <w:i/>
                <w:sz w:val="22"/>
                <w:szCs w:val="22"/>
                <w:lang w:val="ro-MD"/>
              </w:rPr>
              <w:t>899,2</w:t>
            </w:r>
          </w:p>
        </w:tc>
        <w:tc>
          <w:tcPr>
            <w:tcW w:w="4255"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MD"/>
              </w:rPr>
            </w:pPr>
            <w:r>
              <w:rPr>
                <w:i/>
                <w:sz w:val="22"/>
                <w:szCs w:val="22"/>
                <w:lang w:val="ro-MD"/>
              </w:rPr>
              <w:t>899,2</w:t>
            </w:r>
          </w:p>
        </w:tc>
      </w:tr>
    </w:tbl>
    <w:p>
      <w:pPr>
        <w:pStyle w:val="Normal"/>
        <w:widowControl/>
        <w:numPr>
          <w:ilvl w:val="0"/>
          <w:numId w:val="5"/>
        </w:numPr>
        <w:tabs>
          <w:tab w:val="left" w:pos="180" w:leader="none"/>
        </w:tabs>
        <w:bidi w:val="0"/>
        <w:ind w:left="180" w:right="0" w:hanging="0"/>
        <w:jc w:val="left"/>
        <w:textAlignment w:val="auto"/>
        <w:rPr>
          <w:lang w:val="ro-MD"/>
        </w:rPr>
      </w:pPr>
      <w:r>
        <w:rPr>
          <w:rFonts w:cs="Times New Roman CE" w:ascii="Times New Roman CE" w:hAnsi="Times New Roman CE"/>
          <w:sz w:val="22"/>
          <w:szCs w:val="22"/>
          <w:lang w:val="ro-MD"/>
        </w:rPr>
        <w:t>Subdiviziunile organizaţiei executoare (laborator, secţie, sector etc.)</w:t>
      </w:r>
    </w:p>
    <w:tbl>
      <w:tblPr>
        <w:tblW w:w="8972"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8972"/>
      </w:tblGrid>
      <w:tr>
        <w:trPr>
          <w:trHeight w:val="339" w:hRule="atLeast"/>
        </w:trPr>
        <w:tc>
          <w:tcPr>
            <w:tcW w:w="8972"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pPr>
            <w:r>
              <w:rPr>
                <w:i/>
                <w:sz w:val="22"/>
                <w:szCs w:val="22"/>
                <w:lang w:val="ro-MD"/>
              </w:rPr>
              <w:t xml:space="preserve">Laboratorul  </w:t>
            </w:r>
            <w:hyperlink r:id="rId4">
              <w:r>
                <w:rPr>
                  <w:webHidden/>
                  <w:rStyle w:val="Style5"/>
                  <w:rFonts w:cs="Times New Roman CE" w:ascii="Times New Roman CE" w:hAnsi="Times New Roman CE"/>
                  <w:i/>
                  <w:sz w:val="22"/>
                  <w:szCs w:val="22"/>
                  <w:lang w:val="ro-MD"/>
                </w:rPr>
                <w:t>Ecuaţii Diferenţiale</w:t>
              </w:r>
            </w:hyperlink>
            <w:r>
              <w:rPr>
                <w:i/>
                <w:sz w:val="22"/>
                <w:szCs w:val="22"/>
                <w:lang w:val="ro-MD"/>
              </w:rPr>
              <w:t xml:space="preserve"> </w:t>
            </w:r>
          </w:p>
        </w:tc>
      </w:tr>
    </w:tbl>
    <w:p>
      <w:pPr>
        <w:pStyle w:val="Normal"/>
        <w:widowControl/>
        <w:numPr>
          <w:ilvl w:val="0"/>
          <w:numId w:val="5"/>
        </w:numPr>
        <w:tabs>
          <w:tab w:val="left" w:pos="180" w:leader="none"/>
        </w:tabs>
        <w:bidi w:val="0"/>
        <w:spacing w:lineRule="exact" w:line="360"/>
        <w:ind w:left="180" w:right="0" w:hanging="0"/>
        <w:jc w:val="left"/>
        <w:textAlignment w:val="auto"/>
        <w:rPr>
          <w:lang w:val="ro-MD"/>
        </w:rPr>
      </w:pPr>
      <w:r>
        <w:rPr>
          <w:sz w:val="22"/>
          <w:szCs w:val="22"/>
          <w:lang w:val="ro-MD"/>
        </w:rPr>
        <w:t xml:space="preserve">Executorii  </w:t>
      </w:r>
    </w:p>
    <w:tbl>
      <w:tblPr>
        <w:tblW w:w="8973" w:type="dxa"/>
        <w:jc w:val="left"/>
        <w:tblInd w:w="56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3" w:type="dxa"/>
          <w:bottom w:w="0" w:type="dxa"/>
          <w:right w:w="108" w:type="dxa"/>
        </w:tblCellMar>
      </w:tblPr>
      <w:tblGrid>
        <w:gridCol w:w="1065"/>
        <w:gridCol w:w="2185"/>
        <w:gridCol w:w="2908"/>
        <w:gridCol w:w="2814"/>
      </w:tblGrid>
      <w:tr>
        <w:trPr/>
        <w:tc>
          <w:tcPr>
            <w:tcW w:w="10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Nr./ ord.</w:t>
            </w:r>
          </w:p>
        </w:tc>
        <w:tc>
          <w:tcPr>
            <w:tcW w:w="21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sz w:val="22"/>
                <w:szCs w:val="22"/>
                <w:lang w:val="ro-MD"/>
              </w:rPr>
              <w:t xml:space="preserve">Nume, prenume </w:t>
            </w:r>
          </w:p>
        </w:tc>
        <w:tc>
          <w:tcPr>
            <w:tcW w:w="572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sz w:val="22"/>
                <w:szCs w:val="22"/>
                <w:lang w:val="ro-MD"/>
              </w:rPr>
              <w:t xml:space="preserve"> </w:t>
            </w:r>
            <w:r>
              <w:rPr>
                <w:bCs/>
                <w:i/>
                <w:sz w:val="22"/>
                <w:szCs w:val="22"/>
                <w:lang w:val="ro-MD"/>
              </w:rPr>
              <w:t>F</w:t>
            </w:r>
            <w:r>
              <w:rPr>
                <w:rFonts w:cs="Times New Roman CE" w:ascii="Times New Roman CE" w:hAnsi="Times New Roman CE"/>
                <w:bCs/>
                <w:i/>
                <w:sz w:val="22"/>
                <w:szCs w:val="22"/>
                <w:lang w:val="ro-MD"/>
              </w:rPr>
              <w:t>uncţia în cadrul proiectului</w:t>
            </w:r>
          </w:p>
        </w:tc>
      </w:tr>
      <w:tr>
        <w:trPr/>
        <w:tc>
          <w:tcPr>
            <w:tcW w:w="10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1.</w:t>
            </w:r>
          </w:p>
        </w:tc>
        <w:tc>
          <w:tcPr>
            <w:tcW w:w="21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
                <w:sz w:val="22"/>
                <w:szCs w:val="22"/>
                <w:lang w:val="ro-RO"/>
              </w:rPr>
              <w:t xml:space="preserve">Vulpe Nicolae        </w:t>
            </w:r>
          </w:p>
        </w:tc>
        <w:tc>
          <w:tcPr>
            <w:tcW w:w="2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
                <w:sz w:val="22"/>
                <w:szCs w:val="22"/>
                <w:lang w:val="ro-RO"/>
              </w:rPr>
              <w:t>conducătorul proiectului</w:t>
            </w:r>
          </w:p>
        </w:tc>
        <w:tc>
          <w:tcPr>
            <w:tcW w:w="28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sz w:val="22"/>
                <w:szCs w:val="22"/>
                <w:lang w:val="ro-MD"/>
              </w:rPr>
              <w:t>membru corespondent</w:t>
            </w:r>
          </w:p>
        </w:tc>
      </w:tr>
      <w:tr>
        <w:trPr/>
        <w:tc>
          <w:tcPr>
            <w:tcW w:w="10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2.</w:t>
            </w:r>
          </w:p>
        </w:tc>
        <w:tc>
          <w:tcPr>
            <w:tcW w:w="21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
                <w:sz w:val="22"/>
                <w:szCs w:val="22"/>
                <w:lang w:val="ro-RO"/>
              </w:rPr>
              <w:t xml:space="preserve">Popa Mihail                                      </w:t>
            </w:r>
          </w:p>
        </w:tc>
        <w:tc>
          <w:tcPr>
            <w:tcW w:w="2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bCs/>
                <w:i/>
                <w:iCs/>
                <w:sz w:val="22"/>
                <w:szCs w:val="22"/>
                <w:lang w:val="ro-MD"/>
              </w:rPr>
              <w:t>cercetător ştiinţific  princi</w:t>
            </w:r>
            <w:r>
              <w:rPr>
                <w:bCs/>
                <w:i/>
                <w:iCs/>
                <w:sz w:val="22"/>
                <w:szCs w:val="22"/>
                <w:lang w:val="ro-MD"/>
              </w:rPr>
              <w:t>pal</w:t>
            </w:r>
          </w:p>
        </w:tc>
        <w:tc>
          <w:tcPr>
            <w:tcW w:w="28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iCs/>
                <w:sz w:val="22"/>
                <w:szCs w:val="22"/>
                <w:lang w:val="ro-MD"/>
              </w:rPr>
              <w:t>doctor habilitat</w:t>
            </w:r>
          </w:p>
        </w:tc>
      </w:tr>
      <w:tr>
        <w:trPr/>
        <w:tc>
          <w:tcPr>
            <w:tcW w:w="10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2.</w:t>
            </w:r>
          </w:p>
        </w:tc>
        <w:tc>
          <w:tcPr>
            <w:tcW w:w="21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
                <w:sz w:val="22"/>
                <w:szCs w:val="22"/>
                <w:lang w:val="ro-RO"/>
              </w:rPr>
              <w:t>Şubă Alexandru</w:t>
            </w:r>
            <w:r>
              <w:rPr>
                <w:i/>
                <w:sz w:val="22"/>
                <w:szCs w:val="22"/>
                <w:lang w:val="ro-RO"/>
              </w:rPr>
              <w:t xml:space="preserve">                </w:t>
            </w:r>
          </w:p>
        </w:tc>
        <w:tc>
          <w:tcPr>
            <w:tcW w:w="2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bCs/>
                <w:i/>
                <w:iCs/>
                <w:sz w:val="22"/>
                <w:szCs w:val="22"/>
                <w:lang w:val="ro-MD"/>
              </w:rPr>
              <w:t>cercetător ştiinţific  principal</w:t>
            </w:r>
          </w:p>
        </w:tc>
        <w:tc>
          <w:tcPr>
            <w:tcW w:w="28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iCs/>
                <w:sz w:val="22"/>
                <w:szCs w:val="22"/>
                <w:lang w:val="ro-MD"/>
              </w:rPr>
              <w:t>doctor habilitat</w:t>
            </w:r>
          </w:p>
        </w:tc>
      </w:tr>
      <w:tr>
        <w:trPr/>
        <w:tc>
          <w:tcPr>
            <w:tcW w:w="10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4.</w:t>
            </w:r>
          </w:p>
        </w:tc>
        <w:tc>
          <w:tcPr>
            <w:tcW w:w="21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bCs/>
                <w:i/>
                <w:iCs/>
                <w:sz w:val="22"/>
                <w:szCs w:val="22"/>
                <w:lang w:val="ro-MD"/>
              </w:rPr>
              <w:t>Dovbuş Piotr</w:t>
            </w:r>
          </w:p>
        </w:tc>
        <w:tc>
          <w:tcPr>
            <w:tcW w:w="2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
                <w:sz w:val="22"/>
                <w:szCs w:val="22"/>
                <w:lang w:val="ro-RO"/>
              </w:rPr>
              <w:t>cercetător ştiinţific coordonator</w:t>
            </w:r>
          </w:p>
        </w:tc>
        <w:tc>
          <w:tcPr>
            <w:tcW w:w="28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iCs/>
                <w:sz w:val="22"/>
                <w:szCs w:val="22"/>
                <w:lang w:val="ro-MD"/>
              </w:rPr>
              <w:t>doctor habilitat</w:t>
            </w:r>
          </w:p>
        </w:tc>
      </w:tr>
      <w:tr>
        <w:trPr/>
        <w:tc>
          <w:tcPr>
            <w:tcW w:w="10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5.</w:t>
            </w:r>
          </w:p>
        </w:tc>
        <w:tc>
          <w:tcPr>
            <w:tcW w:w="21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iCs/>
                <w:sz w:val="22"/>
                <w:szCs w:val="22"/>
                <w:lang w:val="ro-MD"/>
              </w:rPr>
              <w:t>Baltag Valeriu</w:t>
            </w:r>
          </w:p>
        </w:tc>
        <w:tc>
          <w:tcPr>
            <w:tcW w:w="2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
                <w:sz w:val="22"/>
                <w:szCs w:val="22"/>
                <w:lang w:val="ro-RO"/>
              </w:rPr>
              <w:t xml:space="preserve">cercetător ştiinţific </w:t>
            </w:r>
            <w:r>
              <w:rPr>
                <w:i/>
                <w:sz w:val="22"/>
                <w:szCs w:val="22"/>
                <w:lang w:val="ro-RO"/>
              </w:rPr>
              <w:t>superior</w:t>
            </w:r>
          </w:p>
        </w:tc>
        <w:tc>
          <w:tcPr>
            <w:tcW w:w="28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
                <w:sz w:val="22"/>
                <w:szCs w:val="22"/>
                <w:lang w:val="ro-RO"/>
              </w:rPr>
              <w:t>doctor</w:t>
            </w:r>
          </w:p>
        </w:tc>
      </w:tr>
      <w:tr>
        <w:trPr/>
        <w:tc>
          <w:tcPr>
            <w:tcW w:w="10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6.</w:t>
            </w:r>
          </w:p>
        </w:tc>
        <w:tc>
          <w:tcPr>
            <w:tcW w:w="21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iCs/>
                <w:sz w:val="22"/>
                <w:szCs w:val="22"/>
                <w:lang w:val="ro-MD"/>
              </w:rPr>
              <w:t>Calin Iurie</w:t>
            </w:r>
          </w:p>
        </w:tc>
        <w:tc>
          <w:tcPr>
            <w:tcW w:w="2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i/>
                <w:sz w:val="22"/>
                <w:szCs w:val="22"/>
                <w:lang w:val="ro-MD"/>
              </w:rPr>
              <w:t>cercetător ştiinţific superior</w:t>
            </w:r>
          </w:p>
        </w:tc>
        <w:tc>
          <w:tcPr>
            <w:tcW w:w="28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
                <w:sz w:val="22"/>
                <w:szCs w:val="22"/>
                <w:lang w:val="ro-RO"/>
              </w:rPr>
              <w:t>doctor</w:t>
            </w:r>
          </w:p>
        </w:tc>
      </w:tr>
      <w:tr>
        <w:trPr/>
        <w:tc>
          <w:tcPr>
            <w:tcW w:w="10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 xml:space="preserve">7. </w:t>
            </w:r>
          </w:p>
        </w:tc>
        <w:tc>
          <w:tcPr>
            <w:tcW w:w="21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
                <w:sz w:val="22"/>
                <w:szCs w:val="22"/>
                <w:lang w:val="ro-RO"/>
              </w:rPr>
              <w:t xml:space="preserve">Driuma Valeriu                   </w:t>
            </w:r>
          </w:p>
        </w:tc>
        <w:tc>
          <w:tcPr>
            <w:tcW w:w="2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
                <w:sz w:val="22"/>
                <w:szCs w:val="22"/>
                <w:lang w:val="ro-RO"/>
              </w:rPr>
              <w:t>cercetător ştiinţif</w:t>
            </w:r>
            <w:r>
              <w:rPr>
                <w:i/>
                <w:sz w:val="22"/>
                <w:szCs w:val="22"/>
                <w:lang w:val="ro-RO"/>
              </w:rPr>
              <w:t>ic coordonator</w:t>
            </w:r>
          </w:p>
        </w:tc>
        <w:tc>
          <w:tcPr>
            <w:tcW w:w="28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
                <w:sz w:val="22"/>
                <w:szCs w:val="22"/>
                <w:lang w:val="ro-RO"/>
              </w:rPr>
              <w:t>doctor</w:t>
            </w:r>
          </w:p>
        </w:tc>
      </w:tr>
      <w:tr>
        <w:trPr/>
        <w:tc>
          <w:tcPr>
            <w:tcW w:w="10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8.</w:t>
            </w:r>
          </w:p>
        </w:tc>
        <w:tc>
          <w:tcPr>
            <w:tcW w:w="21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
                <w:sz w:val="22"/>
                <w:szCs w:val="22"/>
                <w:lang w:val="ro-RO"/>
              </w:rPr>
              <w:t>Orlov Victor</w:t>
            </w:r>
          </w:p>
        </w:tc>
        <w:tc>
          <w:tcPr>
            <w:tcW w:w="2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i/>
                <w:sz w:val="22"/>
                <w:szCs w:val="22"/>
                <w:lang w:val="ro-MD"/>
              </w:rPr>
              <w:t>cercetător ştiinţific</w:t>
            </w:r>
          </w:p>
        </w:tc>
        <w:tc>
          <w:tcPr>
            <w:tcW w:w="28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
                <w:sz w:val="22"/>
                <w:szCs w:val="22"/>
                <w:lang w:val="ro-RO"/>
              </w:rPr>
              <w:t>doctor</w:t>
            </w:r>
          </w:p>
        </w:tc>
      </w:tr>
      <w:tr>
        <w:trPr/>
        <w:tc>
          <w:tcPr>
            <w:tcW w:w="10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9.</w:t>
            </w:r>
          </w:p>
        </w:tc>
        <w:tc>
          <w:tcPr>
            <w:tcW w:w="21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
                <w:sz w:val="22"/>
                <w:szCs w:val="22"/>
                <w:lang w:val="ro-RO"/>
              </w:rPr>
              <w:t>Pricop Victor</w:t>
            </w:r>
          </w:p>
        </w:tc>
        <w:tc>
          <w:tcPr>
            <w:tcW w:w="2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i/>
                <w:sz w:val="22"/>
                <w:szCs w:val="22"/>
                <w:lang w:val="ro-MD"/>
              </w:rPr>
              <w:t>cercetător ştiinţific stagiar</w:t>
            </w:r>
          </w:p>
        </w:tc>
        <w:tc>
          <w:tcPr>
            <w:tcW w:w="28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
                <w:sz w:val="22"/>
                <w:szCs w:val="22"/>
                <w:lang w:val="ro-RO"/>
              </w:rPr>
              <w:t>doctor</w:t>
            </w:r>
          </w:p>
        </w:tc>
      </w:tr>
      <w:tr>
        <w:trPr/>
        <w:tc>
          <w:tcPr>
            <w:tcW w:w="10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10.</w:t>
            </w:r>
          </w:p>
        </w:tc>
        <w:tc>
          <w:tcPr>
            <w:tcW w:w="21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
                <w:sz w:val="22"/>
                <w:szCs w:val="22"/>
                <w:lang w:val="ro-RO"/>
              </w:rPr>
              <w:t xml:space="preserve">Bujac Cristina                       </w:t>
            </w:r>
          </w:p>
        </w:tc>
        <w:tc>
          <w:tcPr>
            <w:tcW w:w="2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MD"/>
              </w:rPr>
            </w:pPr>
            <w:r>
              <w:rPr>
                <w:i/>
                <w:sz w:val="22"/>
                <w:szCs w:val="22"/>
                <w:lang w:val="ro-MD"/>
              </w:rPr>
              <w:t>cer</w:t>
            </w:r>
            <w:r>
              <w:rPr>
                <w:rFonts w:cs="Times New Roman CE" w:ascii="Times New Roman CE" w:hAnsi="Times New Roman CE"/>
                <w:i/>
                <w:sz w:val="22"/>
                <w:szCs w:val="22"/>
                <w:lang w:val="ro-MD"/>
              </w:rPr>
              <w:t>cetător ştiinţific stagiar</w:t>
            </w:r>
          </w:p>
        </w:tc>
        <w:tc>
          <w:tcPr>
            <w:tcW w:w="28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i/>
                <w:sz w:val="22"/>
                <w:szCs w:val="22"/>
                <w:lang w:val="ro-RO"/>
              </w:rPr>
              <w:t>doctor</w:t>
            </w:r>
          </w:p>
        </w:tc>
      </w:tr>
      <w:tr>
        <w:trPr/>
        <w:tc>
          <w:tcPr>
            <w:tcW w:w="10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11.</w:t>
            </w:r>
          </w:p>
        </w:tc>
        <w:tc>
          <w:tcPr>
            <w:tcW w:w="21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bCs/>
                <w:i/>
                <w:sz w:val="22"/>
                <w:szCs w:val="22"/>
                <w:lang w:val="ro-MD"/>
              </w:rPr>
              <w:t xml:space="preserve">Vacaraş Olga                                           </w:t>
            </w:r>
          </w:p>
        </w:tc>
        <w:tc>
          <w:tcPr>
            <w:tcW w:w="2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i/>
                <w:sz w:val="22"/>
                <w:szCs w:val="22"/>
                <w:lang w:val="ro-RO"/>
              </w:rPr>
              <w:t>inginer matematician</w:t>
            </w:r>
          </w:p>
        </w:tc>
        <w:tc>
          <w:tcPr>
            <w:tcW w:w="28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rFonts w:ascii="Times New Roman" w:hAnsi="Times New Roman"/>
                <w:i/>
                <w:i/>
                <w:sz w:val="22"/>
                <w:szCs w:val="22"/>
                <w:lang w:val="ro-RO"/>
              </w:rPr>
            </w:pPr>
            <w:r>
              <w:rPr>
                <w:i/>
                <w:sz w:val="22"/>
                <w:szCs w:val="22"/>
                <w:lang w:val="ro-RO"/>
              </w:rPr>
            </w:r>
          </w:p>
        </w:tc>
      </w:tr>
      <w:tr>
        <w:trPr/>
        <w:tc>
          <w:tcPr>
            <w:tcW w:w="10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12</w:t>
            </w:r>
          </w:p>
        </w:tc>
        <w:tc>
          <w:tcPr>
            <w:tcW w:w="21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sz w:val="22"/>
                <w:szCs w:val="22"/>
                <w:lang w:val="ro-MD"/>
              </w:rPr>
              <w:t>Ciubotaru Stanislav</w:t>
            </w:r>
          </w:p>
        </w:tc>
        <w:tc>
          <w:tcPr>
            <w:tcW w:w="29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i/>
                <w:sz w:val="22"/>
                <w:szCs w:val="22"/>
                <w:lang w:val="ro-RO"/>
              </w:rPr>
              <w:t>inginer matematician</w:t>
            </w:r>
          </w:p>
        </w:tc>
        <w:tc>
          <w:tcPr>
            <w:tcW w:w="28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rFonts w:ascii="Times New Roman" w:hAnsi="Times New Roman"/>
                <w:i/>
                <w:i/>
                <w:sz w:val="22"/>
                <w:szCs w:val="22"/>
                <w:lang w:val="ro-RO"/>
              </w:rPr>
            </w:pPr>
            <w:r>
              <w:rPr>
                <w:i/>
                <w:sz w:val="22"/>
                <w:szCs w:val="22"/>
                <w:lang w:val="ro-RO"/>
              </w:rPr>
            </w:r>
          </w:p>
        </w:tc>
      </w:tr>
    </w:tbl>
    <w:p>
      <w:pPr>
        <w:pStyle w:val="Normal"/>
        <w:widowControl/>
        <w:numPr>
          <w:ilvl w:val="0"/>
          <w:numId w:val="5"/>
        </w:numPr>
        <w:tabs>
          <w:tab w:val="left" w:pos="142" w:leader="none"/>
        </w:tabs>
        <w:bidi w:val="0"/>
        <w:ind w:left="180" w:right="0" w:hanging="0"/>
        <w:jc w:val="left"/>
        <w:textAlignment w:val="auto"/>
        <w:rPr>
          <w:lang w:val="ro-RO"/>
        </w:rPr>
      </w:pPr>
      <w:r>
        <w:rPr>
          <w:rFonts w:cs="Times New Roman CE" w:ascii="Times New Roman CE" w:hAnsi="Times New Roman CE"/>
          <w:sz w:val="22"/>
          <w:szCs w:val="22"/>
          <w:lang w:val="ro-RO"/>
        </w:rPr>
        <w:t xml:space="preserve">Sumarul activităţilor proiectului realizate în perioada evaluată </w:t>
      </w:r>
    </w:p>
    <w:tbl>
      <w:tblPr>
        <w:tblW w:w="9638"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1070"/>
        <w:gridCol w:w="3882"/>
        <w:gridCol w:w="4686"/>
      </w:tblGrid>
      <w:tr>
        <w:trPr/>
        <w:tc>
          <w:tcPr>
            <w:tcW w:w="1070"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rFonts w:ascii="Times New Roman" w:hAnsi="Times New Roman"/>
                <w:bCs/>
                <w:color w:val="000000"/>
                <w:sz w:val="22"/>
                <w:szCs w:val="22"/>
                <w:lang w:val="ro-MD"/>
              </w:rPr>
            </w:pPr>
            <w:r>
              <w:rPr>
                <w:bCs/>
                <w:color w:val="000000"/>
                <w:sz w:val="22"/>
                <w:szCs w:val="22"/>
                <w:lang w:val="ro-MD"/>
              </w:rPr>
            </w:r>
          </w:p>
        </w:tc>
        <w:tc>
          <w:tcPr>
            <w:tcW w:w="3882"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bCs/>
                <w:i/>
                <w:color w:val="000000"/>
                <w:sz w:val="22"/>
                <w:szCs w:val="22"/>
                <w:lang w:val="ro-MD"/>
              </w:rPr>
              <w:t>Activităţi planificate</w:t>
            </w:r>
          </w:p>
        </w:tc>
        <w:tc>
          <w:tcPr>
            <w:tcW w:w="4686"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MD"/>
              </w:rPr>
            </w:pPr>
            <w:r>
              <w:rPr>
                <w:bCs/>
                <w:i/>
                <w:color w:val="000000"/>
                <w:sz w:val="22"/>
                <w:szCs w:val="22"/>
                <w:lang w:val="ro-MD"/>
              </w:rPr>
              <w:t>Ac</w:t>
            </w:r>
            <w:r>
              <w:rPr>
                <w:rFonts w:cs="Times New Roman CE" w:ascii="Times New Roman CE" w:hAnsi="Times New Roman CE"/>
                <w:bCs/>
                <w:i/>
                <w:color w:val="000000"/>
                <w:sz w:val="22"/>
                <w:szCs w:val="22"/>
                <w:lang w:val="ro-MD"/>
              </w:rPr>
              <w:t xml:space="preserve">tivităţi realizate şi rezultate noi obţinute în cadrul  </w:t>
            </w:r>
            <w:r>
              <w:rPr>
                <w:bCs/>
                <w:i/>
                <w:color w:val="000000"/>
                <w:sz w:val="22"/>
                <w:szCs w:val="22"/>
                <w:lang w:val="ro-MD"/>
              </w:rPr>
              <w:t>proiectului</w:t>
            </w:r>
          </w:p>
        </w:tc>
      </w:tr>
      <w:tr>
        <w:trPr>
          <w:trHeight w:val="985" w:hRule="atLeast"/>
        </w:trPr>
        <w:tc>
          <w:tcPr>
            <w:tcW w:w="4952" w:type="dxa"/>
            <w:gridSpan w:val="2"/>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RO"/>
              </w:rPr>
            </w:pPr>
            <w:r>
              <w:rPr>
                <w:i/>
                <w:color w:val="000000"/>
                <w:sz w:val="22"/>
                <w:szCs w:val="22"/>
                <w:lang w:val="ro-RO"/>
              </w:rPr>
              <w:t>Se vor s</w:t>
            </w:r>
            <w:r>
              <w:rPr>
                <w:rFonts w:cs="Times New Roman CE" w:ascii="Times New Roman CE" w:hAnsi="Times New Roman CE"/>
                <w:i/>
                <w:color w:val="000000"/>
                <w:sz w:val="22"/>
                <w:szCs w:val="22"/>
                <w:lang w:val="ro-RO"/>
              </w:rPr>
              <w:t>tudia integrabilităţi</w:t>
            </w:r>
            <w:r>
              <w:rPr>
                <w:i/>
                <w:color w:val="000000"/>
                <w:sz w:val="22"/>
                <w:szCs w:val="22"/>
                <w:lang w:val="ro-RO"/>
              </w:rPr>
              <w:t>le sistemului diferen</w:t>
            </w:r>
            <w:r>
              <w:rPr>
                <w:rFonts w:cs="Cambria Math" w:ascii="Cambria Math" w:hAnsi="Cambria Math"/>
                <w:i/>
                <w:color w:val="000000"/>
                <w:sz w:val="22"/>
                <w:szCs w:val="22"/>
                <w:lang w:val="ro-RO"/>
              </w:rPr>
              <w:t>ț</w:t>
            </w:r>
            <w:r>
              <w:rPr>
                <w:i/>
                <w:color w:val="000000"/>
                <w:sz w:val="22"/>
                <w:szCs w:val="22"/>
                <w:lang w:val="ro-RO"/>
              </w:rPr>
              <w:t>ial ternar de tip Lyapunov-Darboux cu ajutorul ecua</w:t>
            </w:r>
            <w:r>
              <w:rPr>
                <w:rFonts w:cs="Cambria Math" w:ascii="Cambria Math" w:hAnsi="Cambria Math"/>
                <w:i/>
                <w:color w:val="000000"/>
                <w:sz w:val="22"/>
                <w:szCs w:val="22"/>
                <w:lang w:val="ro-RO"/>
              </w:rPr>
              <w:t>ț</w:t>
            </w:r>
            <w:r>
              <w:rPr>
                <w:rFonts w:cs="Times New Roman CE" w:ascii="Times New Roman CE" w:hAnsi="Times New Roman CE"/>
                <w:i/>
                <w:color w:val="000000"/>
                <w:sz w:val="22"/>
                <w:szCs w:val="22"/>
                <w:lang w:val="ro-RO"/>
              </w:rPr>
              <w:t>iilor Pfaff corespunzătoare lui.</w:t>
            </w:r>
            <w:r>
              <w:rPr>
                <w:i/>
                <w:color w:val="000000"/>
                <w:sz w:val="22"/>
                <w:szCs w:val="22"/>
                <w:lang w:val="ro-RO"/>
              </w:rPr>
              <w:t xml:space="preserve"> Se va construi integrala general</w:t>
            </w:r>
            <w:r>
              <w:rPr>
                <w:rFonts w:cs="Times New Roman CE" w:ascii="Times New Roman CE" w:hAnsi="Times New Roman CE"/>
                <w:i/>
                <w:color w:val="000000"/>
                <w:sz w:val="22"/>
                <w:szCs w:val="22"/>
                <w:lang w:val="ro-RO"/>
              </w:rPr>
              <w:t>ă</w:t>
            </w:r>
            <w:r>
              <w:rPr>
                <w:i/>
                <w:color w:val="000000"/>
                <w:sz w:val="22"/>
                <w:szCs w:val="22"/>
                <w:lang w:val="ro-RO"/>
              </w:rPr>
              <w:t xml:space="preserve"> a sistemului diferen</w:t>
            </w:r>
            <w:r>
              <w:rPr>
                <w:rFonts w:cs="Cambria Math" w:ascii="Cambria Math" w:hAnsi="Cambria Math"/>
                <w:i/>
                <w:color w:val="000000"/>
                <w:sz w:val="22"/>
                <w:szCs w:val="22"/>
                <w:lang w:val="ro-RO"/>
              </w:rPr>
              <w:t>ț</w:t>
            </w:r>
            <w:r>
              <w:rPr>
                <w:rFonts w:cs="Times New Roman CE" w:ascii="Times New Roman CE" w:hAnsi="Times New Roman CE"/>
                <w:i/>
                <w:color w:val="000000"/>
                <w:sz w:val="22"/>
                <w:szCs w:val="22"/>
                <w:lang w:val="ro-RO"/>
              </w:rPr>
              <w:t>ial ternar cu neliniarită</w:t>
            </w:r>
            <w:r>
              <w:rPr>
                <w:rFonts w:cs="Cambria Math" w:ascii="Cambria Math" w:hAnsi="Cambria Math"/>
                <w:i/>
                <w:color w:val="000000"/>
                <w:sz w:val="22"/>
                <w:szCs w:val="22"/>
                <w:lang w:val="ro-RO"/>
              </w:rPr>
              <w:t>ț</w:t>
            </w:r>
            <w:r>
              <w:rPr>
                <w:rFonts w:cs="Times New Roman CE" w:ascii="Times New Roman CE" w:hAnsi="Times New Roman CE"/>
                <w:i/>
                <w:color w:val="000000"/>
                <w:sz w:val="22"/>
                <w:szCs w:val="22"/>
                <w:lang w:val="ro-RO"/>
              </w:rPr>
              <w:t>i pătratice de tip Darboux, când comitantul păr</w:t>
            </w:r>
            <w:r>
              <w:rPr>
                <w:rFonts w:cs="Cambria Math" w:ascii="Cambria Math" w:hAnsi="Cambria Math"/>
                <w:i/>
                <w:color w:val="000000"/>
                <w:sz w:val="22"/>
                <w:szCs w:val="22"/>
                <w:lang w:val="ro-RO"/>
              </w:rPr>
              <w:t>ț</w:t>
            </w:r>
            <w:r>
              <w:rPr>
                <w:rFonts w:cs="Times New Roman CE" w:ascii="Times New Roman CE" w:hAnsi="Times New Roman CE"/>
                <w:i/>
                <w:color w:val="000000"/>
                <w:sz w:val="22"/>
                <w:szCs w:val="22"/>
                <w:lang w:val="ro-RO"/>
              </w:rPr>
              <w:t xml:space="preserve">ii liniare , ce este o integrală particulară pentru sistemul dat, formează o varietate invariantă. </w:t>
            </w:r>
          </w:p>
          <w:p>
            <w:pPr>
              <w:pStyle w:val="Normal"/>
              <w:widowControl/>
              <w:bidi w:val="0"/>
              <w:ind w:left="0" w:right="0" w:hanging="0"/>
              <w:jc w:val="left"/>
              <w:textAlignment w:val="auto"/>
              <w:rPr>
                <w:lang w:val="ro-MD"/>
              </w:rPr>
            </w:pPr>
            <w:r>
              <w:rPr>
                <w:i/>
                <w:color w:val="222222"/>
                <w:sz w:val="22"/>
                <w:szCs w:val="22"/>
                <w:shd w:fill="FFFFFF" w:val="clear"/>
                <w:lang w:val="ro-MD"/>
              </w:rPr>
              <w:t>Vor fi studiate rela</w:t>
            </w:r>
            <w:r>
              <w:rPr>
                <w:rFonts w:cs="Cambria Math" w:ascii="Cambria Math" w:hAnsi="Cambria Math"/>
                <w:i/>
                <w:color w:val="222222"/>
                <w:sz w:val="22"/>
                <w:szCs w:val="22"/>
                <w:shd w:fill="FFFFFF" w:val="clear"/>
                <w:lang w:val="ro-MD"/>
              </w:rPr>
              <w:t>ț</w:t>
            </w:r>
            <w:r>
              <w:rPr>
                <w:i/>
                <w:color w:val="222222"/>
                <w:sz w:val="22"/>
                <w:szCs w:val="22"/>
                <w:shd w:fill="FFFFFF" w:val="clear"/>
                <w:lang w:val="ro-MD"/>
              </w:rPr>
              <w:t>iile dintre seriile Hilbert obi</w:t>
            </w:r>
            <w:r>
              <w:rPr>
                <w:rFonts w:cs="Cambria Math" w:ascii="Cambria Math" w:hAnsi="Cambria Math"/>
                <w:i/>
                <w:color w:val="222222"/>
                <w:sz w:val="22"/>
                <w:szCs w:val="22"/>
                <w:shd w:fill="FFFFFF" w:val="clear"/>
                <w:lang w:val="ro-MD"/>
              </w:rPr>
              <w:t>ș</w:t>
            </w:r>
            <w:r>
              <w:rPr>
                <w:i/>
                <w:color w:val="222222"/>
                <w:sz w:val="22"/>
                <w:szCs w:val="22"/>
                <w:shd w:fill="FFFFFF" w:val="clear"/>
                <w:lang w:val="ro-MD"/>
              </w:rPr>
              <w:t>nuite ale algebrelor Sibirschi ale sistemului s(4) ob</w:t>
            </w:r>
            <w:r>
              <w:rPr>
                <w:rFonts w:cs="Cambria Math" w:ascii="Cambria Math" w:hAnsi="Cambria Math"/>
                <w:i/>
                <w:color w:val="222222"/>
                <w:sz w:val="22"/>
                <w:szCs w:val="22"/>
                <w:shd w:fill="FFFFFF" w:val="clear"/>
                <w:lang w:val="ro-MD"/>
              </w:rPr>
              <w:t>ț</w:t>
            </w:r>
            <w:r>
              <w:rPr>
                <w:i/>
                <w:color w:val="222222"/>
                <w:sz w:val="22"/>
                <w:szCs w:val="22"/>
                <w:shd w:fill="FFFFFF" w:val="clear"/>
                <w:lang w:val="ro-MD"/>
              </w:rPr>
              <w:t xml:space="preserve">inute prin metoda Sylvester </w:t>
            </w:r>
            <w:r>
              <w:rPr>
                <w:rFonts w:cs="Cambria Math" w:ascii="Cambria Math" w:hAnsi="Cambria Math"/>
                <w:i/>
                <w:color w:val="222222"/>
                <w:sz w:val="22"/>
                <w:szCs w:val="22"/>
                <w:shd w:fill="FFFFFF" w:val="clear"/>
                <w:lang w:val="ro-MD"/>
              </w:rPr>
              <w:t>ș</w:t>
            </w:r>
            <w:r>
              <w:rPr>
                <w:i/>
                <w:color w:val="222222"/>
                <w:sz w:val="22"/>
                <w:szCs w:val="22"/>
                <w:shd w:fill="FFFFFF" w:val="clear"/>
                <w:lang w:val="ro-MD"/>
              </w:rPr>
              <w:t>i metoda reziduurilor.</w:t>
            </w:r>
            <w:r>
              <w:rPr/>
              <w:br/>
            </w:r>
            <w:r>
              <w:rPr>
                <w:i/>
                <w:color w:val="222222"/>
                <w:sz w:val="22"/>
                <w:szCs w:val="22"/>
                <w:shd w:fill="FFFFFF" w:val="clear"/>
                <w:lang w:val="ro-MD"/>
              </w:rPr>
              <w:t>Vor fi ob</w:t>
            </w:r>
            <w:r>
              <w:rPr>
                <w:rFonts w:cs="Cambria Math" w:ascii="Cambria Math" w:hAnsi="Cambria Math"/>
                <w:i/>
                <w:color w:val="222222"/>
                <w:sz w:val="22"/>
                <w:szCs w:val="22"/>
                <w:shd w:fill="FFFFFF" w:val="clear"/>
                <w:lang w:val="ro-MD"/>
              </w:rPr>
              <w:t>ț</w:t>
            </w:r>
            <w:r>
              <w:rPr>
                <w:i/>
                <w:color w:val="222222"/>
                <w:sz w:val="22"/>
                <w:szCs w:val="22"/>
                <w:shd w:fill="FFFFFF" w:val="clear"/>
                <w:lang w:val="ro-MD"/>
              </w:rPr>
              <w:t>inute seriile Hilbert obi</w:t>
            </w:r>
            <w:r>
              <w:rPr>
                <w:rFonts w:cs="Cambria Math" w:ascii="Cambria Math" w:hAnsi="Cambria Math"/>
                <w:i/>
                <w:color w:val="222222"/>
                <w:sz w:val="22"/>
                <w:szCs w:val="22"/>
                <w:shd w:fill="FFFFFF" w:val="clear"/>
                <w:lang w:val="ro-MD"/>
              </w:rPr>
              <w:t>ș</w:t>
            </w:r>
            <w:r>
              <w:rPr>
                <w:i/>
                <w:color w:val="222222"/>
                <w:sz w:val="22"/>
                <w:szCs w:val="22"/>
                <w:shd w:fill="FFFFFF" w:val="clear"/>
                <w:lang w:val="ro-MD"/>
              </w:rPr>
              <w:t xml:space="preserve">nuite ale algebrelor Sibirschi pentru sistemul s(6) </w:t>
            </w:r>
            <w:r>
              <w:rPr>
                <w:rFonts w:cs="Cambria Math" w:ascii="Cambria Math" w:hAnsi="Cambria Math"/>
                <w:i/>
                <w:color w:val="222222"/>
                <w:sz w:val="22"/>
                <w:szCs w:val="22"/>
                <w:shd w:fill="FFFFFF" w:val="clear"/>
                <w:lang w:val="ro-MD"/>
              </w:rPr>
              <w:t>ș</w:t>
            </w:r>
            <w:r>
              <w:rPr>
                <w:i/>
                <w:color w:val="222222"/>
                <w:sz w:val="22"/>
                <w:szCs w:val="22"/>
                <w:shd w:fill="FFFFFF" w:val="clear"/>
                <w:lang w:val="ro-MD"/>
              </w:rPr>
              <w:t>i calculate dimensiunile Krull ale acestor algebre.</w:t>
            </w:r>
          </w:p>
          <w:p>
            <w:pPr>
              <w:pStyle w:val="Normal"/>
              <w:widowControl/>
              <w:bidi w:val="0"/>
              <w:ind w:left="0" w:right="0" w:hanging="0"/>
              <w:jc w:val="left"/>
              <w:textAlignment w:val="auto"/>
              <w:rPr/>
            </w:pPr>
            <w:r>
              <w:rPr>
                <w:i/>
                <w:color w:val="000000"/>
                <w:sz w:val="22"/>
                <w:szCs w:val="22"/>
                <w:lang w:val="ro-RO"/>
              </w:rPr>
              <w:t>Se va studia normalitatea a famiil</w:t>
            </w:r>
            <w:r>
              <w:rPr>
                <w:rFonts w:cs="Times New Roman CE" w:ascii="Times New Roman CE" w:hAnsi="Times New Roman CE"/>
                <w:i/>
                <w:color w:val="000000"/>
                <w:sz w:val="22"/>
                <w:szCs w:val="22"/>
                <w:lang w:val="ro-RO"/>
              </w:rPr>
              <w:t>iilor de funcţii olomorfe de multe variabile.</w:t>
            </w:r>
          </w:p>
          <w:p>
            <w:pPr>
              <w:pStyle w:val="Normal"/>
              <w:widowControl/>
              <w:bidi w:val="0"/>
              <w:ind w:left="0" w:right="0" w:hanging="0"/>
              <w:jc w:val="left"/>
              <w:textAlignment w:val="auto"/>
              <w:rPr>
                <w:lang w:val="ro-RO"/>
              </w:rPr>
            </w:pPr>
            <w:r>
              <w:rPr>
                <w:i/>
                <w:sz w:val="22"/>
                <w:szCs w:val="22"/>
                <w:lang w:val="ro-RO"/>
              </w:rPr>
              <w:t>Vor fi cercetat</w:t>
            </w:r>
            <w:r>
              <w:rPr>
                <w:rFonts w:cs="Times New Roman CE" w:ascii="Times New Roman CE" w:hAnsi="Times New Roman CE"/>
                <w:i/>
                <w:sz w:val="22"/>
                <w:szCs w:val="22"/>
                <w:lang w:val="ro-RO"/>
              </w:rPr>
              <w:t>e proprietăţil</w:t>
            </w:r>
            <w:r>
              <w:rPr>
                <w:i/>
                <w:sz w:val="22"/>
                <w:szCs w:val="22"/>
                <w:lang w:val="ro-RO"/>
              </w:rPr>
              <w:t>e</w:t>
            </w:r>
            <w:r>
              <w:rPr>
                <w:rFonts w:cs="Times New Roman CE" w:ascii="Times New Roman CE" w:hAnsi="Times New Roman CE"/>
                <w:i/>
                <w:sz w:val="22"/>
                <w:szCs w:val="22"/>
                <w:lang w:val="ro-RO"/>
              </w:rPr>
              <w:t xml:space="preserve"> ecuaţiilor diferenţiale algebrice ce sunt legate de sistemele ordinare de ecuaţii pătratice.</w:t>
            </w:r>
          </w:p>
          <w:p>
            <w:pPr>
              <w:pStyle w:val="Normal"/>
              <w:widowControl/>
              <w:bidi w:val="0"/>
              <w:ind w:left="0" w:right="0" w:hanging="0"/>
              <w:jc w:val="left"/>
              <w:textAlignment w:val="auto"/>
              <w:rPr>
                <w:lang w:val="ro-RO"/>
              </w:rPr>
            </w:pPr>
            <w:r>
              <w:rPr>
                <w:rFonts w:cs="Times New Roman CE" w:ascii="Times New Roman CE" w:hAnsi="Times New Roman CE"/>
                <w:i/>
                <w:sz w:val="22"/>
                <w:szCs w:val="22"/>
                <w:lang w:val="ro-RO"/>
              </w:rPr>
              <w:t>Vor fi determinate consecutivită</w:t>
            </w:r>
            <w:r>
              <w:rPr>
                <w:rFonts w:cs="Cambria Math" w:ascii="Cambria Math" w:hAnsi="Cambria Math"/>
                <w:i/>
                <w:sz w:val="22"/>
                <w:szCs w:val="22"/>
                <w:lang w:val="ro-RO"/>
              </w:rPr>
              <w:t>ț</w:t>
            </w:r>
            <w:r>
              <w:rPr>
                <w:i/>
                <w:sz w:val="22"/>
                <w:szCs w:val="22"/>
                <w:lang w:val="ro-RO"/>
              </w:rPr>
              <w:t xml:space="preserve">ile de </w:t>
            </w:r>
            <w:r>
              <w:rPr>
                <w:rFonts w:cs="Times New Roman CE" w:ascii="Times New Roman CE" w:hAnsi="Times New Roman CE"/>
                <w:i/>
                <w:sz w:val="22"/>
                <w:szCs w:val="22"/>
                <w:lang w:val="ro-RO"/>
              </w:rPr>
              <w:t>multiplicită</w:t>
            </w:r>
            <w:r>
              <w:rPr>
                <w:rFonts w:cs="Cambria Math" w:ascii="Cambria Math" w:hAnsi="Cambria Math"/>
                <w:i/>
                <w:sz w:val="22"/>
                <w:szCs w:val="22"/>
                <w:lang w:val="ro-RO"/>
              </w:rPr>
              <w:t>ț</w:t>
            </w:r>
            <w:r>
              <w:rPr>
                <w:i/>
                <w:sz w:val="22"/>
                <w:szCs w:val="22"/>
                <w:lang w:val="ro-RO"/>
              </w:rPr>
              <w:t>i algebrice maximale pentru sistemele diferen</w:t>
            </w:r>
            <w:r>
              <w:rPr>
                <w:rFonts w:cs="Cambria Math" w:ascii="Cambria Math" w:hAnsi="Cambria Math"/>
                <w:i/>
                <w:sz w:val="22"/>
                <w:szCs w:val="22"/>
                <w:lang w:val="ro-RO"/>
              </w:rPr>
              <w:t>ț</w:t>
            </w:r>
            <w:r>
              <w:rPr>
                <w:i/>
                <w:sz w:val="22"/>
                <w:szCs w:val="22"/>
                <w:lang w:val="ro-RO"/>
              </w:rPr>
              <w:t xml:space="preserve">iale </w:t>
            </w:r>
            <w:r>
              <w:rPr>
                <w:rFonts w:cs="Times New Roman CE" w:ascii="Times New Roman CE" w:hAnsi="Times New Roman CE"/>
                <w:i/>
                <w:sz w:val="22"/>
                <w:szCs w:val="22"/>
                <w:lang w:val="ro-RO"/>
              </w:rPr>
              <w:t>cubice cu două</w:t>
            </w:r>
            <w:r>
              <w:rPr>
                <w:i/>
                <w:sz w:val="22"/>
                <w:szCs w:val="22"/>
                <w:lang w:val="ro-RO"/>
              </w:rPr>
              <w:t xml:space="preserve"> drepte invariante reale afine </w:t>
            </w:r>
            <w:r>
              <w:rPr>
                <w:rFonts w:cs="Cambria Math" w:ascii="Cambria Math" w:hAnsi="Cambria Math"/>
                <w:i/>
                <w:sz w:val="22"/>
                <w:szCs w:val="22"/>
                <w:lang w:val="ro-RO"/>
              </w:rPr>
              <w:t>ș</w:t>
            </w:r>
            <w:r>
              <w:rPr>
                <w:i/>
                <w:sz w:val="22"/>
                <w:szCs w:val="22"/>
                <w:lang w:val="ro-RO"/>
              </w:rPr>
              <w:t>i concurente.</w:t>
            </w:r>
          </w:p>
          <w:p>
            <w:pPr>
              <w:pStyle w:val="Normal"/>
              <w:widowControl/>
              <w:bidi w:val="0"/>
              <w:ind w:left="0" w:right="0" w:hanging="0"/>
              <w:jc w:val="left"/>
              <w:textAlignment w:val="auto"/>
              <w:rPr>
                <w:lang w:val="ro-RO"/>
              </w:rPr>
            </w:pPr>
            <w:r>
              <w:rPr>
                <w:i/>
                <w:sz w:val="22"/>
                <w:szCs w:val="22"/>
                <w:lang w:val="ro-RO"/>
              </w:rPr>
              <w:t>Se vor construi</w:t>
            </w:r>
            <w:r>
              <w:rPr>
                <w:rFonts w:ascii="Times CE" w:hAnsi="Times CE"/>
                <w:i/>
                <w:sz w:val="22"/>
                <w:szCs w:val="22"/>
                <w:lang w:val="ro-RO"/>
              </w:rPr>
              <w:t xml:space="preserve"> condiţiil</w:t>
            </w:r>
            <w:r>
              <w:rPr>
                <w:rFonts w:ascii="Times" w:hAnsi="Times"/>
                <w:i/>
                <w:sz w:val="22"/>
                <w:szCs w:val="22"/>
                <w:lang w:val="ro-RO"/>
              </w:rPr>
              <w:t xml:space="preserve">e </w:t>
            </w:r>
            <w:r>
              <w:rPr>
                <w:rFonts w:ascii="Times" w:hAnsi="Times"/>
                <w:i/>
                <w:sz w:val="22"/>
                <w:szCs w:val="22"/>
                <w:lang w:val="ro-RO"/>
              </w:rPr>
              <w:drawing>
                <wp:inline distT="0" distB="0" distL="0" distR="0">
                  <wp:extent cx="577850" cy="194945"/>
                  <wp:effectExtent l="0" t="0" r="0" b="0"/>
                  <wp:docPr id="3"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descr=""/>
                          <pic:cNvPicPr>
                            <a:picLocks noChangeAspect="1" noChangeArrowheads="1"/>
                          </pic:cNvPicPr>
                        </pic:nvPicPr>
                        <pic:blipFill>
                          <a:blip r:embed="rId5"/>
                          <a:stretch>
                            <a:fillRect/>
                          </a:stretch>
                        </pic:blipFill>
                        <pic:spPr bwMode="auto">
                          <a:xfrm>
                            <a:off x="0" y="0"/>
                            <a:ext cx="577850" cy="194945"/>
                          </a:xfrm>
                          <a:prstGeom prst="rect">
                            <a:avLst/>
                          </a:prstGeom>
                        </pic:spPr>
                      </pic:pic>
                    </a:graphicData>
                  </a:graphic>
                </wp:inline>
              </w:drawing>
            </w:r>
            <w:r>
              <w:rPr>
                <w:i/>
                <w:sz w:val="22"/>
                <w:szCs w:val="22"/>
                <w:lang w:val="ro-RO"/>
              </w:rPr>
              <w:t>- invariante</w:t>
            </w:r>
            <w:r>
              <w:rPr>
                <w:rFonts w:ascii="Times CE" w:hAnsi="Times CE"/>
                <w:i/>
                <w:sz w:val="22"/>
                <w:szCs w:val="22"/>
                <w:lang w:val="ro-RO"/>
              </w:rPr>
              <w:t xml:space="preserve"> de deosebire a centrului şi a focarului pentru unele clase de sisteme polinomiale bidimensionale de ecuaţii diferenţia</w:t>
            </w:r>
            <w:r>
              <w:rPr>
                <w:rFonts w:ascii="Times" w:hAnsi="Times"/>
                <w:i/>
                <w:sz w:val="22"/>
                <w:szCs w:val="22"/>
                <w:lang w:val="ro-RO"/>
              </w:rPr>
              <w:t>le.</w:t>
            </w:r>
          </w:p>
          <w:p>
            <w:pPr>
              <w:pStyle w:val="Normal"/>
              <w:widowControl/>
              <w:shd w:fill="FFFFFF"/>
              <w:bidi w:val="0"/>
              <w:ind w:left="0" w:right="0" w:hanging="0"/>
              <w:jc w:val="both"/>
              <w:textAlignment w:val="auto"/>
              <w:rPr>
                <w:lang w:val="fr-FR"/>
              </w:rPr>
            </w:pPr>
            <w:r>
              <w:rPr>
                <w:i/>
                <w:color w:val="000000"/>
                <w:sz w:val="22"/>
                <w:szCs w:val="22"/>
                <w:lang w:val="fr-FR"/>
              </w:rPr>
              <w:t>.</w:t>
            </w:r>
            <w:r>
              <w:rPr>
                <w:i/>
                <w:sz w:val="22"/>
                <w:szCs w:val="22"/>
                <w:lang w:val="ro-MD"/>
              </w:rPr>
              <w:t xml:space="preserve">                       </w:t>
            </w:r>
          </w:p>
          <w:p>
            <w:pPr>
              <w:pStyle w:val="Normal"/>
              <w:widowControl/>
              <w:bidi w:val="0"/>
              <w:ind w:left="0" w:right="0" w:hanging="0"/>
              <w:jc w:val="both"/>
              <w:textAlignment w:val="auto"/>
              <w:rPr>
                <w:rFonts w:ascii="Times New Roman" w:hAnsi="Times New Roman"/>
                <w:i/>
                <w:i/>
                <w:color w:val="000000"/>
                <w:sz w:val="22"/>
                <w:szCs w:val="22"/>
                <w:lang w:val="ro-MD"/>
              </w:rPr>
            </w:pPr>
            <w:r>
              <w:rPr>
                <w:i/>
                <w:color w:val="000000"/>
                <w:sz w:val="22"/>
                <w:szCs w:val="22"/>
                <w:lang w:val="ro-MD"/>
              </w:rPr>
            </w:r>
          </w:p>
        </w:tc>
        <w:tc>
          <w:tcPr>
            <w:tcW w:w="4686"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66" w:right="0" w:hanging="0"/>
              <w:jc w:val="both"/>
              <w:textAlignment w:val="auto"/>
              <w:rPr>
                <w:lang w:val="ro-MD"/>
              </w:rPr>
            </w:pPr>
            <w:r>
              <w:rPr>
                <w:i/>
                <w:sz w:val="22"/>
                <w:szCs w:val="22"/>
                <w:lang w:val="ro-MD"/>
              </w:rPr>
              <w:t xml:space="preserve">Pentru </w:t>
            </w:r>
            <w:r>
              <w:rPr>
                <w:i/>
                <w:sz w:val="22"/>
                <w:szCs w:val="22"/>
                <w:lang w:val="ro-RO"/>
              </w:rPr>
              <w:t>sistemele diferen</w:t>
            </w:r>
            <w:r>
              <w:rPr>
                <w:rFonts w:cs="Cambria Math" w:ascii="Cambria Math" w:hAnsi="Cambria Math"/>
                <w:i/>
                <w:sz w:val="22"/>
                <w:szCs w:val="22"/>
                <w:lang w:val="ro-RO"/>
              </w:rPr>
              <w:t>ț</w:t>
            </w:r>
            <w:r>
              <w:rPr>
                <w:rFonts w:cs="Times New Roman CE" w:ascii="Times New Roman CE" w:hAnsi="Times New Roman CE"/>
                <w:i/>
                <w:sz w:val="22"/>
                <w:szCs w:val="22"/>
                <w:lang w:val="ro-RO"/>
              </w:rPr>
              <w:t>iale ternare de tip Lyapunov-Darboux cu neliniarită</w:t>
            </w:r>
            <w:r>
              <w:rPr>
                <w:rFonts w:cs="Cambria Math" w:ascii="Cambria Math" w:hAnsi="Cambria Math"/>
                <w:i/>
                <w:sz w:val="22"/>
                <w:szCs w:val="22"/>
                <w:lang w:val="ro-RO"/>
              </w:rPr>
              <w:t>ț</w:t>
            </w:r>
            <w:r>
              <w:rPr>
                <w:rFonts w:cs="Times New Roman CE" w:ascii="Times New Roman CE" w:hAnsi="Times New Roman CE"/>
                <w:i/>
                <w:sz w:val="22"/>
                <w:szCs w:val="22"/>
                <w:lang w:val="ro-RO"/>
              </w:rPr>
              <w:t>i pătratice</w:t>
            </w:r>
            <w:r>
              <w:rPr>
                <w:i/>
                <w:sz w:val="22"/>
                <w:szCs w:val="22"/>
                <w:lang w:val="ro-MD"/>
              </w:rPr>
              <w:t xml:space="preserve"> au fost stabilite </w:t>
            </w:r>
            <w:r>
              <w:rPr>
                <w:rFonts w:cs="Times New Roman CE" w:ascii="Times New Roman CE" w:hAnsi="Times New Roman CE"/>
                <w:i/>
                <w:sz w:val="22"/>
                <w:szCs w:val="22"/>
                <w:lang w:val="ro-MD"/>
              </w:rPr>
              <w:t>condiţiile</w:t>
            </w:r>
            <w:r>
              <w:rPr>
                <w:i/>
                <w:sz w:val="22"/>
                <w:szCs w:val="22"/>
                <w:lang w:val="ro-MD"/>
              </w:rPr>
              <w:t xml:space="preserve"> centroafin-invariante </w:t>
            </w:r>
            <w:r>
              <w:rPr>
                <w:rFonts w:cs="Times New Roman CE" w:ascii="Times New Roman CE" w:hAnsi="Times New Roman CE"/>
                <w:i/>
                <w:sz w:val="22"/>
                <w:szCs w:val="22"/>
                <w:lang w:val="ro-MD"/>
              </w:rPr>
              <w:t>ce permit construcţia</w:t>
            </w:r>
            <w:r>
              <w:rPr>
                <w:rFonts w:cs="Times New Roman CE" w:ascii="Times New Roman CE" w:hAnsi="Times New Roman CE"/>
                <w:i/>
                <w:sz w:val="22"/>
                <w:szCs w:val="22"/>
                <w:lang w:val="ro-RO"/>
              </w:rPr>
              <w:t xml:space="preserve"> integralei olomorfe care determină stabilitatea mişcărilor perio</w:t>
            </w:r>
            <w:r>
              <w:rPr>
                <w:i/>
                <w:sz w:val="22"/>
                <w:szCs w:val="22"/>
                <w:lang w:val="ro-RO"/>
              </w:rPr>
              <w:t>dice neperturbate ale acestor sisteme (Popa M., Neagu N.).</w:t>
            </w:r>
          </w:p>
          <w:p>
            <w:pPr>
              <w:pStyle w:val="Normal"/>
              <w:widowControl/>
              <w:bidi w:val="0"/>
              <w:ind w:left="0" w:right="0" w:hanging="0"/>
              <w:jc w:val="both"/>
              <w:textAlignment w:val="auto"/>
              <w:rPr>
                <w:lang w:val="ro-RO"/>
              </w:rPr>
            </w:pPr>
            <w:r>
              <w:rPr>
                <w:rFonts w:cs="Times New Roman CE" w:ascii="Times New Roman CE" w:hAnsi="Times New Roman CE"/>
                <w:i/>
                <w:sz w:val="22"/>
                <w:szCs w:val="22"/>
                <w:lang w:val="ro-RO"/>
              </w:rPr>
              <w:t xml:space="preserve">S-a demonstrat, că mulţimea de normalitate a unei familii de funcţii olomorfe nu poate fi un compact ce nu separă domeniul pe care familia dată este olomorfă. La fel, s-a arătat că proprietatea ca </w:t>
            </w:r>
            <w:r>
              <w:rPr>
                <w:i/>
                <w:sz w:val="22"/>
                <w:szCs w:val="22"/>
                <w:lang w:val="ro-RO"/>
              </w:rPr>
              <w:t xml:space="preserve">o familie </w:t>
            </w:r>
            <w:r>
              <w:rPr>
                <w:rFonts w:cs="Times New Roman CE" w:ascii="Times New Roman CE" w:hAnsi="Times New Roman CE"/>
                <w:i/>
                <w:sz w:val="22"/>
                <w:szCs w:val="22"/>
                <w:lang w:val="ro-RO"/>
              </w:rPr>
              <w:t>de funcţii să fie normală într-o vecinătate a unui set de suprafeţe olomorfe se păstrează şi asupra mulţimii limită a acestor suprafeţe (P.Dovbuş)</w:t>
            </w:r>
            <w:r>
              <w:rPr>
                <w:i/>
                <w:sz w:val="22"/>
                <w:szCs w:val="22"/>
                <w:lang w:val="ro-RO"/>
              </w:rPr>
              <w:t>.</w:t>
            </w:r>
          </w:p>
          <w:p>
            <w:pPr>
              <w:pStyle w:val="Normal"/>
              <w:widowControl/>
              <w:bidi w:val="0"/>
              <w:ind w:left="66" w:right="0" w:hanging="0"/>
              <w:jc w:val="both"/>
              <w:textAlignment w:val="auto"/>
              <w:rPr>
                <w:lang w:val="ro-RO"/>
              </w:rPr>
            </w:pPr>
            <w:r>
              <w:rPr>
                <w:rFonts w:cs="Times New Roman CE" w:ascii="Times New Roman CE" w:hAnsi="Times New Roman CE"/>
                <w:i/>
                <w:sz w:val="22"/>
                <w:szCs w:val="22"/>
                <w:lang w:val="ro-RO"/>
              </w:rPr>
              <w:t>Au fost determinate condiţiile</w:t>
            </w:r>
            <w:r>
              <w:rPr>
                <w:i/>
                <w:sz w:val="22"/>
                <w:szCs w:val="22"/>
                <w:lang w:val="ro-RO"/>
              </w:rPr>
              <w:t xml:space="preserve"> centroafin-invariante ca un sistem diferen</w:t>
            </w:r>
            <w:r>
              <w:rPr>
                <w:rFonts w:cs="Cambria Math" w:ascii="Cambria Math" w:hAnsi="Cambria Math"/>
                <w:i/>
                <w:sz w:val="22"/>
                <w:szCs w:val="22"/>
                <w:lang w:val="ro-RO"/>
              </w:rPr>
              <w:t>ț</w:t>
            </w:r>
            <w:r>
              <w:rPr>
                <w:i/>
                <w:sz w:val="22"/>
                <w:szCs w:val="22"/>
                <w:lang w:val="ro-RO"/>
              </w:rPr>
              <w:t>ial patru-dimensional cu</w:t>
            </w:r>
            <w:r>
              <w:rPr>
                <w:rFonts w:cs="Times New Roman CE" w:ascii="Times New Roman CE" w:hAnsi="Times New Roman CE"/>
                <w:i/>
                <w:sz w:val="22"/>
                <w:szCs w:val="22"/>
                <w:lang w:val="ro-RO"/>
              </w:rPr>
              <w:t xml:space="preserve"> neliniarită</w:t>
            </w:r>
            <w:r>
              <w:rPr>
                <w:rFonts w:cs="Cambria Math" w:ascii="Cambria Math" w:hAnsi="Cambria Math"/>
                <w:i/>
                <w:sz w:val="22"/>
                <w:szCs w:val="22"/>
                <w:lang w:val="ro-RO"/>
              </w:rPr>
              <w:t>ț</w:t>
            </w:r>
            <w:r>
              <w:rPr>
                <w:i/>
                <w:sz w:val="22"/>
                <w:szCs w:val="22"/>
                <w:lang w:val="ro-RO"/>
              </w:rPr>
              <w:t xml:space="preserve">i </w:t>
            </w:r>
            <w:r>
              <w:rPr>
                <w:rFonts w:cs="Times New Roman CE" w:ascii="Times New Roman CE" w:hAnsi="Times New Roman CE"/>
                <w:i/>
                <w:sz w:val="22"/>
                <w:szCs w:val="22"/>
                <w:lang w:val="ro-RO"/>
              </w:rPr>
              <w:t>pătratice</w:t>
            </w:r>
            <w:r>
              <w:rPr>
                <w:i/>
                <w:sz w:val="22"/>
                <w:szCs w:val="22"/>
                <w:lang w:val="ro-RO"/>
              </w:rPr>
              <w:t xml:space="preserve"> </w:t>
            </w:r>
            <w:r>
              <w:rPr>
                <w:rFonts w:cs="Times New Roman CE" w:ascii="Times New Roman CE" w:hAnsi="Times New Roman CE"/>
                <w:i/>
                <w:sz w:val="22"/>
                <w:szCs w:val="22"/>
                <w:lang w:val="ro-RO"/>
              </w:rPr>
              <w:t>să fie adus la forma canonică</w:t>
            </w:r>
            <w:r>
              <w:rPr>
                <w:i/>
                <w:sz w:val="22"/>
                <w:szCs w:val="22"/>
                <w:lang w:val="ro-RO"/>
              </w:rPr>
              <w:t xml:space="preserve"> Lyapunov-Darboux </w:t>
            </w:r>
            <w:r>
              <w:rPr>
                <w:rFonts w:cs="Times New Roman CE" w:ascii="Times New Roman CE" w:hAnsi="Times New Roman CE"/>
                <w:i/>
                <w:sz w:val="22"/>
                <w:szCs w:val="22"/>
                <w:lang w:val="ro-RO"/>
              </w:rPr>
              <w:t>şi au fost</w:t>
            </w:r>
            <w:r>
              <w:rPr>
                <w:i/>
                <w:sz w:val="22"/>
                <w:szCs w:val="22"/>
                <w:lang w:val="ro-RO"/>
              </w:rPr>
              <w:t xml:space="preserve"> construite pentru aceste sisteme factorii </w:t>
            </w:r>
            <w:r>
              <w:rPr>
                <w:rFonts w:cs="Times New Roman CE" w:ascii="Times New Roman CE" w:hAnsi="Times New Roman CE"/>
                <w:i/>
                <w:sz w:val="22"/>
                <w:szCs w:val="22"/>
                <w:lang w:val="ro-RO"/>
              </w:rPr>
              <w:t>integranţi de tip Lie şi</w:t>
            </w:r>
            <w:r>
              <w:rPr>
                <w:i/>
                <w:sz w:val="22"/>
                <w:szCs w:val="22"/>
                <w:lang w:val="ro-RO"/>
              </w:rPr>
              <w:t xml:space="preserve"> unele integrale particulare. (Orlov V., Popa M.)</w:t>
            </w:r>
          </w:p>
          <w:p>
            <w:pPr>
              <w:pStyle w:val="Normal"/>
              <w:widowControl/>
              <w:bidi w:val="0"/>
              <w:ind w:left="66" w:right="0" w:hanging="0"/>
              <w:jc w:val="both"/>
              <w:textAlignment w:val="auto"/>
              <w:rPr/>
            </w:pPr>
            <w:r>
              <w:rPr>
                <w:i/>
                <w:sz w:val="22"/>
                <w:szCs w:val="22"/>
                <w:lang w:val="ro-RO"/>
              </w:rPr>
              <w:t>Pentru sistemul diferen</w:t>
            </w:r>
            <w:r>
              <w:rPr>
                <w:rFonts w:cs="Cambria Math" w:ascii="Cambria Math" w:hAnsi="Cambria Math"/>
                <w:i/>
                <w:sz w:val="22"/>
                <w:szCs w:val="22"/>
                <w:lang w:val="ro-RO"/>
              </w:rPr>
              <w:t>ț</w:t>
            </w:r>
            <w:r>
              <w:rPr>
                <w:i/>
                <w:sz w:val="22"/>
                <w:szCs w:val="22"/>
                <w:lang w:val="ro-RO"/>
              </w:rPr>
              <w:t>ial patru-dimensional cu nelinear</w:t>
            </w:r>
            <w:r>
              <w:rPr>
                <w:rFonts w:cs="Times New Roman CE" w:ascii="Times New Roman CE" w:hAnsi="Times New Roman CE"/>
                <w:i/>
                <w:sz w:val="22"/>
                <w:szCs w:val="22"/>
                <w:lang w:val="ro-RO"/>
              </w:rPr>
              <w:t>ităţi</w:t>
            </w:r>
            <w:r>
              <w:rPr>
                <w:i/>
                <w:sz w:val="22"/>
                <w:szCs w:val="22"/>
                <w:lang w:val="ro-RO"/>
              </w:rPr>
              <w:t xml:space="preserve"> </w:t>
            </w:r>
            <w:r>
              <w:rPr>
                <w:rFonts w:cs="Times New Roman CE" w:ascii="Times New Roman CE" w:hAnsi="Times New Roman CE"/>
                <w:i/>
                <w:sz w:val="22"/>
                <w:szCs w:val="22"/>
                <w:lang w:val="ro-RO"/>
              </w:rPr>
              <w:t>polinomiale au fost determinate după</w:t>
            </w:r>
            <w:r>
              <w:rPr>
                <w:i/>
                <w:sz w:val="22"/>
                <w:szCs w:val="22"/>
                <w:lang w:val="ro-RO"/>
              </w:rPr>
              <w:t xml:space="preserve"> sistemul diferen</w:t>
            </w:r>
            <w:r>
              <w:rPr>
                <w:rFonts w:cs="Cambria Math" w:ascii="Cambria Math" w:hAnsi="Cambria Math"/>
                <w:i/>
                <w:sz w:val="22"/>
                <w:szCs w:val="22"/>
                <w:lang w:val="ro-RO"/>
              </w:rPr>
              <w:t>ț</w:t>
            </w:r>
            <w:r>
              <w:rPr>
                <w:rFonts w:cs="Times New Roman CE" w:ascii="Times New Roman CE" w:hAnsi="Times New Roman CE"/>
                <w:i/>
                <w:sz w:val="22"/>
                <w:szCs w:val="22"/>
                <w:lang w:val="ro-RO"/>
              </w:rPr>
              <w:t>ial de primă</w:t>
            </w:r>
            <w:r>
              <w:rPr>
                <w:i/>
                <w:sz w:val="22"/>
                <w:szCs w:val="22"/>
                <w:lang w:val="ro-RO"/>
              </w:rPr>
              <w:t xml:space="preserve"> aproxima</w:t>
            </w:r>
            <w:r>
              <w:rPr>
                <w:rFonts w:cs="Cambria Math" w:ascii="Cambria Math" w:hAnsi="Cambria Math"/>
                <w:i/>
                <w:sz w:val="22"/>
                <w:szCs w:val="22"/>
                <w:lang w:val="ro-RO"/>
              </w:rPr>
              <w:t>ț</w:t>
            </w:r>
            <w:r>
              <w:rPr>
                <w:i/>
                <w:sz w:val="22"/>
                <w:szCs w:val="22"/>
                <w:lang w:val="ro-RO"/>
              </w:rPr>
              <w:t xml:space="preserve">ie </w:t>
            </w:r>
            <w:r>
              <w:rPr>
                <w:rFonts w:cs="Times New Roman CE" w:ascii="Times New Roman CE" w:hAnsi="Times New Roman CE"/>
                <w:i/>
                <w:sz w:val="22"/>
                <w:szCs w:val="22"/>
                <w:lang w:val="ro-RO"/>
              </w:rPr>
              <w:t>condiţiile</w:t>
            </w:r>
            <w:r>
              <w:rPr>
                <w:i/>
                <w:sz w:val="22"/>
                <w:szCs w:val="22"/>
                <w:lang w:val="ro-RO"/>
              </w:rPr>
              <w:t xml:space="preserve"> </w:t>
            </w:r>
            <w:r>
              <w:rPr>
                <w:rFonts w:cs="Times New Roman CE" w:ascii="Times New Roman CE" w:hAnsi="Times New Roman CE"/>
                <w:i/>
                <w:sz w:val="22"/>
                <w:szCs w:val="22"/>
                <w:lang w:val="ro-RO"/>
              </w:rPr>
              <w:t>centroafin-invariante de stabilitate a mişcărilor</w:t>
            </w:r>
            <w:r>
              <w:rPr>
                <w:i/>
                <w:sz w:val="22"/>
                <w:szCs w:val="22"/>
                <w:lang w:val="ro-RO"/>
              </w:rPr>
              <w:t xml:space="preserve"> neperturbate ( Orlov V., Popa M.).</w:t>
            </w:r>
          </w:p>
          <w:p>
            <w:pPr>
              <w:pStyle w:val="Normal"/>
              <w:widowControl/>
              <w:bidi w:val="0"/>
              <w:spacing w:lineRule="exact" w:line="240"/>
              <w:ind w:left="0" w:right="0" w:hanging="0"/>
              <w:jc w:val="both"/>
              <w:textAlignment w:val="auto"/>
              <w:rPr>
                <w:lang w:val="ro-RO"/>
              </w:rPr>
            </w:pPr>
            <w:r>
              <w:rPr>
                <w:rFonts w:cs="Times New Roman CE" w:ascii="Times New Roman CE" w:hAnsi="Times New Roman CE"/>
                <w:i/>
                <w:color w:val="000000"/>
                <w:sz w:val="22"/>
                <w:szCs w:val="22"/>
                <w:lang w:val="ro-RO"/>
              </w:rPr>
              <w:t>A fost folosită metoda reziduurilor la ob</w:t>
            </w:r>
            <w:r>
              <w:rPr>
                <w:rFonts w:cs="Cambria Math" w:ascii="Cambria Math" w:hAnsi="Cambria Math"/>
                <w:i/>
                <w:color w:val="000000"/>
                <w:sz w:val="22"/>
                <w:szCs w:val="22"/>
                <w:lang w:val="ro-RO"/>
              </w:rPr>
              <w:t>ț</w:t>
            </w:r>
            <w:r>
              <w:rPr>
                <w:i/>
                <w:color w:val="000000"/>
                <w:sz w:val="22"/>
                <w:szCs w:val="22"/>
                <w:lang w:val="ro-RO"/>
              </w:rPr>
              <w:t>inerea seriilor Hilbert obi</w:t>
            </w:r>
            <w:r>
              <w:rPr>
                <w:rFonts w:cs="Cambria Math" w:ascii="Cambria Math" w:hAnsi="Cambria Math"/>
                <w:i/>
                <w:color w:val="000000"/>
                <w:sz w:val="22"/>
                <w:szCs w:val="22"/>
                <w:lang w:val="ro-RO"/>
              </w:rPr>
              <w:t>ș</w:t>
            </w:r>
            <w:r>
              <w:rPr>
                <w:i/>
                <w:color w:val="000000"/>
                <w:sz w:val="22"/>
                <w:szCs w:val="22"/>
                <w:lang w:val="ro-RO"/>
              </w:rPr>
              <w:t>nuite pentru algebrele Sibirschi ale sistemului diferen</w:t>
            </w:r>
            <w:r>
              <w:rPr>
                <w:rFonts w:cs="Cambria Math" w:ascii="Cambria Math" w:hAnsi="Cambria Math"/>
                <w:i/>
                <w:color w:val="000000"/>
                <w:sz w:val="22"/>
                <w:szCs w:val="22"/>
                <w:lang w:val="ro-RO"/>
              </w:rPr>
              <w:t>ț</w:t>
            </w:r>
            <w:r>
              <w:rPr>
                <w:rFonts w:cs="Times New Roman CE" w:ascii="Times New Roman CE" w:hAnsi="Times New Roman CE"/>
                <w:i/>
                <w:color w:val="000000"/>
                <w:sz w:val="22"/>
                <w:szCs w:val="22"/>
                <w:lang w:val="ro-RO"/>
              </w:rPr>
              <w:t>ial s(1,2,3) şi perfectat pe acest exemplu studiul reziduurilor la construc</w:t>
            </w:r>
            <w:r>
              <w:rPr>
                <w:rFonts w:cs="Cambria Math" w:ascii="Cambria Math" w:hAnsi="Cambria Math"/>
                <w:i/>
                <w:color w:val="000000"/>
                <w:sz w:val="22"/>
                <w:szCs w:val="22"/>
                <w:lang w:val="ro-RO"/>
              </w:rPr>
              <w:t>ț</w:t>
            </w:r>
            <w:r>
              <w:rPr>
                <w:i/>
                <w:color w:val="000000"/>
                <w:sz w:val="22"/>
                <w:szCs w:val="22"/>
                <w:lang w:val="ro-RO"/>
              </w:rPr>
              <w:t xml:space="preserve">ia seriilor Hilbert ale algebrelor analogice pentru sistemul s(4). </w:t>
            </w:r>
            <w:r>
              <w:rPr>
                <w:rFonts w:cs="Times New Roman CE" w:ascii="Times New Roman CE" w:hAnsi="Times New Roman CE"/>
                <w:i/>
                <w:sz w:val="22"/>
                <w:szCs w:val="22"/>
                <w:lang w:val="ro-RO"/>
              </w:rPr>
              <w:t>Utilizând metoda reziduurilor au fost ob</w:t>
            </w:r>
            <w:r>
              <w:rPr>
                <w:rFonts w:cs="Cambria Math" w:ascii="Cambria Math" w:hAnsi="Cambria Math"/>
                <w:i/>
                <w:sz w:val="22"/>
                <w:szCs w:val="22"/>
                <w:lang w:val="ro-RO"/>
              </w:rPr>
              <w:t>ț</w:t>
            </w:r>
            <w:r>
              <w:rPr>
                <w:i/>
                <w:sz w:val="22"/>
                <w:szCs w:val="22"/>
                <w:lang w:val="ro-RO"/>
              </w:rPr>
              <w:t>inute seriile Hilbert obi</w:t>
            </w:r>
            <w:r>
              <w:rPr>
                <w:rFonts w:cs="Cambria Math" w:ascii="Cambria Math" w:hAnsi="Cambria Math"/>
                <w:i/>
                <w:sz w:val="22"/>
                <w:szCs w:val="22"/>
                <w:lang w:val="ro-RO"/>
              </w:rPr>
              <w:t>ș</w:t>
            </w:r>
            <w:r>
              <w:rPr>
                <w:i/>
                <w:sz w:val="22"/>
                <w:szCs w:val="22"/>
                <w:lang w:val="ro-RO"/>
              </w:rPr>
              <w:t>nuite ale algebrelor Sibirschi ale comitan</w:t>
            </w:r>
            <w:r>
              <w:rPr>
                <w:rFonts w:cs="Cambria Math" w:ascii="Cambria Math" w:hAnsi="Cambria Math"/>
                <w:i/>
                <w:sz w:val="22"/>
                <w:szCs w:val="22"/>
                <w:lang w:val="ro-RO"/>
              </w:rPr>
              <w:t>ț</w:t>
            </w:r>
            <w:r>
              <w:rPr>
                <w:i/>
                <w:sz w:val="22"/>
                <w:szCs w:val="22"/>
                <w:lang w:val="ro-RO"/>
              </w:rPr>
              <w:t>ilor</w:t>
            </w:r>
            <w:r>
              <w:rPr>
                <w:rFonts w:cs="Cambria Math" w:ascii="Cambria Math" w:hAnsi="Cambria Math"/>
                <w:i/>
                <w:sz w:val="22"/>
                <w:szCs w:val="22"/>
                <w:lang w:val="ro-RO"/>
              </w:rPr>
              <w:t>ș</w:t>
            </w:r>
            <w:r>
              <w:rPr>
                <w:i/>
                <w:sz w:val="22"/>
                <w:szCs w:val="22"/>
                <w:lang w:val="ro-RO"/>
              </w:rPr>
              <w:t>i invarian</w:t>
            </w:r>
            <w:r>
              <w:rPr>
                <w:rFonts w:cs="Cambria Math" w:ascii="Cambria Math" w:hAnsi="Cambria Math"/>
                <w:i/>
                <w:sz w:val="22"/>
                <w:szCs w:val="22"/>
                <w:lang w:val="ro-RO"/>
              </w:rPr>
              <w:t>ț</w:t>
            </w:r>
            <w:r>
              <w:rPr>
                <w:i/>
                <w:sz w:val="22"/>
                <w:szCs w:val="22"/>
                <w:lang w:val="ro-RO"/>
              </w:rPr>
              <w:t>ilor sistemului diferen</w:t>
            </w:r>
            <w:r>
              <w:rPr>
                <w:rFonts w:cs="Cambria Math" w:ascii="Cambria Math" w:hAnsi="Cambria Math"/>
                <w:i/>
                <w:sz w:val="22"/>
                <w:szCs w:val="22"/>
                <w:lang w:val="ro-RO"/>
              </w:rPr>
              <w:t>ț</w:t>
            </w:r>
            <w:r>
              <w:rPr>
                <w:i/>
                <w:sz w:val="22"/>
                <w:szCs w:val="22"/>
                <w:lang w:val="ro-RO"/>
              </w:rPr>
              <w:t xml:space="preserve">ial s(6) </w:t>
            </w:r>
            <w:r>
              <w:rPr>
                <w:rFonts w:cs="Cambria Math" w:ascii="Cambria Math" w:hAnsi="Cambria Math"/>
                <w:i/>
                <w:sz w:val="22"/>
                <w:szCs w:val="22"/>
                <w:lang w:val="ro-RO"/>
              </w:rPr>
              <w:t>ș</w:t>
            </w:r>
            <w:r>
              <w:rPr>
                <w:i/>
                <w:sz w:val="22"/>
                <w:szCs w:val="22"/>
                <w:lang w:val="ro-RO"/>
              </w:rPr>
              <w:t xml:space="preserve">i calculate dimensiunile Krull ale acestor algebre </w:t>
            </w:r>
            <w:r>
              <w:rPr>
                <w:i/>
                <w:color w:val="000000"/>
                <w:sz w:val="22"/>
                <w:szCs w:val="22"/>
                <w:lang w:val="ro-RO"/>
              </w:rPr>
              <w:t>(Pricop V.).</w:t>
            </w:r>
          </w:p>
          <w:p>
            <w:pPr>
              <w:pStyle w:val="Normal"/>
              <w:widowControl/>
              <w:bidi w:val="0"/>
              <w:ind w:left="0" w:right="0" w:hanging="0"/>
              <w:jc w:val="both"/>
              <w:textAlignment w:val="auto"/>
              <w:rPr>
                <w:lang w:val="ro-RO"/>
              </w:rPr>
            </w:pPr>
            <w:r>
              <w:rPr>
                <w:i/>
                <w:color w:val="000000"/>
                <w:sz w:val="22"/>
                <w:szCs w:val="22"/>
                <w:lang w:val="ro-RO"/>
              </w:rPr>
              <w:t xml:space="preserve">     </w:t>
            </w:r>
            <w:r>
              <w:rPr>
                <w:rFonts w:cs="Times New Roman CE" w:ascii="Times New Roman CE" w:hAnsi="Times New Roman CE"/>
                <w:i/>
                <w:color w:val="000000"/>
                <w:sz w:val="22"/>
                <w:szCs w:val="22"/>
                <w:lang w:val="ro-RO"/>
              </w:rPr>
              <w:t>A fost efectuată clasificarea geometrică a singularită</w:t>
            </w:r>
            <w:r>
              <w:rPr>
                <w:rFonts w:cs="Cambria Math" w:ascii="Cambria Math" w:hAnsi="Cambria Math"/>
                <w:i/>
                <w:color w:val="000000"/>
                <w:sz w:val="22"/>
                <w:szCs w:val="22"/>
                <w:lang w:val="ro-RO"/>
              </w:rPr>
              <w:t>ț</w:t>
            </w:r>
            <w:r>
              <w:rPr>
                <w:i/>
                <w:color w:val="000000"/>
                <w:sz w:val="22"/>
                <w:szCs w:val="22"/>
                <w:lang w:val="ro-RO"/>
              </w:rPr>
              <w:t xml:space="preserve">ilor finite </w:t>
            </w:r>
            <w:r>
              <w:rPr>
                <w:rFonts w:cs="Cambria Math" w:ascii="Cambria Math" w:hAnsi="Cambria Math"/>
                <w:i/>
                <w:color w:val="000000"/>
                <w:sz w:val="22"/>
                <w:szCs w:val="22"/>
                <w:lang w:val="ro-RO"/>
              </w:rPr>
              <w:t>ș</w:t>
            </w:r>
            <w:r>
              <w:rPr>
                <w:i/>
                <w:color w:val="000000"/>
                <w:sz w:val="22"/>
                <w:szCs w:val="22"/>
                <w:lang w:val="ro-RO"/>
              </w:rPr>
              <w:t>i infinite pentru sistemele p</w:t>
            </w:r>
            <w:r>
              <w:rPr>
                <w:rFonts w:cs="Times New Roman CE" w:ascii="Times New Roman CE" w:hAnsi="Times New Roman CE"/>
                <w:i/>
                <w:color w:val="000000"/>
                <w:sz w:val="22"/>
                <w:szCs w:val="22"/>
                <w:lang w:val="ro-RO"/>
              </w:rPr>
              <w:t xml:space="preserve">ătratice ce posedă  4 singularităti finite distincte, dintre care cel puţin două sunt complexe </w:t>
            </w:r>
            <w:r>
              <w:rPr>
                <w:i/>
                <w:sz w:val="22"/>
                <w:szCs w:val="22"/>
                <w:lang w:val="ro-RO"/>
              </w:rPr>
              <w:t xml:space="preserve">(Vulpe N.).  </w:t>
            </w:r>
          </w:p>
          <w:p>
            <w:pPr>
              <w:pStyle w:val="Normal"/>
              <w:widowControl/>
              <w:bidi w:val="0"/>
              <w:ind w:left="0" w:right="0" w:hanging="0"/>
              <w:jc w:val="both"/>
              <w:textAlignment w:val="auto"/>
              <w:rPr>
                <w:lang w:val="fr-FR"/>
              </w:rPr>
            </w:pPr>
            <w:r>
              <w:rPr>
                <w:rFonts w:cs="Times New Roman CE" w:ascii="Times New Roman CE" w:hAnsi="Times New Roman CE"/>
                <w:i/>
                <w:sz w:val="22"/>
                <w:szCs w:val="22"/>
                <w:lang w:val="fr-FR"/>
              </w:rPr>
              <w:t xml:space="preserve">Pentru familia de sisteme cubice cu drepte invariante de multiplicitate totală 9 au fost construite: a) integralele prime </w:t>
            </w:r>
            <w:r>
              <w:rPr>
                <w:rFonts w:cs="Cambria Math" w:ascii="Cambria Math" w:hAnsi="Cambria Math"/>
                <w:i/>
                <w:sz w:val="22"/>
                <w:szCs w:val="22"/>
                <w:lang w:val="fr-FR"/>
              </w:rPr>
              <w:t>ș</w:t>
            </w:r>
            <w:r>
              <w:rPr>
                <w:i/>
                <w:sz w:val="22"/>
                <w:szCs w:val="22"/>
                <w:lang w:val="fr-FR"/>
              </w:rPr>
              <w:t>i factorii integran</w:t>
            </w:r>
            <w:r>
              <w:rPr>
                <w:rFonts w:cs="Cambria Math" w:ascii="Cambria Math" w:hAnsi="Cambria Math"/>
                <w:i/>
                <w:sz w:val="22"/>
                <w:szCs w:val="22"/>
                <w:lang w:val="fr-FR"/>
              </w:rPr>
              <w:t>ț</w:t>
            </w:r>
            <w:r>
              <w:rPr>
                <w:i/>
                <w:sz w:val="22"/>
                <w:szCs w:val="22"/>
                <w:lang w:val="fr-FR"/>
              </w:rPr>
              <w:t xml:space="preserve">i pentru fiecare dintre cele 24 de clase de sisteme posibile pentru aceasta familie </w:t>
            </w:r>
            <w:r>
              <w:rPr>
                <w:rFonts w:cs="Times New Roman CE" w:ascii="Times New Roman CE" w:hAnsi="Times New Roman CE"/>
                <w:i/>
                <w:sz w:val="22"/>
                <w:szCs w:val="22"/>
                <w:lang w:val="fr-FR"/>
              </w:rPr>
              <w:t>ş</w:t>
            </w:r>
            <w:r>
              <w:rPr>
                <w:i/>
                <w:sz w:val="22"/>
                <w:szCs w:val="22"/>
                <w:lang w:val="fr-FR"/>
              </w:rPr>
              <w:t>i</w:t>
            </w:r>
            <w:r>
              <w:rPr>
                <w:rFonts w:cs="Times New Roman CE" w:ascii="Times New Roman CE" w:hAnsi="Times New Roman CE"/>
                <w:i/>
                <w:sz w:val="22"/>
                <w:szCs w:val="22"/>
                <w:lang w:val="fr-FR"/>
              </w:rPr>
              <w:t xml:space="preserve">  b) portretele de fază</w:t>
            </w:r>
            <w:r>
              <w:rPr>
                <w:i/>
                <w:sz w:val="22"/>
                <w:szCs w:val="22"/>
                <w:lang w:val="fr-FR"/>
              </w:rPr>
              <w:t xml:space="preserve"> </w:t>
            </w:r>
            <w:r>
              <w:rPr>
                <w:rFonts w:cs="Cambria Math" w:ascii="Cambria Math" w:hAnsi="Cambria Math"/>
                <w:i/>
                <w:sz w:val="22"/>
                <w:szCs w:val="22"/>
                <w:lang w:val="fr-FR"/>
              </w:rPr>
              <w:t>ș</w:t>
            </w:r>
            <w:r>
              <w:rPr>
                <w:i/>
                <w:sz w:val="22"/>
                <w:szCs w:val="22"/>
                <w:lang w:val="fr-FR"/>
              </w:rPr>
              <w:t xml:space="preserve">i </w:t>
            </w:r>
            <w:r>
              <w:rPr>
                <w:rFonts w:cs="Times New Roman CE" w:ascii="Times New Roman CE" w:hAnsi="Times New Roman CE"/>
                <w:i/>
                <w:sz w:val="22"/>
                <w:szCs w:val="22"/>
                <w:lang w:val="fr-FR"/>
              </w:rPr>
              <w:t>condiţiil</w:t>
            </w:r>
            <w:r>
              <w:rPr>
                <w:i/>
                <w:sz w:val="22"/>
                <w:szCs w:val="22"/>
                <w:lang w:val="fr-FR"/>
              </w:rPr>
              <w:t xml:space="preserve">e necesare </w:t>
            </w:r>
            <w:r>
              <w:rPr>
                <w:rFonts w:cs="Times New Roman CE" w:ascii="Times New Roman CE" w:hAnsi="Times New Roman CE"/>
                <w:i/>
                <w:sz w:val="22"/>
                <w:szCs w:val="22"/>
                <w:lang w:val="fr-FR"/>
              </w:rPr>
              <w:t>şi</w:t>
            </w:r>
            <w:r>
              <w:rPr>
                <w:i/>
                <w:sz w:val="22"/>
                <w:szCs w:val="22"/>
                <w:lang w:val="fr-FR"/>
              </w:rPr>
              <w:t xml:space="preserve"> suficiente afin invariante pentru realizarea </w:t>
            </w:r>
            <w:r>
              <w:rPr>
                <w:rFonts w:cs="Times New Roman CE" w:ascii="Times New Roman CE" w:hAnsi="Times New Roman CE"/>
                <w:i/>
                <w:sz w:val="22"/>
                <w:szCs w:val="22"/>
                <w:lang w:val="fr-FR"/>
              </w:rPr>
              <w:t>fiecăruia</w:t>
            </w:r>
            <w:r>
              <w:rPr>
                <w:i/>
                <w:sz w:val="22"/>
                <w:szCs w:val="22"/>
                <w:lang w:val="fr-FR"/>
              </w:rPr>
              <w:t xml:space="preserve"> dintre ele (Bujac C.,Vulpe N.).</w:t>
            </w:r>
          </w:p>
          <w:p>
            <w:pPr>
              <w:pStyle w:val="Normal"/>
              <w:widowControl/>
              <w:bidi w:val="0"/>
              <w:ind w:left="0" w:right="0" w:hanging="0"/>
              <w:jc w:val="both"/>
              <w:textAlignment w:val="auto"/>
              <w:rPr>
                <w:lang w:val="fr-FR"/>
              </w:rPr>
            </w:pPr>
            <w:r>
              <w:rPr>
                <w:i/>
                <w:color w:val="000000"/>
                <w:sz w:val="22"/>
                <w:szCs w:val="22"/>
                <w:lang w:val="fr-FR"/>
              </w:rPr>
              <w:t xml:space="preserve">     </w:t>
            </w:r>
            <w:r>
              <w:rPr>
                <w:i/>
                <w:color w:val="000000"/>
                <w:sz w:val="22"/>
                <w:szCs w:val="22"/>
                <w:lang w:val="fr-FR"/>
              </w:rPr>
              <w:t>Au fost determinate cons</w:t>
            </w:r>
            <w:r>
              <w:rPr>
                <w:rFonts w:cs="Times New Roman CE" w:ascii="Times New Roman CE" w:hAnsi="Times New Roman CE"/>
                <w:i/>
                <w:color w:val="000000"/>
                <w:sz w:val="22"/>
                <w:szCs w:val="22"/>
                <w:lang w:val="fr-FR"/>
              </w:rPr>
              <w:t>ecutivită</w:t>
            </w:r>
            <w:r>
              <w:rPr>
                <w:rFonts w:cs="Cambria Math" w:ascii="Cambria Math" w:hAnsi="Cambria Math"/>
                <w:i/>
                <w:color w:val="000000"/>
                <w:sz w:val="22"/>
                <w:szCs w:val="22"/>
                <w:lang w:val="fr-FR"/>
              </w:rPr>
              <w:t>ț</w:t>
            </w:r>
            <w:r>
              <w:rPr>
                <w:rFonts w:cs="Times New Roman CE" w:ascii="Times New Roman CE" w:hAnsi="Times New Roman CE"/>
                <w:i/>
                <w:color w:val="000000"/>
                <w:sz w:val="22"/>
                <w:szCs w:val="22"/>
                <w:lang w:val="fr-FR"/>
              </w:rPr>
              <w:t>ile de multiplicită</w:t>
            </w:r>
            <w:r>
              <w:rPr>
                <w:rFonts w:cs="Cambria Math" w:ascii="Cambria Math" w:hAnsi="Cambria Math"/>
                <w:i/>
                <w:color w:val="000000"/>
                <w:sz w:val="22"/>
                <w:szCs w:val="22"/>
                <w:lang w:val="fr-FR"/>
              </w:rPr>
              <w:t>ț</w:t>
            </w:r>
            <w:r>
              <w:rPr>
                <w:i/>
                <w:color w:val="000000"/>
                <w:sz w:val="22"/>
                <w:szCs w:val="22"/>
                <w:lang w:val="fr-FR"/>
              </w:rPr>
              <w:t>i algebrice maximale pentru sistemele diferen</w:t>
            </w:r>
            <w:r>
              <w:rPr>
                <w:rFonts w:cs="Cambria Math" w:ascii="Cambria Math" w:hAnsi="Cambria Math"/>
                <w:i/>
                <w:color w:val="000000"/>
                <w:sz w:val="22"/>
                <w:szCs w:val="22"/>
                <w:lang w:val="fr-FR"/>
              </w:rPr>
              <w:t>ț</w:t>
            </w:r>
            <w:r>
              <w:rPr>
                <w:i/>
                <w:color w:val="000000"/>
                <w:sz w:val="22"/>
                <w:szCs w:val="22"/>
                <w:lang w:val="fr-FR"/>
              </w:rPr>
              <w:t xml:space="preserve">iale </w:t>
            </w:r>
            <w:r>
              <w:rPr>
                <w:rFonts w:cs="Times New Roman CE" w:ascii="Times New Roman CE" w:hAnsi="Times New Roman CE"/>
                <w:i/>
                <w:color w:val="000000"/>
                <w:sz w:val="22"/>
                <w:szCs w:val="22"/>
                <w:lang w:val="fr-FR"/>
              </w:rPr>
              <w:t>cubice cu două</w:t>
            </w:r>
            <w:r>
              <w:rPr>
                <w:i/>
                <w:color w:val="000000"/>
                <w:sz w:val="22"/>
                <w:szCs w:val="22"/>
                <w:lang w:val="fr-FR"/>
              </w:rPr>
              <w:t xml:space="preserve"> drepte invariante reale afine </w:t>
            </w:r>
            <w:r>
              <w:rPr>
                <w:rFonts w:cs="Times New Roman CE" w:ascii="Times New Roman CE" w:hAnsi="Times New Roman CE"/>
                <w:i/>
                <w:color w:val="000000"/>
                <w:sz w:val="22"/>
                <w:szCs w:val="22"/>
                <w:lang w:val="fr-FR"/>
              </w:rPr>
              <w:t>şi</w:t>
            </w:r>
            <w:r>
              <w:rPr>
                <w:i/>
                <w:color w:val="000000"/>
                <w:sz w:val="22"/>
                <w:szCs w:val="22"/>
                <w:lang w:val="fr-FR"/>
              </w:rPr>
              <w:t xml:space="preserve"> concurente (</w:t>
            </w:r>
            <w:r>
              <w:rPr>
                <w:rFonts w:cs="Cambria Math" w:ascii="Cambria Math" w:hAnsi="Cambria Math"/>
                <w:i/>
                <w:color w:val="000000"/>
                <w:sz w:val="22"/>
                <w:szCs w:val="22"/>
                <w:lang w:val="fr-FR"/>
              </w:rPr>
              <w:t>Ș</w:t>
            </w:r>
            <w:r>
              <w:rPr>
                <w:rFonts w:cs="Times New Roman CE" w:ascii="Times New Roman CE" w:hAnsi="Times New Roman CE"/>
                <w:i/>
                <w:color w:val="000000"/>
                <w:sz w:val="22"/>
                <w:szCs w:val="22"/>
                <w:lang w:val="fr-FR"/>
              </w:rPr>
              <w:t>ubă A., Vacara</w:t>
            </w:r>
            <w:r>
              <w:rPr>
                <w:rFonts w:cs="Cambria Math" w:ascii="Cambria Math" w:hAnsi="Cambria Math"/>
                <w:i/>
                <w:color w:val="000000"/>
                <w:sz w:val="22"/>
                <w:szCs w:val="22"/>
                <w:lang w:val="fr-FR"/>
              </w:rPr>
              <w:t>ș O.</w:t>
            </w:r>
            <w:r>
              <w:rPr>
                <w:i/>
                <w:color w:val="000000"/>
                <w:sz w:val="22"/>
                <w:szCs w:val="22"/>
                <w:lang w:val="fr-FR"/>
              </w:rPr>
              <w:t>) .</w:t>
            </w:r>
          </w:p>
          <w:p>
            <w:pPr>
              <w:pStyle w:val="Normal"/>
              <w:widowControl/>
              <w:bidi w:val="0"/>
              <w:spacing w:lineRule="exact" w:line="240"/>
              <w:ind w:left="0" w:right="0" w:hanging="0"/>
              <w:jc w:val="both"/>
              <w:textAlignment w:val="auto"/>
              <w:rPr>
                <w:lang w:val="ro-RO"/>
              </w:rPr>
            </w:pPr>
            <w:r>
              <w:rPr>
                <w:rFonts w:cs="Times New Roman CE" w:ascii="Times New Roman CE" w:hAnsi="Times New Roman CE"/>
                <w:i/>
                <w:sz w:val="22"/>
                <w:szCs w:val="22"/>
                <w:lang w:val="ro-RO"/>
              </w:rPr>
              <w:t xml:space="preserve">     </w:t>
            </w:r>
            <w:r>
              <w:rPr>
                <w:rFonts w:cs="Times New Roman CE" w:ascii="Times New Roman CE" w:hAnsi="Times New Roman CE"/>
                <w:i/>
                <w:sz w:val="22"/>
                <w:szCs w:val="22"/>
                <w:lang w:val="ro-RO"/>
              </w:rPr>
              <w:t xml:space="preserve">Pentru clasa de sisteme pătratice de ecuaţii diferenţiale cu infinitul degenerat perturbate cu neliniarităţi cubice </w:t>
            </w:r>
            <w:r>
              <w:rPr>
                <w:i/>
                <w:color w:val="000000"/>
                <w:sz w:val="22"/>
                <w:szCs w:val="22"/>
                <w:lang w:val="ro-RO"/>
              </w:rPr>
              <w:t xml:space="preserve">au fost determinate primele opt constante Lyapunov exprimate prin elementele unei baze </w:t>
            </w:r>
            <w:r>
              <w:rPr>
                <w:rFonts w:cs="Times New Roman CE" w:ascii="Times New Roman CE" w:hAnsi="Times New Roman CE"/>
                <w:i/>
                <w:color w:val="000000"/>
                <w:sz w:val="22"/>
                <w:szCs w:val="22"/>
                <w:lang w:val="ro-RO"/>
              </w:rPr>
              <w:t>raţionale a GL(2,R)-invarianţilor a</w:t>
            </w:r>
            <w:r>
              <w:rPr>
                <w:i/>
                <w:color w:val="000000"/>
                <w:sz w:val="22"/>
                <w:szCs w:val="22"/>
                <w:lang w:val="ro-RO"/>
              </w:rPr>
              <w:t xml:space="preserve">le acestui sistem </w:t>
            </w:r>
            <w:r>
              <w:rPr>
                <w:i/>
                <w:sz w:val="22"/>
                <w:szCs w:val="22"/>
                <w:lang w:val="ro-RO"/>
              </w:rPr>
              <w:t>(Calin Iu., Baltag V.)</w:t>
            </w:r>
            <w:r>
              <w:rPr>
                <w:i/>
                <w:color w:val="000000"/>
                <w:sz w:val="22"/>
                <w:szCs w:val="22"/>
                <w:lang w:val="ro-RO"/>
              </w:rPr>
              <w:t xml:space="preserve"> .</w:t>
            </w:r>
          </w:p>
          <w:p>
            <w:pPr>
              <w:pStyle w:val="Normal"/>
              <w:widowControl/>
              <w:shd w:fill="FFFFFF"/>
              <w:bidi w:val="0"/>
              <w:spacing w:lineRule="exact" w:line="240"/>
              <w:ind w:left="0" w:right="0" w:hanging="0"/>
              <w:jc w:val="both"/>
              <w:textAlignment w:val="auto"/>
              <w:rPr>
                <w:lang w:val="ro-RO"/>
              </w:rPr>
            </w:pPr>
            <w:r>
              <w:rPr>
                <w:i/>
                <w:sz w:val="22"/>
                <w:szCs w:val="22"/>
                <w:lang w:val="ro-RO"/>
              </w:rPr>
              <w:t xml:space="preserve">     </w:t>
            </w:r>
            <w:r>
              <w:rPr>
                <w:rFonts w:cs="Times New Roman CE" w:ascii="Times New Roman CE" w:hAnsi="Times New Roman CE"/>
                <w:i/>
                <w:sz w:val="22"/>
                <w:szCs w:val="22"/>
                <w:lang w:val="ro-RO"/>
              </w:rPr>
              <w:t xml:space="preserve">Au fost stabilite condiţii </w:t>
            </w:r>
            <w:r>
              <w:rPr>
                <w:rFonts w:cs="Times New Roman CE" w:ascii="Times New Roman CE" w:hAnsi="Times New Roman CE"/>
                <w:i/>
                <w:sz w:val="22"/>
                <w:szCs w:val="22"/>
                <w:lang w:val="ro-RO"/>
              </w:rPr>
              <w:drawing>
                <wp:inline distT="0" distB="0" distL="0" distR="0">
                  <wp:extent cx="589915" cy="208915"/>
                  <wp:effectExtent l="0" t="0" r="0" b="0"/>
                  <wp:docPr id="4"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3" descr=""/>
                          <pic:cNvPicPr>
                            <a:picLocks noChangeAspect="1" noChangeArrowheads="1"/>
                          </pic:cNvPicPr>
                        </pic:nvPicPr>
                        <pic:blipFill>
                          <a:blip r:embed="rId6"/>
                          <a:stretch>
                            <a:fillRect/>
                          </a:stretch>
                        </pic:blipFill>
                        <pic:spPr bwMode="auto">
                          <a:xfrm>
                            <a:off x="0" y="0"/>
                            <a:ext cx="589915" cy="208915"/>
                          </a:xfrm>
                          <a:prstGeom prst="rect">
                            <a:avLst/>
                          </a:prstGeom>
                        </pic:spPr>
                      </pic:pic>
                    </a:graphicData>
                  </a:graphic>
                </wp:inline>
              </w:drawing>
            </w:r>
            <w:r>
              <w:rPr>
                <w:i/>
                <w:sz w:val="22"/>
                <w:szCs w:val="22"/>
                <w:lang w:val="ro-RO"/>
              </w:rPr>
              <w:t>-invariant</w:t>
            </w:r>
            <w:r>
              <w:rPr>
                <w:rFonts w:cs="Times New Roman CE" w:ascii="Times New Roman CE" w:hAnsi="Times New Roman CE"/>
                <w:i/>
                <w:sz w:val="22"/>
                <w:szCs w:val="22"/>
                <w:lang w:val="ro-RO"/>
              </w:rPr>
              <w:t xml:space="preserve">e de deosebire a centrului şi focarului pentru o clasă de sisteme de ecuaţii diferenţiale cu neliniarităţi de gradul patru </w:t>
            </w:r>
            <w:r>
              <w:rPr>
                <w:i/>
                <w:color w:val="000000"/>
                <w:sz w:val="22"/>
                <w:szCs w:val="22"/>
                <w:lang w:val="fr-FR"/>
              </w:rPr>
              <w:t>(</w:t>
            </w:r>
            <w:r>
              <w:rPr>
                <w:i/>
                <w:sz w:val="22"/>
                <w:szCs w:val="22"/>
                <w:lang w:val="ro-RO"/>
              </w:rPr>
              <w:t xml:space="preserve">Calin Iu., </w:t>
            </w:r>
            <w:r>
              <w:rPr>
                <w:i/>
                <w:sz w:val="22"/>
                <w:szCs w:val="22"/>
                <w:lang w:val="fr-FR"/>
              </w:rPr>
              <w:t>Ciubotaru</w:t>
            </w:r>
            <w:r>
              <w:rPr>
                <w:i/>
                <w:sz w:val="22"/>
                <w:szCs w:val="22"/>
                <w:lang w:val="ro-RO"/>
              </w:rPr>
              <w:t xml:space="preserve"> S.</w:t>
            </w:r>
            <w:r>
              <w:rPr>
                <w:i/>
                <w:color w:val="000000"/>
                <w:sz w:val="22"/>
                <w:szCs w:val="22"/>
                <w:lang w:val="fr-FR"/>
              </w:rPr>
              <w:t>)</w:t>
            </w:r>
            <w:r>
              <w:rPr>
                <w:i/>
                <w:sz w:val="22"/>
                <w:szCs w:val="22"/>
                <w:lang w:val="ro-RO"/>
              </w:rPr>
              <w:t xml:space="preserve"> .</w:t>
            </w:r>
          </w:p>
          <w:p>
            <w:pPr>
              <w:pStyle w:val="Normal"/>
              <w:widowControl/>
              <w:bidi w:val="0"/>
              <w:ind w:left="0" w:right="0" w:hanging="0"/>
              <w:jc w:val="both"/>
              <w:textAlignment w:val="auto"/>
              <w:rPr>
                <w:lang w:val="ro-RO"/>
              </w:rPr>
            </w:pPr>
            <w:r>
              <w:rPr>
                <w:i/>
                <w:color w:val="000000"/>
                <w:sz w:val="22"/>
                <w:szCs w:val="22"/>
                <w:lang w:val="ro-RO"/>
              </w:rPr>
              <w:t xml:space="preserve">     </w:t>
            </w:r>
            <w:r>
              <w:rPr>
                <w:i/>
                <w:color w:val="000000"/>
                <w:sz w:val="22"/>
                <w:szCs w:val="22"/>
                <w:lang w:val="ro-RO"/>
              </w:rPr>
              <w:t>Au fost construite exemple de reduc</w:t>
            </w:r>
            <w:r>
              <w:rPr>
                <w:rFonts w:cs="Cambria Math" w:ascii="Cambria Math" w:hAnsi="Cambria Math"/>
                <w:i/>
                <w:color w:val="000000"/>
                <w:sz w:val="22"/>
                <w:szCs w:val="22"/>
                <w:lang w:val="ro-RO"/>
              </w:rPr>
              <w:t>ț</w:t>
            </w:r>
            <w:r>
              <w:rPr>
                <w:i/>
                <w:color w:val="000000"/>
                <w:sz w:val="22"/>
                <w:szCs w:val="22"/>
                <w:lang w:val="ro-RO"/>
              </w:rPr>
              <w:t>ii finit dimensionale pentru ecua</w:t>
            </w:r>
            <w:r>
              <w:rPr>
                <w:rFonts w:cs="Cambria Math" w:ascii="Cambria Math" w:hAnsi="Cambria Math"/>
                <w:i/>
                <w:color w:val="000000"/>
                <w:sz w:val="22"/>
                <w:szCs w:val="22"/>
                <w:lang w:val="ro-RO"/>
              </w:rPr>
              <w:t>ț</w:t>
            </w:r>
            <w:r>
              <w:rPr>
                <w:i/>
                <w:color w:val="000000"/>
                <w:sz w:val="22"/>
                <w:szCs w:val="22"/>
                <w:lang w:val="ro-RO"/>
              </w:rPr>
              <w:t xml:space="preserve">iile hidrodinamicii fluidului </w:t>
            </w:r>
            <w:r>
              <w:rPr>
                <w:rFonts w:cs="Times New Roman CE" w:ascii="Times New Roman CE" w:hAnsi="Times New Roman CE"/>
                <w:i/>
                <w:color w:val="000000"/>
                <w:sz w:val="22"/>
                <w:szCs w:val="22"/>
                <w:lang w:val="ro-RO"/>
              </w:rPr>
              <w:t>incompresibil. Au fost studiate proprietă</w:t>
            </w:r>
            <w:r>
              <w:rPr>
                <w:rFonts w:cs="Cambria Math" w:ascii="Cambria Math" w:hAnsi="Cambria Math"/>
                <w:i/>
                <w:color w:val="000000"/>
                <w:sz w:val="22"/>
                <w:szCs w:val="22"/>
                <w:lang w:val="ro-RO"/>
              </w:rPr>
              <w:t>ț</w:t>
            </w:r>
            <w:r>
              <w:rPr>
                <w:i/>
                <w:color w:val="000000"/>
                <w:sz w:val="22"/>
                <w:szCs w:val="22"/>
                <w:lang w:val="ro-RO"/>
              </w:rPr>
              <w:t>ile ecua</w:t>
            </w:r>
            <w:r>
              <w:rPr>
                <w:rFonts w:cs="Cambria Math" w:ascii="Cambria Math" w:hAnsi="Cambria Math"/>
                <w:i/>
                <w:color w:val="000000"/>
                <w:sz w:val="22"/>
                <w:szCs w:val="22"/>
                <w:lang w:val="ro-RO"/>
              </w:rPr>
              <w:t>ț</w:t>
            </w:r>
            <w:r>
              <w:rPr>
                <w:i/>
                <w:color w:val="000000"/>
                <w:sz w:val="22"/>
                <w:szCs w:val="22"/>
                <w:lang w:val="ro-RO"/>
              </w:rPr>
              <w:t>iilor diferen</w:t>
            </w:r>
            <w:r>
              <w:rPr>
                <w:rFonts w:cs="Cambria Math" w:ascii="Cambria Math" w:hAnsi="Cambria Math"/>
                <w:i/>
                <w:color w:val="000000"/>
                <w:sz w:val="22"/>
                <w:szCs w:val="22"/>
                <w:lang w:val="ro-RO"/>
              </w:rPr>
              <w:t>ț</w:t>
            </w:r>
            <w:r>
              <w:rPr>
                <w:i/>
                <w:color w:val="000000"/>
                <w:sz w:val="22"/>
                <w:szCs w:val="22"/>
                <w:lang w:val="ro-RO"/>
              </w:rPr>
              <w:t>iale ordinare de ordinul doi asociate cu sistemele diferen</w:t>
            </w:r>
            <w:r>
              <w:rPr>
                <w:rFonts w:cs="Cambria Math" w:ascii="Cambria Math" w:hAnsi="Cambria Math"/>
                <w:i/>
                <w:color w:val="000000"/>
                <w:sz w:val="22"/>
                <w:szCs w:val="22"/>
                <w:lang w:val="ro-RO"/>
              </w:rPr>
              <w:t>ț</w:t>
            </w:r>
            <w:r>
              <w:rPr>
                <w:rFonts w:cs="Times New Roman CE" w:ascii="Times New Roman CE" w:hAnsi="Times New Roman CE"/>
                <w:i/>
                <w:color w:val="000000"/>
                <w:sz w:val="22"/>
                <w:szCs w:val="22"/>
                <w:lang w:val="ro-RO"/>
              </w:rPr>
              <w:t xml:space="preserve">iale pătratice </w:t>
            </w:r>
            <w:r>
              <w:rPr>
                <w:rFonts w:cs="Cambria Math" w:ascii="Cambria Math" w:hAnsi="Cambria Math"/>
                <w:i/>
                <w:color w:val="000000"/>
                <w:sz w:val="22"/>
                <w:szCs w:val="22"/>
                <w:lang w:val="ro-RO"/>
              </w:rPr>
              <w:t>ș</w:t>
            </w:r>
            <w:r>
              <w:rPr>
                <w:i/>
                <w:color w:val="000000"/>
                <w:sz w:val="22"/>
                <w:szCs w:val="22"/>
                <w:lang w:val="ro-RO"/>
              </w:rPr>
              <w:t xml:space="preserve">i cubice </w:t>
            </w:r>
            <w:r>
              <w:rPr>
                <w:rFonts w:cs="Times New Roman CE" w:ascii="Times New Roman CE" w:hAnsi="Times New Roman CE"/>
                <w:i/>
                <w:color w:val="000000"/>
                <w:sz w:val="22"/>
                <w:szCs w:val="22"/>
                <w:lang w:val="ro-RO"/>
              </w:rPr>
              <w:t>de ordinul întâi (Driuma V.)</w:t>
            </w:r>
          </w:p>
        </w:tc>
      </w:tr>
    </w:tbl>
    <w:p>
      <w:pPr>
        <w:pStyle w:val="Normal"/>
        <w:widowControl/>
        <w:numPr>
          <w:ilvl w:val="0"/>
          <w:numId w:val="5"/>
        </w:numPr>
        <w:tabs>
          <w:tab w:val="left" w:pos="180" w:leader="none"/>
        </w:tabs>
        <w:bidi w:val="0"/>
        <w:ind w:left="180" w:right="0" w:hanging="0"/>
        <w:jc w:val="left"/>
        <w:textAlignment w:val="auto"/>
        <w:rPr>
          <w:lang w:val="ro-MD"/>
        </w:rPr>
      </w:pPr>
      <w:r>
        <w:rPr>
          <w:rFonts w:cs="Times New Roman CE" w:ascii="Times New Roman CE" w:hAnsi="Times New Roman CE"/>
          <w:bCs/>
          <w:sz w:val="22"/>
          <w:szCs w:val="22"/>
          <w:lang w:val="ro-MD"/>
        </w:rPr>
        <w:t>Lista lucrărilor ştiinţifice (monografii, articole, obiecte de proprietate intelectuală) cu referinţă la proiectul dat pe anul 201</w:t>
      </w:r>
      <w:r>
        <w:rPr>
          <w:bCs/>
          <w:sz w:val="22"/>
          <w:szCs w:val="22"/>
          <w:lang w:val="ro-MD"/>
        </w:rPr>
        <w:t>6</w:t>
      </w:r>
    </w:p>
    <w:p>
      <w:pPr>
        <w:pStyle w:val="Normal"/>
        <w:widowControl/>
        <w:bidi w:val="0"/>
        <w:ind w:left="180" w:right="0" w:hanging="0"/>
        <w:jc w:val="left"/>
        <w:textAlignment w:val="auto"/>
        <w:rPr>
          <w:rFonts w:ascii="Times New Roman" w:hAnsi="Times New Roman"/>
          <w:bCs/>
          <w:sz w:val="22"/>
          <w:szCs w:val="22"/>
          <w:lang w:val="ro-MD"/>
        </w:rPr>
      </w:pPr>
      <w:r>
        <w:rPr>
          <w:bCs/>
          <w:sz w:val="22"/>
          <w:szCs w:val="22"/>
          <w:lang w:val="ro-MD"/>
        </w:rPr>
      </w:r>
    </w:p>
    <w:tbl>
      <w:tblPr>
        <w:tblW w:w="9072" w:type="dxa"/>
        <w:jc w:val="left"/>
        <w:tblInd w:w="567" w:type="dxa"/>
        <w:tblBorders>
          <w:top w:val="dotted" w:sz="4" w:space="0" w:color="000001"/>
          <w:left w:val="dotted" w:sz="4" w:space="0" w:color="000001"/>
          <w:bottom w:val="dotted" w:sz="4" w:space="0" w:color="000001"/>
          <w:right w:val="dotted" w:sz="4" w:space="0" w:color="000001"/>
          <w:insideH w:val="dotted" w:sz="4" w:space="0" w:color="000001"/>
          <w:insideV w:val="dotted" w:sz="4" w:space="0" w:color="000001"/>
        </w:tblBorders>
        <w:tblCellMar>
          <w:top w:w="0" w:type="dxa"/>
          <w:left w:w="103" w:type="dxa"/>
          <w:bottom w:w="0" w:type="dxa"/>
          <w:right w:w="108" w:type="dxa"/>
        </w:tblCellMar>
      </w:tblPr>
      <w:tblGrid>
        <w:gridCol w:w="9072"/>
      </w:tblGrid>
      <w:tr>
        <w:trPr/>
        <w:tc>
          <w:tcPr>
            <w:tcW w:w="9072" w:type="dxa"/>
            <w:tcBorders>
              <w:top w:val="dotted" w:sz="4" w:space="0" w:color="000001"/>
              <w:left w:val="dotted" w:sz="4" w:space="0" w:color="000001"/>
              <w:bottom w:val="dotted" w:sz="4" w:space="0" w:color="000001"/>
              <w:right w:val="dotted" w:sz="4" w:space="0" w:color="000001"/>
              <w:insideH w:val="dotted" w:sz="4" w:space="0" w:color="000001"/>
              <w:insideV w:val="dotted" w:sz="4" w:space="0" w:color="000001"/>
            </w:tcBorders>
            <w:shd w:fill="auto" w:val="clear"/>
            <w:tcMar>
              <w:left w:w="103" w:type="dxa"/>
            </w:tcMar>
          </w:tcPr>
          <w:p>
            <w:pPr>
              <w:pStyle w:val="Normal"/>
              <w:widowControl w:val="false"/>
              <w:suppressAutoHyphens w:val="true"/>
              <w:bidi w:val="0"/>
              <w:ind w:left="0" w:right="0" w:hanging="0"/>
              <w:jc w:val="both"/>
              <w:textAlignment w:val="auto"/>
              <w:rPr>
                <w:lang w:val="ro-RO"/>
              </w:rPr>
            </w:pPr>
            <w:r>
              <w:rPr>
                <w:b/>
                <w:lang w:val="ro-RO"/>
              </w:rPr>
              <w:t>M</w:t>
            </w:r>
            <w:r>
              <w:rPr>
                <w:rFonts w:cs="Times New Roman CE" w:ascii="Times New Roman CE" w:hAnsi="Times New Roman CE"/>
                <w:b/>
                <w:lang w:val="ro-RO"/>
              </w:rPr>
              <w:t>anuale/ dicţionare/ lucrări didactice (naţionale / internaţionale)</w:t>
            </w:r>
            <w:r>
              <w:rPr>
                <w:b/>
                <w:lang w:val="ro-RO"/>
              </w:rPr>
              <w:t xml:space="preserve">   </w:t>
            </w:r>
          </w:p>
          <w:p>
            <w:pPr>
              <w:pStyle w:val="Normal"/>
              <w:widowControl/>
              <w:numPr>
                <w:ilvl w:val="0"/>
                <w:numId w:val="43"/>
              </w:numPr>
              <w:tabs>
                <w:tab w:val="left" w:pos="360" w:leader="none"/>
              </w:tabs>
              <w:suppressAutoHyphens w:val="true"/>
              <w:bidi w:val="0"/>
              <w:spacing w:before="0" w:after="60"/>
              <w:ind w:left="360" w:right="0" w:hanging="360"/>
              <w:jc w:val="both"/>
              <w:textAlignment w:val="auto"/>
              <w:rPr>
                <w:lang w:val="fr-FR"/>
              </w:rPr>
            </w:pPr>
            <w:r>
              <w:rPr>
                <w:rFonts w:cs="Times New Roman CE" w:ascii="Times New Roman CE" w:hAnsi="Times New Roman CE"/>
                <w:color w:val="131413"/>
                <w:sz w:val="22"/>
                <w:szCs w:val="22"/>
                <w:lang w:val="fr-FR"/>
              </w:rPr>
              <w:t xml:space="preserve">CIUBOTARU, S.; PLĂCINTĂ, M.Matematica. Caiet de testesumative. </w:t>
            </w:r>
            <w:r>
              <w:rPr>
                <w:color w:val="131413"/>
                <w:sz w:val="22"/>
                <w:szCs w:val="22"/>
                <w:lang w:val="en-US"/>
              </w:rPr>
              <w:t>Clasa a 7-a .</w:t>
            </w:r>
          </w:p>
          <w:p>
            <w:pPr>
              <w:pStyle w:val="Normal"/>
              <w:widowControl/>
              <w:suppressAutoHyphens w:val="true"/>
              <w:bidi w:val="0"/>
              <w:spacing w:before="0" w:after="60"/>
              <w:ind w:left="360" w:right="0" w:hanging="0"/>
              <w:jc w:val="both"/>
              <w:textAlignment w:val="auto"/>
              <w:rPr>
                <w:lang w:val="en-US"/>
              </w:rPr>
            </w:pPr>
            <w:r>
              <w:rPr>
                <w:color w:val="131413"/>
                <w:sz w:val="22"/>
                <w:szCs w:val="22"/>
                <w:lang w:val="en-US"/>
              </w:rPr>
              <w:t>Ed.: Arc 2016, 96 p.</w:t>
            </w:r>
          </w:p>
          <w:p>
            <w:pPr>
              <w:pStyle w:val="Normal"/>
              <w:widowControl/>
              <w:numPr>
                <w:ilvl w:val="0"/>
                <w:numId w:val="43"/>
              </w:numPr>
              <w:tabs>
                <w:tab w:val="left" w:pos="360" w:leader="none"/>
              </w:tabs>
              <w:suppressAutoHyphens w:val="true"/>
              <w:bidi w:val="0"/>
              <w:spacing w:before="0" w:after="60"/>
              <w:ind w:left="360" w:right="0" w:hanging="360"/>
              <w:jc w:val="both"/>
              <w:textAlignment w:val="auto"/>
              <w:rPr>
                <w:lang w:val="en-US"/>
              </w:rPr>
            </w:pPr>
            <w:r>
              <w:rPr>
                <w:color w:val="131413"/>
                <w:sz w:val="22"/>
                <w:szCs w:val="22"/>
                <w:lang w:val="en-US"/>
              </w:rPr>
              <w:t xml:space="preserve">BALTAG V.; CORLAT, A.; EFTODI, </w:t>
            </w:r>
            <w:r>
              <w:rPr>
                <w:rFonts w:cs="Times New Roman CE" w:ascii="Times New Roman CE" w:hAnsi="Times New Roman CE"/>
                <w:color w:val="131413"/>
                <w:sz w:val="22"/>
                <w:szCs w:val="22"/>
                <w:lang w:val="en-US"/>
              </w:rPr>
              <w:t>I.  Matematiciaplicate:  note de curs.  UnAŞM, IMI A.Ş.M., Chisinău,  Ed.:  Biotehdesign.  2016. 103 p.</w:t>
            </w:r>
          </w:p>
          <w:p>
            <w:pPr>
              <w:pStyle w:val="Normal"/>
              <w:widowControl/>
              <w:bidi w:val="0"/>
              <w:spacing w:before="0" w:after="80"/>
              <w:ind w:left="0" w:right="0" w:hanging="0"/>
              <w:jc w:val="both"/>
              <w:textAlignment w:val="auto"/>
              <w:rPr>
                <w:lang w:val="ro-RO"/>
              </w:rPr>
            </w:pPr>
            <w:r>
              <w:rPr>
                <w:b/>
                <w:color w:val="000000"/>
                <w:sz w:val="22"/>
                <w:szCs w:val="22"/>
                <w:lang w:val="ro-RO"/>
              </w:rPr>
              <w:t>Articole din revista cu</w:t>
            </w:r>
            <w:r>
              <w:rPr>
                <w:b/>
                <w:sz w:val="22"/>
                <w:szCs w:val="22"/>
                <w:lang w:val="ro-RO"/>
              </w:rPr>
              <w:t xml:space="preserve"> factor de impact :</w:t>
            </w:r>
          </w:p>
          <w:p>
            <w:pPr>
              <w:pStyle w:val="Normal"/>
              <w:widowControl/>
              <w:bidi w:val="0"/>
              <w:spacing w:before="0" w:after="80"/>
              <w:ind w:left="0" w:right="0" w:hanging="0"/>
              <w:jc w:val="both"/>
              <w:textAlignment w:val="auto"/>
              <w:rPr>
                <w:lang w:val="ro-RO"/>
              </w:rPr>
            </w:pPr>
            <w:r>
              <w:rPr>
                <w:b/>
                <w:i/>
                <w:color w:val="000000"/>
                <w:sz w:val="22"/>
                <w:szCs w:val="22"/>
                <w:lang w:val="ro-RO"/>
              </w:rPr>
              <w:t xml:space="preserve">  </w:t>
            </w:r>
            <w:r>
              <w:rPr>
                <w:b/>
                <w:i/>
                <w:color w:val="000000"/>
                <w:sz w:val="22"/>
                <w:szCs w:val="22"/>
                <w:lang w:val="ro-RO"/>
              </w:rPr>
              <w:t>articole din reviste cu factor de impact                1,0-2,9</w:t>
            </w:r>
          </w:p>
          <w:p>
            <w:pPr>
              <w:pStyle w:val="Normal"/>
              <w:widowControl/>
              <w:numPr>
                <w:ilvl w:val="0"/>
                <w:numId w:val="60"/>
              </w:numPr>
              <w:tabs>
                <w:tab w:val="left" w:pos="360" w:leader="none"/>
              </w:tabs>
              <w:suppressAutoHyphens w:val="true"/>
              <w:bidi w:val="0"/>
              <w:spacing w:before="0" w:after="60"/>
              <w:ind w:left="360" w:right="0" w:hanging="360"/>
              <w:jc w:val="both"/>
              <w:textAlignment w:val="auto"/>
              <w:rPr/>
            </w:pPr>
            <w:r>
              <w:rPr>
                <w:color w:val="131413"/>
                <w:sz w:val="22"/>
                <w:szCs w:val="22"/>
                <w:lang w:val="en-US"/>
              </w:rPr>
              <w:t xml:space="preserve">DRYMA, V.S. On the analytical solution of the two-dimensional Korteweg-de Vries equation, Sov. Phys. JETP Lett. 19, 753-757 (1974),   Sov. Phys. JETP Lett. Sov. Phys. JETP Lett., </w:t>
            </w:r>
            <w:hyperlink r:id="rId7">
              <w:r>
                <w:rPr>
                  <w:webHidden/>
                  <w:rStyle w:val="Style5"/>
                  <w:color w:val="131413"/>
                  <w:lang w:val="en-US"/>
                </w:rPr>
                <w:t>http://www.jetpletters.ac.ru/</w:t>
              </w:r>
            </w:hyperlink>
            <w:r>
              <w:rPr>
                <w:color w:val="131413"/>
                <w:sz w:val="22"/>
                <w:szCs w:val="22"/>
                <w:lang w:val="en-US"/>
              </w:rPr>
              <w:t xml:space="preserve">, Golden Archive, </w:t>
            </w:r>
            <w:hyperlink r:id="rId8">
              <w:r>
                <w:rPr>
                  <w:webHidden/>
                  <w:rStyle w:val="Style5"/>
                  <w:color w:val="131413"/>
                  <w:lang w:val="en-US"/>
                </w:rPr>
                <w:t>http://www.jetpletters.ac.ru/cgi-bin/front/gf/en</w:t>
              </w:r>
            </w:hyperlink>
            <w:r>
              <w:rPr>
                <w:color w:val="131413"/>
                <w:sz w:val="22"/>
                <w:szCs w:val="22"/>
                <w:lang w:val="en-US"/>
              </w:rPr>
              <w:t>, p.1, Published 2016-08-12, 16:27:02. (IF 1,1)</w:t>
            </w:r>
          </w:p>
          <w:p>
            <w:pPr>
              <w:pStyle w:val="Normal"/>
              <w:widowControl/>
              <w:bidi w:val="0"/>
              <w:spacing w:before="0" w:after="80"/>
              <w:ind w:left="0" w:right="0" w:hanging="0"/>
              <w:jc w:val="both"/>
              <w:textAlignment w:val="auto"/>
              <w:rPr>
                <w:lang w:val="ro-RO"/>
              </w:rPr>
            </w:pPr>
            <w:r>
              <w:rPr>
                <w:b/>
                <w:i/>
                <w:color w:val="000000"/>
                <w:sz w:val="22"/>
                <w:szCs w:val="22"/>
                <w:lang w:val="ro-RO"/>
              </w:rPr>
              <w:t xml:space="preserve"> </w:t>
            </w:r>
            <w:r>
              <w:rPr>
                <w:b/>
                <w:i/>
                <w:color w:val="000000"/>
                <w:sz w:val="22"/>
                <w:szCs w:val="22"/>
                <w:lang w:val="ro-RO"/>
              </w:rPr>
              <w:t>articole din reviste cu factor de impact              0,1-0,9</w:t>
            </w:r>
          </w:p>
          <w:p>
            <w:pPr>
              <w:pStyle w:val="Normal"/>
              <w:widowControl/>
              <w:numPr>
                <w:ilvl w:val="0"/>
                <w:numId w:val="44"/>
              </w:numPr>
              <w:tabs>
                <w:tab w:val="left" w:pos="360" w:leader="none"/>
              </w:tabs>
              <w:suppressAutoHyphens w:val="true"/>
              <w:bidi w:val="0"/>
              <w:spacing w:before="0" w:after="60"/>
              <w:ind w:left="360" w:right="0" w:hanging="360"/>
              <w:jc w:val="both"/>
              <w:textAlignment w:val="auto"/>
              <w:rPr>
                <w:lang w:val="en-US"/>
              </w:rPr>
            </w:pPr>
            <w:r>
              <w:rPr>
                <w:color w:val="131413"/>
                <w:sz w:val="22"/>
                <w:szCs w:val="22"/>
                <w:lang w:val="en-US"/>
              </w:rPr>
              <w:t>BUJAC C., VULPE N. Cubic differential systems with invariant straight lines of total multiplicity eight possessing one infinite singularity.  Qualitative Theory of Dynamical Systems.DOI: 10.1007/s12346-016-0188-x, pp. 1-30    (First on-line 4 February 2016). (IF 0,717)</w:t>
            </w:r>
          </w:p>
          <w:p>
            <w:pPr>
              <w:pStyle w:val="Normal"/>
              <w:widowControl/>
              <w:numPr>
                <w:ilvl w:val="0"/>
                <w:numId w:val="44"/>
              </w:numPr>
              <w:tabs>
                <w:tab w:val="left" w:pos="360" w:leader="none"/>
              </w:tabs>
              <w:suppressAutoHyphens w:val="true"/>
              <w:bidi w:val="0"/>
              <w:spacing w:before="0" w:after="60"/>
              <w:ind w:left="360" w:right="0" w:hanging="360"/>
              <w:jc w:val="both"/>
              <w:textAlignment w:val="auto"/>
              <w:rPr>
                <w:lang w:val="fr-FR"/>
              </w:rPr>
            </w:pPr>
            <w:r>
              <w:rPr>
                <w:color w:val="131413"/>
                <w:sz w:val="22"/>
                <w:szCs w:val="22"/>
                <w:lang w:val="fr-FR"/>
              </w:rPr>
              <w:t xml:space="preserve">BUJAC, C., LLIBRE, J., VULPE N.   </w:t>
            </w:r>
            <w:r>
              <w:rPr>
                <w:color w:val="131413"/>
                <w:sz w:val="22"/>
                <w:szCs w:val="22"/>
                <w:lang w:val="en-US"/>
              </w:rPr>
              <w:t>First Integrals and Phase Portraits of Planar Polynomial Differential Cubic Systems with the Maximum Number of Invariant Straight Lines.  Qualitative Theory of Dynamical Systems.  2016. DOI:  10.1007/s12346-016-0211-2, pp. 327-348 (IF 0,717)</w:t>
            </w:r>
          </w:p>
          <w:p>
            <w:pPr>
              <w:pStyle w:val="ListParagraph"/>
              <w:widowControl w:val="false"/>
              <w:suppressAutoHyphens w:val="true"/>
              <w:bidi w:val="0"/>
              <w:spacing w:before="0" w:after="80"/>
              <w:ind w:left="0" w:right="0" w:hanging="0"/>
              <w:contextualSpacing/>
              <w:jc w:val="both"/>
              <w:textAlignment w:val="auto"/>
              <w:rPr>
                <w:lang w:val="ro-RO"/>
              </w:rPr>
            </w:pPr>
            <w:r>
              <w:rPr>
                <w:b/>
                <w:i/>
                <w:szCs w:val="20"/>
                <w:lang w:val="ro-RO"/>
              </w:rPr>
              <w:t>art</w:t>
            </w:r>
            <w:r>
              <w:rPr>
                <w:rFonts w:cs="Times New Roman CE" w:ascii="Times New Roman CE" w:hAnsi="Times New Roman CE"/>
                <w:b/>
                <w:i/>
                <w:szCs w:val="20"/>
                <w:lang w:val="ro-RO"/>
              </w:rPr>
              <w:t>icole din alte reviste editate în străinătate</w:t>
            </w:r>
          </w:p>
          <w:p>
            <w:pPr>
              <w:pStyle w:val="Normal"/>
              <w:widowControl/>
              <w:numPr>
                <w:ilvl w:val="0"/>
                <w:numId w:val="62"/>
              </w:numPr>
              <w:tabs>
                <w:tab w:val="left" w:pos="360" w:leader="none"/>
              </w:tabs>
              <w:suppressAutoHyphens w:val="true"/>
              <w:bidi w:val="0"/>
              <w:spacing w:before="0" w:after="60"/>
              <w:ind w:left="360" w:right="0" w:hanging="360"/>
              <w:jc w:val="both"/>
              <w:textAlignment w:val="auto"/>
              <w:rPr>
                <w:lang w:val="en-US"/>
              </w:rPr>
            </w:pPr>
            <w:r>
              <w:rPr>
                <w:color w:val="131413"/>
                <w:sz w:val="22"/>
                <w:szCs w:val="22"/>
                <w:lang w:val="en-US"/>
              </w:rPr>
              <w:t>DOVBU</w:t>
            </w:r>
            <w:r>
              <w:rPr>
                <w:rFonts w:cs="Times New Roman CE" w:ascii="Times New Roman CE" w:hAnsi="Times New Roman CE"/>
                <w:color w:val="131413"/>
                <w:sz w:val="22"/>
                <w:szCs w:val="22"/>
                <w:lang w:val="en-US"/>
              </w:rPr>
              <w:t>Ş</w:t>
            </w:r>
            <w:r>
              <w:rPr>
                <w:color w:val="131413"/>
                <w:sz w:val="22"/>
                <w:szCs w:val="22"/>
                <w:lang w:val="en-US"/>
              </w:rPr>
              <w:t>, P.V. On normal families of holomorphic functions. MathematicaMontisnigri, vol. XXXVI, 2016, 5-13.</w:t>
            </w:r>
          </w:p>
          <w:p>
            <w:pPr>
              <w:pStyle w:val="Normal"/>
              <w:widowControl/>
              <w:numPr>
                <w:ilvl w:val="0"/>
                <w:numId w:val="62"/>
              </w:numPr>
              <w:tabs>
                <w:tab w:val="left" w:pos="360" w:leader="none"/>
              </w:tabs>
              <w:suppressAutoHyphens w:val="true"/>
              <w:bidi w:val="0"/>
              <w:spacing w:before="0" w:after="60"/>
              <w:ind w:left="360" w:right="0" w:hanging="360"/>
              <w:jc w:val="both"/>
              <w:textAlignment w:val="auto"/>
              <w:rPr>
                <w:lang w:val="en-US"/>
              </w:rPr>
            </w:pPr>
            <w:r>
              <w:rPr>
                <w:rFonts w:cs="Times New Roman CE" w:ascii="Times New Roman CE" w:hAnsi="Times New Roman CE"/>
                <w:color w:val="131413"/>
                <w:sz w:val="22"/>
                <w:szCs w:val="22"/>
                <w:lang w:val="en-US"/>
              </w:rPr>
              <w:t>ŞUBĂ, A.</w:t>
            </w:r>
            <w:r>
              <w:rPr>
                <w:color w:val="131413"/>
                <w:sz w:val="22"/>
                <w:szCs w:val="22"/>
                <w:lang w:val="en-US"/>
              </w:rPr>
              <w:t>; VACARA</w:t>
            </w:r>
            <w:r>
              <w:rPr>
                <w:rFonts w:cs="Times New Roman CE" w:ascii="Times New Roman CE" w:hAnsi="Times New Roman CE"/>
                <w:color w:val="131413"/>
                <w:sz w:val="22"/>
                <w:szCs w:val="22"/>
                <w:lang w:val="en-US"/>
              </w:rPr>
              <w:t>Ş,</w:t>
            </w:r>
            <w:r>
              <w:rPr>
                <w:color w:val="131413"/>
                <w:sz w:val="22"/>
                <w:szCs w:val="22"/>
                <w:lang w:val="en-US"/>
              </w:rPr>
              <w:t xml:space="preserve"> O. Cubic differential systems with an invariant straight line of maximal multiplicity. Annals of the University of Craiova, Mathematics and Computer Science Series, Volume 42(2), 2015, Pages 427-449. ISSN: 1223-6934.</w:t>
            </w:r>
          </w:p>
          <w:p>
            <w:pPr>
              <w:pStyle w:val="Normal"/>
              <w:widowControl/>
              <w:numPr>
                <w:ilvl w:val="0"/>
                <w:numId w:val="62"/>
              </w:numPr>
              <w:tabs>
                <w:tab w:val="left" w:pos="360" w:leader="none"/>
              </w:tabs>
              <w:suppressAutoHyphens w:val="true"/>
              <w:bidi w:val="0"/>
              <w:spacing w:before="0" w:after="60"/>
              <w:ind w:left="360" w:right="0" w:hanging="360"/>
              <w:jc w:val="both"/>
              <w:textAlignment w:val="auto"/>
              <w:rPr/>
            </w:pPr>
            <w:r>
              <w:rPr>
                <w:color w:val="131413"/>
                <w:sz w:val="22"/>
                <w:szCs w:val="22"/>
                <w:lang w:val="en-US"/>
              </w:rPr>
              <w:t>NEAGU, N., POPA, M. Canonical form of the ternary generalized differential Lyapunov-Darboux system with quadratic nonlinearities. ROMAI Journal,v.11 (2015), no.2, 89-107.</w:t>
            </w:r>
          </w:p>
          <w:p>
            <w:pPr>
              <w:pStyle w:val="Normal"/>
              <w:widowControl/>
              <w:bidi w:val="0"/>
              <w:ind w:left="0" w:right="0" w:hanging="0"/>
              <w:jc w:val="both"/>
              <w:textAlignment w:val="auto"/>
              <w:rPr>
                <w:lang w:val="ro-RO"/>
              </w:rPr>
            </w:pPr>
            <w:r>
              <w:rPr>
                <w:b/>
                <w:i/>
                <w:lang w:val="ro-RO"/>
              </w:rPr>
              <w:t>articole din revist</w:t>
            </w:r>
            <w:r>
              <w:rPr>
                <w:rFonts w:cs="Times New Roman CE" w:ascii="Times New Roman CE" w:hAnsi="Times New Roman CE"/>
                <w:b/>
                <w:i/>
                <w:lang w:val="ro-RO"/>
              </w:rPr>
              <w:t>e naţionale</w:t>
            </w:r>
          </w:p>
          <w:p>
            <w:pPr>
              <w:pStyle w:val="Normal"/>
              <w:widowControl/>
              <w:bidi w:val="0"/>
              <w:ind w:left="0" w:right="0" w:hanging="0"/>
              <w:jc w:val="both"/>
              <w:textAlignment w:val="auto"/>
              <w:rPr>
                <w:lang w:val="ro-RO"/>
              </w:rPr>
            </w:pPr>
            <w:r>
              <w:rPr>
                <w:b/>
                <w:i/>
                <w:lang w:val="ro-RO"/>
              </w:rPr>
              <w:t>categoria A</w:t>
            </w:r>
            <w:r>
              <w:rPr>
                <w:b/>
                <w:i/>
                <w:lang w:val="ro-MD"/>
              </w:rPr>
              <w:t>:</w:t>
            </w:r>
          </w:p>
          <w:p>
            <w:pPr>
              <w:pStyle w:val="Normal"/>
              <w:widowControl/>
              <w:numPr>
                <w:ilvl w:val="0"/>
                <w:numId w:val="64"/>
              </w:numPr>
              <w:tabs>
                <w:tab w:val="left" w:pos="360" w:leader="none"/>
              </w:tabs>
              <w:suppressAutoHyphens w:val="true"/>
              <w:bidi w:val="0"/>
              <w:spacing w:before="0" w:after="60"/>
              <w:ind w:left="360" w:right="0" w:hanging="360"/>
              <w:jc w:val="both"/>
              <w:textAlignment w:val="auto"/>
              <w:rPr>
                <w:lang w:val="en-US"/>
              </w:rPr>
            </w:pPr>
            <w:r>
              <w:rPr>
                <w:color w:val="131413"/>
                <w:sz w:val="22"/>
                <w:szCs w:val="22"/>
                <w:lang w:val="en-US"/>
              </w:rPr>
              <w:t xml:space="preserve"> </w:t>
            </w:r>
            <w:r>
              <w:rPr>
                <w:color w:val="131413"/>
                <w:sz w:val="22"/>
                <w:szCs w:val="22"/>
                <w:lang w:val="en-US"/>
              </w:rPr>
              <w:t xml:space="preserve">CIUBOTARU, S. Rational bases of GL(2, R)-comitants and of GL(2, R)-invariants for the planar system of differential equations with nonlinearities of the fourth degree. </w:t>
            </w:r>
            <w:r>
              <w:rPr>
                <w:rFonts w:cs="Times New Roman CE" w:ascii="Times New Roman CE" w:hAnsi="Times New Roman CE"/>
                <w:color w:val="131413"/>
                <w:sz w:val="22"/>
                <w:szCs w:val="22"/>
                <w:lang w:val="en-US"/>
              </w:rPr>
              <w:t>Buletinul Academiei de Ştiinţe a Republicii Moldova. Matematic</w:t>
            </w:r>
            <w:r>
              <w:rPr>
                <w:color w:val="131413"/>
                <w:sz w:val="22"/>
                <w:szCs w:val="22"/>
                <w:lang w:val="en-US"/>
              </w:rPr>
              <w:t>a, nr. 3(79), 2015, 14-34.</w:t>
            </w:r>
          </w:p>
          <w:p>
            <w:pPr>
              <w:pStyle w:val="ListParagraph"/>
              <w:widowControl/>
              <w:bidi w:val="0"/>
              <w:spacing w:before="0" w:after="0"/>
              <w:ind w:left="0" w:right="0" w:hanging="0"/>
              <w:contextualSpacing/>
              <w:jc w:val="both"/>
              <w:textAlignment w:val="auto"/>
              <w:rPr>
                <w:lang w:val="ro-MD"/>
              </w:rPr>
            </w:pPr>
            <w:r>
              <w:rPr>
                <w:rFonts w:cs="Times New Roman CE" w:ascii="Times New Roman CE" w:hAnsi="Times New Roman CE"/>
                <w:b/>
                <w:i/>
                <w:sz w:val="22"/>
                <w:szCs w:val="22"/>
                <w:lang w:val="ro-MD"/>
              </w:rPr>
              <w:t>articole în culegeri (naţionale / internaţionale)</w:t>
            </w:r>
          </w:p>
          <w:p>
            <w:pPr>
              <w:pStyle w:val="Normal"/>
              <w:widowControl/>
              <w:numPr>
                <w:ilvl w:val="0"/>
                <w:numId w:val="63"/>
              </w:numPr>
              <w:tabs>
                <w:tab w:val="left" w:pos="360" w:leader="none"/>
              </w:tabs>
              <w:suppressAutoHyphens w:val="true"/>
              <w:bidi w:val="0"/>
              <w:spacing w:before="0" w:after="60"/>
              <w:ind w:left="360" w:right="0" w:hanging="360"/>
              <w:jc w:val="both"/>
              <w:textAlignment w:val="auto"/>
              <w:rPr/>
            </w:pPr>
            <w:r>
              <w:rPr>
                <w:color w:val="131413"/>
                <w:sz w:val="22"/>
                <w:szCs w:val="22"/>
                <w:lang w:val="en-US"/>
              </w:rPr>
              <w:t xml:space="preserve">TURUTA, S. Darboux first integrals of Lotka-Volterra cubic differential systems with (1:-2)-singularity having invariant straight lines of two directions and total multiplicity six. In: Proceedings of the </w:t>
            </w:r>
            <w:hyperlink r:id="rId9">
              <w:r>
                <w:rPr>
                  <w:webHidden/>
                  <w:rStyle w:val="Style5"/>
                  <w:color w:val="131413"/>
                  <w:sz w:val="22"/>
                  <w:szCs w:val="22"/>
                  <w:lang w:val="en-US"/>
                </w:rPr>
                <w:t>International Scientific Conference of PhD Students "Trends in the development of contemporary science: visions of young researchers", Fifth Edition</w:t>
              </w:r>
            </w:hyperlink>
            <w:r>
              <w:rPr>
                <w:rFonts w:cs="Times New Roman CE" w:ascii="Times New Roman CE" w:hAnsi="Times New Roman CE"/>
                <w:color w:val="131413"/>
                <w:sz w:val="22"/>
                <w:szCs w:val="22"/>
                <w:lang w:val="en-US"/>
              </w:rPr>
              <w:t>. Chişinău, 25 May 2016, 327-330.</w:t>
            </w:r>
          </w:p>
          <w:p>
            <w:pPr>
              <w:pStyle w:val="Normal"/>
              <w:widowControl/>
              <w:bidi w:val="0"/>
              <w:ind w:left="0" w:right="0" w:hanging="0"/>
              <w:jc w:val="both"/>
              <w:textAlignment w:val="auto"/>
              <w:rPr>
                <w:lang w:val="ro-RO"/>
              </w:rPr>
            </w:pPr>
            <w:r>
              <w:rPr>
                <w:rFonts w:cs="Times New Roman CE" w:ascii="Times New Roman CE" w:hAnsi="Times New Roman CE"/>
                <w:b/>
                <w:lang w:val="ro-RO"/>
              </w:rPr>
              <w:t xml:space="preserve">Rapoarte publicate / Teze ale comunicărilor la congrese, conferinţe, simpozioane, în </w:t>
            </w:r>
            <w:r>
              <w:rPr>
                <w:rFonts w:cs="Times New Roman CE" w:ascii="Times New Roman CE" w:hAnsi="Times New Roman CE"/>
                <w:b/>
                <w:lang w:val="ro-MD"/>
              </w:rPr>
              <w:t>culegeri (naţionale / internaţionale),</w:t>
            </w:r>
            <w:r>
              <w:rPr>
                <w:b/>
                <w:lang w:val="ro-MD"/>
              </w:rPr>
              <w:t xml:space="preserve"> </w:t>
            </w:r>
            <w:r>
              <w:rPr>
                <w:rFonts w:cs="Times New Roman CE" w:ascii="Times New Roman CE" w:hAnsi="Times New Roman CE"/>
                <w:lang w:val="ro-MD" w:eastAsia="en-US"/>
              </w:rPr>
              <w:t xml:space="preserve">în conformitate cu cerinţele CNAA şi </w:t>
            </w:r>
            <w:r>
              <w:rPr>
                <w:rFonts w:eastAsia="MinionPro-Regular"/>
                <w:lang w:val="ro-RO"/>
              </w:rPr>
              <w:t xml:space="preserve">standardele </w:t>
            </w:r>
            <w:r>
              <w:rPr>
                <w:rFonts w:eastAsia="MinionPro-Regular" w:cs="Times New Roman CE" w:ascii="Times New Roman CE" w:hAnsi="Times New Roman CE"/>
                <w:lang w:val="ro-RO"/>
              </w:rPr>
              <w:t>naţionale.</w:t>
            </w:r>
          </w:p>
          <w:p>
            <w:pPr>
              <w:pStyle w:val="ListParagraph"/>
              <w:widowControl/>
              <w:numPr>
                <w:ilvl w:val="0"/>
                <w:numId w:val="61"/>
              </w:numPr>
              <w:bidi w:val="0"/>
              <w:spacing w:before="0" w:after="0"/>
              <w:ind w:left="927" w:right="0" w:hanging="360"/>
              <w:contextualSpacing/>
              <w:jc w:val="left"/>
              <w:textAlignment w:val="auto"/>
              <w:rPr>
                <w:lang w:val="en-US"/>
              </w:rPr>
            </w:pPr>
            <w:r>
              <w:rPr>
                <w:sz w:val="22"/>
                <w:szCs w:val="22"/>
                <w:lang w:val="en-US"/>
              </w:rPr>
              <w:t>BUJAC, C.; VULPE, N.First integrals of cubic systems with the maximum number of invariant lines</w:t>
            </w:r>
            <w:r>
              <w:rPr>
                <w:sz w:val="22"/>
                <w:szCs w:val="22"/>
                <w:lang w:val="en-CA"/>
              </w:rPr>
              <w:t xml:space="preserve">.  </w:t>
            </w:r>
            <w:r>
              <w:rPr>
                <w:i/>
                <w:sz w:val="22"/>
                <w:szCs w:val="22"/>
                <w:lang w:val="en-US"/>
              </w:rPr>
              <w:t>International Conference "MITRE-2016",</w:t>
            </w:r>
            <w:r>
              <w:rPr>
                <w:rFonts w:cs="Times New Roman CE" w:ascii="Times New Roman CE" w:hAnsi="Times New Roman CE"/>
                <w:sz w:val="22"/>
                <w:szCs w:val="22"/>
                <w:lang w:val="en-US"/>
              </w:rPr>
              <w:t>Chişinău, June 23-25, 2016, 11-12.</w:t>
            </w:r>
          </w:p>
          <w:p>
            <w:pPr>
              <w:pStyle w:val="Normal"/>
              <w:widowControl/>
              <w:numPr>
                <w:ilvl w:val="0"/>
                <w:numId w:val="61"/>
              </w:numPr>
              <w:bidi w:val="0"/>
              <w:ind w:left="927" w:right="0" w:hanging="360"/>
              <w:jc w:val="both"/>
              <w:textAlignment w:val="auto"/>
              <w:rPr>
                <w:lang w:val="en-US"/>
              </w:rPr>
            </w:pPr>
            <w:r>
              <w:rPr>
                <w:sz w:val="22"/>
                <w:szCs w:val="22"/>
                <w:lang w:val="en-US" w:eastAsia="en-US"/>
              </w:rPr>
              <w:t xml:space="preserve">BUJAC, C.; VULPE, N.  First integrals of the family of cubic differential systems with invariant lines of total multiplicity 8. </w:t>
            </w:r>
            <w:r>
              <w:rPr>
                <w:color w:val="000000"/>
                <w:sz w:val="22"/>
                <w:szCs w:val="22"/>
                <w:lang w:val="en-US"/>
              </w:rPr>
              <w:t xml:space="preserve">Book of Abstracts of the </w:t>
            </w:r>
            <w:r>
              <w:rPr>
                <w:sz w:val="22"/>
                <w:szCs w:val="22"/>
                <w:lang w:val="en-US"/>
              </w:rPr>
              <w:t>24th Conf. on Applied and Industrial Mathematics (</w:t>
            </w:r>
            <w:r>
              <w:rPr>
                <w:color w:val="000000"/>
                <w:sz w:val="22"/>
                <w:szCs w:val="22"/>
                <w:lang w:val="en-US"/>
              </w:rPr>
              <w:t>CAIM 2016)</w:t>
            </w:r>
            <w:r>
              <w:rPr>
                <w:sz w:val="22"/>
                <w:szCs w:val="22"/>
                <w:lang w:val="en-US" w:eastAsia="en-US"/>
              </w:rPr>
              <w:t>. Craiova (România),</w:t>
            </w:r>
            <w:r>
              <w:rPr>
                <w:sz w:val="22"/>
                <w:szCs w:val="22"/>
                <w:lang w:val="en-US"/>
              </w:rPr>
              <w:t xml:space="preserve"> September 15-18,</w:t>
            </w:r>
            <w:r>
              <w:rPr>
                <w:sz w:val="22"/>
                <w:szCs w:val="22"/>
                <w:lang w:val="en-US" w:eastAsia="en-US"/>
              </w:rPr>
              <w:t xml:space="preserve"> 2016, 32-33.</w:t>
            </w:r>
          </w:p>
          <w:p>
            <w:pPr>
              <w:pStyle w:val="Normal"/>
              <w:widowControl/>
              <w:numPr>
                <w:ilvl w:val="0"/>
                <w:numId w:val="61"/>
              </w:numPr>
              <w:bidi w:val="0"/>
              <w:ind w:left="927" w:right="0" w:hanging="360"/>
              <w:jc w:val="both"/>
              <w:textAlignment w:val="auto"/>
              <w:rPr>
                <w:lang w:val="en-US"/>
              </w:rPr>
            </w:pPr>
            <w:r>
              <w:rPr>
                <w:sz w:val="22"/>
                <w:szCs w:val="22"/>
                <w:lang w:val="en-US"/>
              </w:rPr>
              <w:t>CALIN, Iu.; CIUBOTARU, S. GL(2, R)-comitants and Lyapunov quantities for bidimensional polynomial systems of differential equations with nonlinearities of the fourth degree.</w:t>
            </w:r>
            <w:r>
              <w:rPr>
                <w:i/>
                <w:sz w:val="22"/>
                <w:szCs w:val="22"/>
                <w:lang w:val="en-US"/>
              </w:rPr>
              <w:t>International Conference "MITRE-2016",</w:t>
            </w:r>
            <w:r>
              <w:rPr>
                <w:rFonts w:cs="Times New Roman CE" w:ascii="Times New Roman CE" w:hAnsi="Times New Roman CE"/>
                <w:sz w:val="22"/>
                <w:szCs w:val="22"/>
                <w:lang w:val="en-US"/>
              </w:rPr>
              <w:t>Chişinău, June 23-25, 2016, 13-15.</w:t>
            </w:r>
          </w:p>
          <w:p>
            <w:pPr>
              <w:pStyle w:val="Normal"/>
              <w:widowControl/>
              <w:numPr>
                <w:ilvl w:val="0"/>
                <w:numId w:val="61"/>
              </w:numPr>
              <w:bidi w:val="0"/>
              <w:ind w:left="927" w:right="0" w:hanging="360"/>
              <w:jc w:val="both"/>
              <w:textAlignment w:val="auto"/>
              <w:rPr>
                <w:lang w:val="en-US"/>
              </w:rPr>
            </w:pPr>
            <w:r>
              <w:rPr>
                <w:sz w:val="22"/>
                <w:szCs w:val="22"/>
                <w:lang w:val="en-US"/>
              </w:rPr>
              <w:t>CIUBOTARU, S.; CALIN, Iu.  The center conditions for a class of bidimensional polynomial systems of differential equations with nonlinearities of the fourth degree.</w:t>
            </w:r>
          </w:p>
          <w:p>
            <w:pPr>
              <w:pStyle w:val="Normal"/>
              <w:widowControl/>
              <w:bidi w:val="0"/>
              <w:ind w:left="780" w:right="0" w:hanging="0"/>
              <w:jc w:val="left"/>
              <w:textAlignment w:val="auto"/>
              <w:rPr>
                <w:lang w:val="fr-FR"/>
              </w:rPr>
            </w:pPr>
            <w:r>
              <w:rPr>
                <w:i/>
                <w:sz w:val="22"/>
                <w:szCs w:val="22"/>
                <w:lang w:val="fr-FR"/>
              </w:rPr>
              <w:t>International Conference "MITRE-2016",</w:t>
            </w:r>
            <w:r>
              <w:rPr>
                <w:sz w:val="22"/>
                <w:szCs w:val="22"/>
                <w:lang w:val="fr-FR"/>
              </w:rPr>
              <w:t xml:space="preserve"> Chisinau, June 23-25, 2016, 22-23.</w:t>
            </w:r>
          </w:p>
          <w:p>
            <w:pPr>
              <w:pStyle w:val="Normal"/>
              <w:widowControl/>
              <w:numPr>
                <w:ilvl w:val="0"/>
                <w:numId w:val="61"/>
              </w:numPr>
              <w:bidi w:val="0"/>
              <w:ind w:left="927" w:right="0" w:hanging="360"/>
              <w:jc w:val="left"/>
              <w:textAlignment w:val="auto"/>
              <w:rPr>
                <w:lang w:val="en-US"/>
              </w:rPr>
            </w:pPr>
            <w:r>
              <w:rPr>
                <w:sz w:val="22"/>
                <w:szCs w:val="22"/>
                <w:lang w:val="en-US"/>
              </w:rPr>
              <w:t xml:space="preserve">DRYUMA, V. On solving equations of flows of incompressible liquids. </w:t>
            </w:r>
            <w:r>
              <w:rPr>
                <w:i/>
                <w:sz w:val="22"/>
                <w:szCs w:val="22"/>
                <w:lang w:val="en-US"/>
              </w:rPr>
              <w:t>International Conference "MITRE-2016",</w:t>
            </w:r>
            <w:r>
              <w:rPr>
                <w:sz w:val="22"/>
                <w:szCs w:val="22"/>
                <w:lang w:val="en-US"/>
              </w:rPr>
              <w:t xml:space="preserve"> Chisinau, June 23-25, 2016, 28-29.</w:t>
            </w:r>
          </w:p>
          <w:p>
            <w:pPr>
              <w:pStyle w:val="Normal"/>
              <w:widowControl/>
              <w:numPr>
                <w:ilvl w:val="0"/>
                <w:numId w:val="61"/>
              </w:numPr>
              <w:bidi w:val="0"/>
              <w:ind w:left="927" w:right="0" w:hanging="360"/>
              <w:jc w:val="both"/>
              <w:textAlignment w:val="auto"/>
              <w:rPr/>
            </w:pPr>
            <w:r>
              <w:rPr>
                <w:sz w:val="22"/>
                <w:szCs w:val="22"/>
              </w:rPr>
              <w:t xml:space="preserve">ДРЮМА, В. Об интегрировании уравнений течения несжимаемой жидкости. </w:t>
            </w:r>
            <w:r>
              <w:rPr>
                <w:i/>
                <w:sz w:val="22"/>
                <w:szCs w:val="22"/>
              </w:rPr>
              <w:t xml:space="preserve">5-я Международная </w:t>
            </w:r>
            <w:r>
              <w:rPr>
                <w:i/>
                <w:sz w:val="22"/>
                <w:szCs w:val="22"/>
                <w:lang w:val="en-US"/>
              </w:rPr>
              <w:t>K</w:t>
            </w:r>
            <w:r>
              <w:rPr>
                <w:i/>
                <w:sz w:val="22"/>
                <w:szCs w:val="22"/>
              </w:rPr>
              <w:t>онференция “Проблемы математической и теоретической физики и математическое моделирование”</w:t>
            </w:r>
            <w:r>
              <w:rPr>
                <w:b/>
                <w:sz w:val="22"/>
                <w:szCs w:val="22"/>
              </w:rPr>
              <w:t xml:space="preserve">, </w:t>
            </w:r>
            <w:r>
              <w:rPr>
                <w:sz w:val="22"/>
                <w:szCs w:val="22"/>
              </w:rPr>
              <w:t xml:space="preserve">Сборник докладов, Москва, НИЯУ МИФИ, 5-7 </w:t>
            </w:r>
            <w:r>
              <w:rPr>
                <w:sz w:val="22"/>
                <w:szCs w:val="22"/>
                <w:lang w:val="ro-RO"/>
              </w:rPr>
              <w:t>a</w:t>
            </w:r>
            <w:r>
              <w:rPr>
                <w:sz w:val="22"/>
                <w:szCs w:val="22"/>
              </w:rPr>
              <w:t>преля, 2016,</w:t>
            </w:r>
            <w:r>
              <w:rPr>
                <w:sz w:val="22"/>
                <w:szCs w:val="22"/>
                <w:lang w:val="ro-RO"/>
              </w:rPr>
              <w:t xml:space="preserve"> </w:t>
            </w:r>
            <w:r>
              <w:rPr>
                <w:color w:val="000000"/>
                <w:sz w:val="22"/>
                <w:szCs w:val="22"/>
              </w:rPr>
              <w:t>49-52.</w:t>
            </w:r>
          </w:p>
          <w:p>
            <w:pPr>
              <w:pStyle w:val="Normal"/>
              <w:widowControl/>
              <w:numPr>
                <w:ilvl w:val="0"/>
                <w:numId w:val="61"/>
              </w:numPr>
              <w:bidi w:val="0"/>
              <w:ind w:left="927" w:right="0" w:hanging="360"/>
              <w:jc w:val="both"/>
              <w:textAlignment w:val="auto"/>
              <w:rPr>
                <w:lang w:val="ro-RO"/>
              </w:rPr>
            </w:pPr>
            <w:r>
              <w:rPr>
                <w:sz w:val="22"/>
                <w:szCs w:val="22"/>
                <w:lang w:val="ro-RO"/>
              </w:rPr>
              <w:t xml:space="preserve"> </w:t>
            </w:r>
            <w:r>
              <w:rPr>
                <w:sz w:val="22"/>
                <w:szCs w:val="22"/>
                <w:lang w:val="ro-RO"/>
              </w:rPr>
              <w:t>DRIUMA, V., “On theintegration of incompressible fluid flowsequations”, (</w:t>
            </w:r>
            <w:r>
              <w:rPr>
                <w:i/>
                <w:sz w:val="22"/>
                <w:szCs w:val="22"/>
                <w:lang w:val="ro-RO"/>
              </w:rPr>
              <w:t>Материалы XXII Международной конференции «Нелинейные задачи теории гидродинамической устойчивости и турбулентность»</w:t>
            </w:r>
            <w:r>
              <w:rPr>
                <w:sz w:val="22"/>
                <w:szCs w:val="22"/>
                <w:lang w:val="ro-RO"/>
              </w:rPr>
              <w:t xml:space="preserve">  14 −21 февраля2016 г., Изд.-во Московского университета, 2016. 1 стр. (Электронное издание). ISBN 978-5-19-011132-3</w:t>
            </w:r>
          </w:p>
          <w:p>
            <w:pPr>
              <w:pStyle w:val="Normal"/>
              <w:widowControl/>
              <w:numPr>
                <w:ilvl w:val="0"/>
                <w:numId w:val="61"/>
              </w:numPr>
              <w:bidi w:val="0"/>
              <w:ind w:left="927" w:right="0" w:hanging="360"/>
              <w:jc w:val="both"/>
              <w:textAlignment w:val="auto"/>
              <w:rPr>
                <w:lang w:val="ro-RO"/>
              </w:rPr>
            </w:pPr>
            <w:r>
              <w:rPr>
                <w:color w:val="000000"/>
                <w:sz w:val="22"/>
                <w:szCs w:val="22"/>
                <w:lang w:val="ro-RO"/>
              </w:rPr>
              <w:t xml:space="preserve"> </w:t>
            </w:r>
            <w:r>
              <w:rPr>
                <w:color w:val="000000"/>
                <w:sz w:val="22"/>
                <w:szCs w:val="22"/>
                <w:lang w:val="en-US"/>
              </w:rPr>
              <w:t>DRYUMA, V</w:t>
            </w:r>
            <w:r>
              <w:rPr>
                <w:sz w:val="22"/>
                <w:szCs w:val="22"/>
                <w:lang w:val="en-US"/>
              </w:rPr>
              <w:t>. Limit cycles and Attractors in  flows of incompressible fluid, In: Abstracts</w:t>
            </w:r>
            <w:r>
              <w:rPr>
                <w:i/>
                <w:sz w:val="22"/>
                <w:szCs w:val="22"/>
                <w:lang w:val="en-US"/>
              </w:rPr>
              <w:t xml:space="preserve"> of the International Conference on  Differential Equations and Dynamical Systems</w:t>
            </w:r>
            <w:r>
              <w:rPr>
                <w:sz w:val="22"/>
                <w:szCs w:val="22"/>
                <w:lang w:val="en-US"/>
              </w:rPr>
              <w:t>, Russia, Suzdal, 8-12  July,2016, 250-251.</w:t>
            </w:r>
          </w:p>
          <w:p>
            <w:pPr>
              <w:pStyle w:val="Normal"/>
              <w:widowControl/>
              <w:numPr>
                <w:ilvl w:val="0"/>
                <w:numId w:val="61"/>
              </w:numPr>
              <w:bidi w:val="0"/>
              <w:ind w:left="927" w:right="0" w:hanging="360"/>
              <w:jc w:val="both"/>
              <w:textAlignment w:val="auto"/>
              <w:rPr/>
            </w:pPr>
            <w:r>
              <w:rPr>
                <w:sz w:val="22"/>
                <w:szCs w:val="22"/>
                <w:lang w:val="en-US"/>
              </w:rPr>
              <w:t xml:space="preserve">DRYUMA, V.  On integration of the equations of flows of   incompressible liquids, In: Abstracts of the </w:t>
            </w:r>
            <w:r>
              <w:rPr>
                <w:i/>
                <w:sz w:val="22"/>
                <w:szCs w:val="22"/>
                <w:lang w:val="en-US"/>
              </w:rPr>
              <w:t xml:space="preserve">International Conference “Quasilinear equations, inverse problems and their applications”, </w:t>
            </w:r>
            <w:r>
              <w:rPr>
                <w:sz w:val="22"/>
                <w:szCs w:val="22"/>
                <w:lang w:val="en-US"/>
              </w:rPr>
              <w:t xml:space="preserve">The Eurasian Association on Inverse Problems (EAIP),  Moscow Institute of Physics and Technology,Dolgoprudny,12-15Sept.2016,1-3.Slides : </w:t>
            </w:r>
            <w:hyperlink r:id="rId10">
              <w:r>
                <w:rPr>
                  <w:webHidden/>
                  <w:rStyle w:val="Style5"/>
                  <w:color w:val="0000FF"/>
                  <w:sz w:val="22"/>
                  <w:szCs w:val="22"/>
                  <w:u w:val="single"/>
                  <w:lang w:val="en-US"/>
                </w:rPr>
                <w:t>http://www.cmap.polytechnique.fr/~novikov/miptip16/index.htm</w:t>
              </w:r>
            </w:hyperlink>
          </w:p>
          <w:p>
            <w:pPr>
              <w:pStyle w:val="Normal"/>
              <w:widowControl/>
              <w:numPr>
                <w:ilvl w:val="0"/>
                <w:numId w:val="61"/>
              </w:numPr>
              <w:bidi w:val="0"/>
              <w:ind w:left="927" w:right="0" w:hanging="360"/>
              <w:jc w:val="both"/>
              <w:textAlignment w:val="auto"/>
              <w:rPr>
                <w:lang w:val="en-US"/>
              </w:rPr>
            </w:pPr>
            <w:r>
              <w:rPr>
                <w:color w:val="000000"/>
                <w:sz w:val="22"/>
                <w:szCs w:val="22"/>
                <w:lang w:val="en-US"/>
              </w:rPr>
              <w:t>DRYUMA</w:t>
            </w:r>
            <w:r>
              <w:rPr>
                <w:color w:val="000000"/>
                <w:sz w:val="22"/>
                <w:szCs w:val="22"/>
              </w:rPr>
              <w:t xml:space="preserve">, </w:t>
            </w:r>
            <w:r>
              <w:rPr>
                <w:color w:val="000000"/>
                <w:sz w:val="22"/>
                <w:szCs w:val="22"/>
                <w:lang w:val="en-US"/>
              </w:rPr>
              <w:t>V</w:t>
            </w:r>
            <w:r>
              <w:rPr>
                <w:color w:val="000000"/>
                <w:sz w:val="22"/>
                <w:szCs w:val="22"/>
              </w:rPr>
              <w:t>.</w:t>
            </w:r>
            <w:r>
              <w:rPr>
                <w:sz w:val="22"/>
                <w:szCs w:val="22"/>
              </w:rPr>
              <w:t xml:space="preserve"> О локализованных решениях уравнений течения жидкости “. </w:t>
            </w:r>
            <w:r>
              <w:rPr>
                <w:i/>
                <w:sz w:val="22"/>
                <w:szCs w:val="22"/>
              </w:rPr>
              <w:t>Юбилейная XXV научная сессии Совета по нелинейной динамике  Института океанологии им. П.П. Ширшова</w:t>
            </w:r>
            <w:r>
              <w:rPr>
                <w:sz w:val="22"/>
                <w:szCs w:val="22"/>
              </w:rPr>
              <w:t>, РАН, г. Москва, 19-20  декабря 2016 г.   Тезисы докладов, 3 стр.</w:t>
            </w:r>
          </w:p>
          <w:p>
            <w:pPr>
              <w:pStyle w:val="Normal"/>
              <w:widowControl/>
              <w:numPr>
                <w:ilvl w:val="0"/>
                <w:numId w:val="61"/>
              </w:numPr>
              <w:bidi w:val="0"/>
              <w:ind w:left="927" w:right="0" w:hanging="360"/>
              <w:jc w:val="both"/>
              <w:textAlignment w:val="auto"/>
              <w:rPr>
                <w:lang w:val="en-US"/>
              </w:rPr>
            </w:pPr>
            <w:r>
              <w:rPr>
                <w:color w:val="000000"/>
                <w:sz w:val="22"/>
                <w:szCs w:val="22"/>
                <w:lang w:val="en-US"/>
              </w:rPr>
              <w:t>DRYUMA</w:t>
            </w:r>
            <w:r>
              <w:rPr>
                <w:color w:val="000000"/>
                <w:sz w:val="22"/>
                <w:szCs w:val="22"/>
              </w:rPr>
              <w:t xml:space="preserve">, </w:t>
            </w:r>
            <w:r>
              <w:rPr>
                <w:color w:val="000000"/>
                <w:sz w:val="22"/>
                <w:szCs w:val="22"/>
                <w:lang w:val="en-US"/>
              </w:rPr>
              <w:t>V</w:t>
            </w:r>
            <w:r>
              <w:rPr>
                <w:color w:val="000000"/>
                <w:sz w:val="22"/>
                <w:szCs w:val="22"/>
              </w:rPr>
              <w:t>.</w:t>
            </w:r>
            <w:r>
              <w:rPr>
                <w:sz w:val="22"/>
                <w:szCs w:val="22"/>
              </w:rPr>
              <w:t xml:space="preserve"> О решениях уравнений течения жидкости, </w:t>
            </w:r>
            <w:r>
              <w:rPr>
                <w:i/>
                <w:sz w:val="22"/>
                <w:szCs w:val="22"/>
              </w:rPr>
              <w:t>Международная конференция «Системы Аносова и современная динамика»</w:t>
            </w:r>
            <w:r>
              <w:rPr>
                <w:sz w:val="22"/>
                <w:szCs w:val="22"/>
              </w:rPr>
              <w:t xml:space="preserve">, посвященная 80-летию со дня рождения Дмитрия Викторовича Аносова, г. Москва, Россия, 19–23 декабря 2016 г. ,МИ РАН им.  Стеклова,   Тезисы докладов   </w:t>
            </w:r>
            <w:r>
              <w:rPr>
                <w:sz w:val="22"/>
                <w:szCs w:val="22"/>
                <w:lang w:val="en-US"/>
              </w:rPr>
              <w:t>p</w:t>
            </w:r>
            <w:r>
              <w:rPr>
                <w:sz w:val="22"/>
                <w:szCs w:val="22"/>
              </w:rPr>
              <w:t>.1-3.</w:t>
            </w:r>
          </w:p>
          <w:p>
            <w:pPr>
              <w:pStyle w:val="Normal"/>
              <w:widowControl/>
              <w:numPr>
                <w:ilvl w:val="0"/>
                <w:numId w:val="61"/>
              </w:numPr>
              <w:bidi w:val="0"/>
              <w:ind w:left="927" w:right="0" w:hanging="360"/>
              <w:jc w:val="both"/>
              <w:textAlignment w:val="auto"/>
              <w:rPr/>
            </w:pPr>
            <w:r>
              <w:rPr>
                <w:sz w:val="22"/>
                <w:szCs w:val="22"/>
                <w:lang w:val="en-US"/>
              </w:rPr>
              <w:t xml:space="preserve"> </w:t>
            </w:r>
            <w:r>
              <w:rPr>
                <w:sz w:val="22"/>
                <w:szCs w:val="22"/>
                <w:lang w:val="en-US"/>
              </w:rPr>
              <w:t xml:space="preserve">NEAGU, N.; COZMA, D.;  POPA, M. </w:t>
            </w:r>
            <w:r>
              <w:rPr>
                <w:sz w:val="22"/>
                <w:szCs w:val="22"/>
                <w:lang w:val="en-US" w:eastAsia="en-US"/>
              </w:rPr>
              <w:t xml:space="preserve">Centro-affin invariants and stability of unperturbed motion in ternary polynomial differential systems, </w:t>
            </w:r>
            <w:r>
              <w:rPr>
                <w:i/>
                <w:sz w:val="22"/>
                <w:szCs w:val="22"/>
                <w:lang w:val="en-US" w:eastAsia="en-US"/>
              </w:rPr>
              <w:t>The International Scientific Conference Differential-Functional Equations and their Application</w:t>
            </w:r>
            <w:r>
              <w:rPr>
                <w:sz w:val="22"/>
                <w:szCs w:val="22"/>
                <w:lang w:val="en-US" w:eastAsia="en-US"/>
              </w:rPr>
              <w:t>, September 28-30, 2016, Chernivtsi, Ukraine, p. 124-125.</w:t>
            </w:r>
          </w:p>
          <w:p>
            <w:pPr>
              <w:pStyle w:val="Normal"/>
              <w:widowControl/>
              <w:numPr>
                <w:ilvl w:val="0"/>
                <w:numId w:val="61"/>
              </w:numPr>
              <w:bidi w:val="0"/>
              <w:ind w:left="927" w:right="0" w:hanging="360"/>
              <w:jc w:val="both"/>
              <w:textAlignment w:val="auto"/>
              <w:rPr/>
            </w:pPr>
            <w:r>
              <w:rPr>
                <w:sz w:val="22"/>
                <w:szCs w:val="22"/>
                <w:lang w:val="en-US"/>
              </w:rPr>
              <w:t xml:space="preserve"> </w:t>
            </w:r>
            <w:r>
              <w:rPr>
                <w:sz w:val="22"/>
                <w:szCs w:val="22"/>
                <w:lang w:val="en-US"/>
              </w:rPr>
              <w:t xml:space="preserve">NEAGU, N.; POPA, M. Lie algebras of ternary differential systems with quadratic nonlinearities of the Darboux form and applications. </w:t>
            </w:r>
            <w:r>
              <w:rPr>
                <w:i/>
                <w:sz w:val="22"/>
                <w:szCs w:val="22"/>
                <w:lang w:val="en-US"/>
              </w:rPr>
              <w:t xml:space="preserve">International Conference "MITRE-2016", </w:t>
            </w:r>
            <w:r>
              <w:rPr>
                <w:rFonts w:cs="Times New Roman CE" w:ascii="Times New Roman CE" w:hAnsi="Times New Roman CE"/>
                <w:sz w:val="22"/>
                <w:szCs w:val="22"/>
                <w:lang w:val="en-US"/>
              </w:rPr>
              <w:t xml:space="preserve">Chişinău, June 23-25, 2016, 46-47. </w:t>
            </w:r>
          </w:p>
          <w:p>
            <w:pPr>
              <w:pStyle w:val="Normal"/>
              <w:widowControl/>
              <w:numPr>
                <w:ilvl w:val="0"/>
                <w:numId w:val="61"/>
              </w:numPr>
              <w:bidi w:val="0"/>
              <w:ind w:left="927" w:right="0" w:hanging="360"/>
              <w:jc w:val="both"/>
              <w:textAlignment w:val="auto"/>
              <w:rPr>
                <w:lang w:val="en-US"/>
              </w:rPr>
            </w:pPr>
            <w:r>
              <w:rPr>
                <w:sz w:val="22"/>
                <w:szCs w:val="22"/>
                <w:lang w:val="en-US"/>
              </w:rPr>
              <w:t xml:space="preserve"> </w:t>
            </w:r>
            <w:r>
              <w:rPr>
                <w:sz w:val="22"/>
                <w:szCs w:val="22"/>
                <w:lang w:val="en-US"/>
              </w:rPr>
              <w:t xml:space="preserve">ORLOV, V.; POPA, M. Canonical forms of the four-dimensional Lyapunov-Darboux differential system with quadratic nonlinearities. </w:t>
            </w:r>
            <w:r>
              <w:rPr>
                <w:i/>
                <w:sz w:val="22"/>
                <w:szCs w:val="22"/>
                <w:lang w:val="en-US"/>
              </w:rPr>
              <w:t>InternationalConference "MITRE-2016",</w:t>
            </w:r>
            <w:r>
              <w:rPr>
                <w:rFonts w:cs="Times New Roman CE" w:ascii="Times New Roman CE" w:hAnsi="Times New Roman CE"/>
                <w:sz w:val="22"/>
                <w:szCs w:val="22"/>
                <w:lang w:val="en-US"/>
              </w:rPr>
              <w:t>Chişinău</w:t>
            </w:r>
            <w:r>
              <w:rPr>
                <w:sz w:val="22"/>
                <w:szCs w:val="22"/>
                <w:lang w:val="en-US"/>
              </w:rPr>
              <w:t>, June 23-25, 2016, 49-50.</w:t>
            </w:r>
          </w:p>
          <w:p>
            <w:pPr>
              <w:pStyle w:val="Normal"/>
              <w:widowControl/>
              <w:numPr>
                <w:ilvl w:val="0"/>
                <w:numId w:val="61"/>
              </w:numPr>
              <w:bidi w:val="0"/>
              <w:ind w:left="927" w:right="0" w:hanging="360"/>
              <w:jc w:val="both"/>
              <w:textAlignment w:val="auto"/>
              <w:rPr/>
            </w:pPr>
            <w:r>
              <w:rPr>
                <w:sz w:val="22"/>
                <w:szCs w:val="22"/>
                <w:lang w:val="en-US"/>
              </w:rPr>
              <w:t xml:space="preserve"> </w:t>
            </w:r>
            <w:r>
              <w:rPr>
                <w:sz w:val="22"/>
                <w:szCs w:val="22"/>
                <w:lang w:val="en-US"/>
              </w:rPr>
              <w:t xml:space="preserve">ORLOV, V.; POPA, M. Invariant conditions for the stability of the unperturbed motion for the four-dimensional nonlinear polynomial differential system. </w:t>
            </w:r>
            <w:r>
              <w:rPr>
                <w:i/>
                <w:sz w:val="22"/>
                <w:szCs w:val="22"/>
                <w:lang w:val="en-US"/>
              </w:rPr>
              <w:t>The 24</w:t>
            </w:r>
            <w:r>
              <w:rPr>
                <w:i/>
                <w:sz w:val="22"/>
                <w:szCs w:val="22"/>
                <w:vertAlign w:val="superscript"/>
                <w:lang w:val="en-US"/>
              </w:rPr>
              <w:t>th</w:t>
            </w:r>
            <w:r>
              <w:rPr>
                <w:i/>
                <w:sz w:val="22"/>
                <w:szCs w:val="22"/>
                <w:lang w:val="en-US"/>
              </w:rPr>
              <w:t xml:space="preserve"> conference on Applied and Industrial Mathematics"CAIM-2016",</w:t>
            </w:r>
            <w:r>
              <w:rPr>
                <w:sz w:val="22"/>
                <w:szCs w:val="22"/>
                <w:lang w:val="en-US"/>
              </w:rPr>
              <w:t xml:space="preserve"> Craiova, September 15-18, 2016, 38-39.</w:t>
            </w:r>
          </w:p>
          <w:p>
            <w:pPr>
              <w:pStyle w:val="Normal"/>
              <w:widowControl/>
              <w:numPr>
                <w:ilvl w:val="0"/>
                <w:numId w:val="61"/>
              </w:numPr>
              <w:bidi w:val="0"/>
              <w:ind w:left="927" w:right="0" w:hanging="360"/>
              <w:jc w:val="both"/>
              <w:textAlignment w:val="auto"/>
              <w:rPr/>
            </w:pPr>
            <w:r>
              <w:rPr>
                <w:sz w:val="22"/>
                <w:szCs w:val="22"/>
                <w:lang w:val="en-US"/>
              </w:rPr>
              <w:t xml:space="preserve"> </w:t>
            </w:r>
            <w:r>
              <w:rPr>
                <w:sz w:val="22"/>
                <w:szCs w:val="22"/>
                <w:lang w:val="en-US"/>
              </w:rPr>
              <w:t xml:space="preserve">PORT, S.; PRICOP, V.; TRIFAN, V. The mathematical model of emotion impact. </w:t>
            </w:r>
            <w:r>
              <w:rPr>
                <w:i/>
                <w:sz w:val="22"/>
                <w:szCs w:val="22"/>
                <w:lang w:val="en-US"/>
              </w:rPr>
              <w:t>International Conference "MITRE-2016",</w:t>
            </w:r>
            <w:r>
              <w:rPr>
                <w:rFonts w:cs="Times New Roman CE" w:ascii="Times New Roman CE" w:hAnsi="Times New Roman CE"/>
                <w:sz w:val="22"/>
                <w:szCs w:val="22"/>
                <w:lang w:val="en-US"/>
              </w:rPr>
              <w:t>Chişinău, June 23-25, 2016, 55-56.</w:t>
            </w:r>
          </w:p>
          <w:p>
            <w:pPr>
              <w:pStyle w:val="Normal"/>
              <w:widowControl/>
              <w:numPr>
                <w:ilvl w:val="0"/>
                <w:numId w:val="61"/>
              </w:numPr>
              <w:bidi w:val="0"/>
              <w:ind w:left="927" w:right="0" w:hanging="360"/>
              <w:jc w:val="left"/>
              <w:textAlignment w:val="auto"/>
              <w:rPr>
                <w:lang w:val="en-US"/>
              </w:rPr>
            </w:pPr>
            <w:r>
              <w:rPr>
                <w:sz w:val="22"/>
                <w:szCs w:val="22"/>
                <w:lang w:val="en-US"/>
              </w:rPr>
              <w:t xml:space="preserve"> </w:t>
            </w:r>
            <w:r>
              <w:rPr>
                <w:sz w:val="22"/>
                <w:szCs w:val="22"/>
                <w:lang w:val="en-US"/>
              </w:rPr>
              <w:t xml:space="preserve">PRICOP, V. The differential system s(1,3,5) and corresponding common Hilbert series. </w:t>
            </w:r>
            <w:r>
              <w:rPr>
                <w:i/>
                <w:sz w:val="22"/>
                <w:szCs w:val="22"/>
                <w:lang w:val="en-US"/>
              </w:rPr>
              <w:t xml:space="preserve">International Conference "MITRE-2016", </w:t>
            </w:r>
            <w:r>
              <w:rPr>
                <w:sz w:val="22"/>
                <w:szCs w:val="22"/>
                <w:lang w:val="en-US"/>
              </w:rPr>
              <w:t>Chisinau, June 23-25, 2016, 57-58.</w:t>
            </w:r>
          </w:p>
          <w:p>
            <w:pPr>
              <w:pStyle w:val="Normal"/>
              <w:widowControl/>
              <w:numPr>
                <w:ilvl w:val="0"/>
                <w:numId w:val="61"/>
              </w:numPr>
              <w:bidi w:val="0"/>
              <w:ind w:left="927" w:right="0" w:hanging="360"/>
              <w:jc w:val="left"/>
              <w:textAlignment w:val="auto"/>
              <w:rPr>
                <w:lang w:val="ro-RO"/>
              </w:rPr>
            </w:pPr>
            <w:r>
              <w:rPr>
                <w:sz w:val="22"/>
                <w:szCs w:val="22"/>
                <w:lang w:val="ro-RO"/>
              </w:rPr>
              <w:t xml:space="preserve"> </w:t>
            </w:r>
            <w:r>
              <w:rPr>
                <w:sz w:val="22"/>
                <w:szCs w:val="22"/>
                <w:lang w:val="ro-RO"/>
              </w:rPr>
              <w:t xml:space="preserve">PRICOP, V. </w:t>
            </w:r>
            <w:r>
              <w:rPr>
                <w:sz w:val="22"/>
                <w:szCs w:val="22"/>
                <w:lang w:val="ro-MD"/>
              </w:rPr>
              <w:t xml:space="preserve">The common Hilbert series of thedifferentialsystem s(1,3,7) andtheKrulldimensions of Sibirskyalgebras, </w:t>
            </w:r>
            <w:r>
              <w:rPr>
                <w:i/>
                <w:sz w:val="22"/>
                <w:szCs w:val="22"/>
                <w:lang w:val="en-US"/>
              </w:rPr>
              <w:t>The 24</w:t>
            </w:r>
            <w:r>
              <w:rPr>
                <w:i/>
                <w:sz w:val="22"/>
                <w:szCs w:val="22"/>
                <w:vertAlign w:val="superscript"/>
                <w:lang w:val="en-US"/>
              </w:rPr>
              <w:t>th</w:t>
            </w:r>
            <w:r>
              <w:rPr>
                <w:i/>
                <w:sz w:val="22"/>
                <w:szCs w:val="22"/>
                <w:lang w:val="en-US"/>
              </w:rPr>
              <w:t xml:space="preserve"> conference on Applied and Industrial Mathematics"CAIM-2016",</w:t>
            </w:r>
            <w:r>
              <w:rPr>
                <w:sz w:val="22"/>
                <w:szCs w:val="22"/>
                <w:lang w:val="en-US"/>
              </w:rPr>
              <w:t xml:space="preserve"> Craiova, September 15-18, 2016, </w:t>
            </w:r>
            <w:r>
              <w:rPr>
                <w:sz w:val="22"/>
                <w:szCs w:val="22"/>
                <w:lang w:val="ro-MD"/>
              </w:rPr>
              <w:t xml:space="preserve">Book of Abstracts, pp. 39-40. </w:t>
            </w:r>
          </w:p>
          <w:p>
            <w:pPr>
              <w:pStyle w:val="Normal"/>
              <w:widowControl/>
              <w:numPr>
                <w:ilvl w:val="0"/>
                <w:numId w:val="61"/>
              </w:numPr>
              <w:bidi w:val="0"/>
              <w:ind w:left="927" w:right="0" w:hanging="360"/>
              <w:jc w:val="both"/>
              <w:textAlignment w:val="auto"/>
              <w:rPr/>
            </w:pPr>
            <w:r>
              <w:rPr>
                <w:sz w:val="22"/>
                <w:szCs w:val="22"/>
              </w:rPr>
              <w:t>РУДЕНОК</w:t>
            </w:r>
            <w:r>
              <w:rPr>
                <w:sz w:val="22"/>
                <w:szCs w:val="22"/>
                <w:lang w:val="en-US"/>
              </w:rPr>
              <w:t xml:space="preserve">, </w:t>
            </w:r>
            <w:r>
              <w:rPr>
                <w:sz w:val="22"/>
                <w:szCs w:val="22"/>
              </w:rPr>
              <w:t>А</w:t>
            </w:r>
            <w:r>
              <w:rPr>
                <w:sz w:val="22"/>
                <w:szCs w:val="22"/>
                <w:lang w:val="en-US"/>
              </w:rPr>
              <w:t>.</w:t>
            </w:r>
            <w:r>
              <w:rPr>
                <w:sz w:val="22"/>
                <w:szCs w:val="22"/>
              </w:rPr>
              <w:t>Е</w:t>
            </w:r>
            <w:r>
              <w:rPr>
                <w:sz w:val="22"/>
                <w:szCs w:val="22"/>
                <w:lang w:val="en-US"/>
              </w:rPr>
              <w:t xml:space="preserve">.; </w:t>
            </w:r>
            <w:r>
              <w:rPr>
                <w:sz w:val="22"/>
                <w:szCs w:val="22"/>
              </w:rPr>
              <w:t>ШУБЭ</w:t>
            </w:r>
            <w:r>
              <w:rPr>
                <w:sz w:val="22"/>
                <w:szCs w:val="22"/>
                <w:lang w:val="en-US"/>
              </w:rPr>
              <w:t xml:space="preserve">, </w:t>
            </w:r>
            <w:r>
              <w:rPr>
                <w:sz w:val="22"/>
                <w:szCs w:val="22"/>
              </w:rPr>
              <w:t>А</w:t>
            </w:r>
            <w:r>
              <w:rPr>
                <w:sz w:val="22"/>
                <w:szCs w:val="22"/>
                <w:lang w:val="en-US"/>
              </w:rPr>
              <w:t>.</w:t>
            </w:r>
            <w:r>
              <w:rPr>
                <w:sz w:val="22"/>
                <w:szCs w:val="22"/>
              </w:rPr>
              <w:t>С</w:t>
            </w:r>
            <w:r>
              <w:rPr>
                <w:sz w:val="22"/>
                <w:szCs w:val="22"/>
                <w:lang w:val="en-US"/>
              </w:rPr>
              <w:t xml:space="preserve">. </w:t>
            </w:r>
            <w:r>
              <w:rPr>
                <w:sz w:val="22"/>
                <w:szCs w:val="22"/>
              </w:rPr>
              <w:t>Базис</w:t>
            </w:r>
            <w:r>
              <w:rPr>
                <w:sz w:val="22"/>
                <w:szCs w:val="22"/>
                <w:lang w:val="en-US"/>
              </w:rPr>
              <w:t xml:space="preserve"> </w:t>
            </w:r>
            <w:r>
              <w:rPr>
                <w:sz w:val="22"/>
                <w:szCs w:val="22"/>
              </w:rPr>
              <w:t>Гребнера</w:t>
            </w:r>
            <w:r>
              <w:rPr>
                <w:sz w:val="22"/>
                <w:szCs w:val="22"/>
                <w:lang w:val="en-US"/>
              </w:rPr>
              <w:t xml:space="preserve"> </w:t>
            </w:r>
            <w:r>
              <w:rPr>
                <w:sz w:val="22"/>
                <w:szCs w:val="22"/>
              </w:rPr>
              <w:t>идеала</w:t>
            </w:r>
            <w:r>
              <w:rPr>
                <w:sz w:val="22"/>
                <w:szCs w:val="22"/>
                <w:lang w:val="en-US"/>
              </w:rPr>
              <w:t xml:space="preserve"> </w:t>
            </w:r>
            <w:r>
              <w:rPr>
                <w:sz w:val="22"/>
                <w:szCs w:val="22"/>
              </w:rPr>
              <w:t>ляпуновскихвеличин</w:t>
            </w:r>
            <w:r>
              <w:rPr>
                <w:sz w:val="22"/>
                <w:szCs w:val="22"/>
                <w:lang w:val="en-US"/>
              </w:rPr>
              <w:t xml:space="preserve"> </w:t>
            </w:r>
            <w:r>
              <w:rPr>
                <w:sz w:val="22"/>
                <w:szCs w:val="22"/>
                <w:lang w:val="ro-RO"/>
              </w:rPr>
              <w:t>c</w:t>
            </w:r>
            <w:r>
              <w:rPr>
                <w:sz w:val="22"/>
                <w:szCs w:val="22"/>
              </w:rPr>
              <w:t>истемыКуклеса</w:t>
            </w:r>
            <w:r>
              <w:rPr>
                <w:sz w:val="22"/>
                <w:szCs w:val="22"/>
                <w:lang w:val="en-US"/>
              </w:rPr>
              <w:t>. </w:t>
            </w:r>
            <w:r>
              <w:rPr>
                <w:i/>
                <w:sz w:val="22"/>
                <w:szCs w:val="22"/>
              </w:rPr>
              <w:t>Шестые Богдановские чтения по обыкновенным дифференциальным уравнениям.</w:t>
            </w:r>
            <w:r>
              <w:rPr>
                <w:sz w:val="22"/>
                <w:szCs w:val="22"/>
              </w:rPr>
              <w:t xml:space="preserve"> Международная математическая конференция. Минск, 7-10 декабря 2015. Материалы конференции. Часть I. С. 86-87.</w:t>
            </w:r>
          </w:p>
          <w:p>
            <w:pPr>
              <w:pStyle w:val="Normal"/>
              <w:widowControl/>
              <w:numPr>
                <w:ilvl w:val="0"/>
                <w:numId w:val="61"/>
              </w:numPr>
              <w:bidi w:val="0"/>
              <w:ind w:left="927" w:right="0" w:hanging="360"/>
              <w:jc w:val="both"/>
              <w:textAlignment w:val="auto"/>
              <w:rPr>
                <w:lang w:val="en-US"/>
              </w:rPr>
            </w:pPr>
            <w:r>
              <w:rPr>
                <w:sz w:val="22"/>
                <w:szCs w:val="22"/>
                <w:lang w:val="en-US" w:eastAsia="en-US"/>
              </w:rPr>
              <w:t xml:space="preserve"> </w:t>
            </w:r>
            <w:r>
              <w:rPr>
                <w:sz w:val="22"/>
                <w:szCs w:val="22"/>
                <w:lang w:val="en-US" w:eastAsia="en-US"/>
              </w:rPr>
              <w:t>ROUDENOK, A.E.;</w:t>
            </w:r>
            <w:r>
              <w:rPr>
                <w:rFonts w:cs="Times New Roman CE" w:ascii="Times New Roman CE" w:hAnsi="Times New Roman CE"/>
                <w:sz w:val="22"/>
                <w:szCs w:val="22"/>
                <w:lang w:val="en-US" w:eastAsia="en-US"/>
              </w:rPr>
              <w:t xml:space="preserve"> ŞUBĂ</w:t>
            </w:r>
            <w:r>
              <w:rPr>
                <w:sz w:val="22"/>
                <w:szCs w:val="22"/>
                <w:lang w:val="en-US" w:eastAsia="en-US"/>
              </w:rPr>
              <w:t xml:space="preserve">, A.S., </w:t>
            </w:r>
            <w:r>
              <w:rPr>
                <w:sz w:val="22"/>
                <w:szCs w:val="22"/>
                <w:lang w:val="ro-RO"/>
              </w:rPr>
              <w:t xml:space="preserve">Center conditions for non-linear differentialsystems, </w:t>
            </w:r>
            <w:r>
              <w:rPr>
                <w:i/>
                <w:sz w:val="22"/>
                <w:szCs w:val="22"/>
                <w:lang w:val="en-US" w:eastAsia="en-US"/>
              </w:rPr>
              <w:t>The International Scientific Conference Differential-Functional Equations and their Application</w:t>
            </w:r>
            <w:r>
              <w:rPr>
                <w:sz w:val="22"/>
                <w:szCs w:val="22"/>
                <w:lang w:val="en-US" w:eastAsia="en-US"/>
              </w:rPr>
              <w:t>, September 28-30, 2016, Chernivtsi, Ukraine, 130-131.</w:t>
            </w:r>
          </w:p>
          <w:p>
            <w:pPr>
              <w:pStyle w:val="Normal"/>
              <w:widowControl/>
              <w:numPr>
                <w:ilvl w:val="0"/>
                <w:numId w:val="61"/>
              </w:numPr>
              <w:bidi w:val="0"/>
              <w:ind w:left="927" w:right="0" w:hanging="360"/>
              <w:jc w:val="left"/>
              <w:textAlignment w:val="auto"/>
              <w:rPr>
                <w:lang w:val="en-US"/>
              </w:rPr>
            </w:pPr>
            <w:r>
              <w:rPr>
                <w:rFonts w:cs="Cambria Math" w:ascii="Cambria Math" w:hAnsi="Cambria Math"/>
                <w:sz w:val="22"/>
                <w:szCs w:val="22"/>
                <w:lang w:val="en-US"/>
              </w:rPr>
              <w:t xml:space="preserve"> </w:t>
            </w:r>
            <w:r>
              <w:rPr>
                <w:rFonts w:cs="Cambria Math" w:ascii="Cambria Math" w:hAnsi="Cambria Math"/>
                <w:sz w:val="22"/>
                <w:szCs w:val="22"/>
                <w:lang w:val="en-US"/>
              </w:rPr>
              <w:t>Ș</w:t>
            </w:r>
            <w:r>
              <w:rPr>
                <w:rFonts w:cs="Times New Roman CE" w:ascii="Times New Roman CE" w:hAnsi="Times New Roman CE"/>
                <w:sz w:val="22"/>
                <w:szCs w:val="22"/>
                <w:lang w:val="en-US"/>
              </w:rPr>
              <w:t>UBĂ, A.</w:t>
            </w:r>
            <w:r>
              <w:rPr>
                <w:sz w:val="22"/>
                <w:szCs w:val="22"/>
                <w:lang w:val="en-US"/>
              </w:rPr>
              <w:t xml:space="preserve">; TURUTA, S. Integrability of Lotka-Volterra cubic systems with (1:-2)-singularity having six invariant straight lines of two directions. </w:t>
            </w:r>
            <w:r>
              <w:rPr>
                <w:i/>
                <w:sz w:val="22"/>
                <w:szCs w:val="22"/>
                <w:lang w:val="en-US"/>
              </w:rPr>
              <w:t xml:space="preserve">International Conference "MITRE-2016", </w:t>
            </w:r>
            <w:r>
              <w:rPr>
                <w:rFonts w:cs="Times New Roman CE" w:ascii="Times New Roman CE" w:hAnsi="Times New Roman CE"/>
                <w:sz w:val="22"/>
                <w:szCs w:val="22"/>
                <w:lang w:val="en-US"/>
              </w:rPr>
              <w:t xml:space="preserve">Chişinău, June 23-25, 2016, 65-66.  </w:t>
            </w:r>
          </w:p>
          <w:p>
            <w:pPr>
              <w:pStyle w:val="Normal"/>
              <w:widowControl/>
              <w:numPr>
                <w:ilvl w:val="0"/>
                <w:numId w:val="61"/>
              </w:numPr>
              <w:bidi w:val="0"/>
              <w:ind w:left="927" w:right="0" w:hanging="360"/>
              <w:jc w:val="both"/>
              <w:textAlignment w:val="auto"/>
              <w:rPr>
                <w:lang w:val="en-US"/>
              </w:rPr>
            </w:pPr>
            <w:r>
              <w:rPr>
                <w:rFonts w:cs="Times New Roman CE" w:ascii="Times New Roman CE" w:hAnsi="Times New Roman CE"/>
                <w:sz w:val="22"/>
                <w:szCs w:val="22"/>
                <w:lang w:val="en-US" w:eastAsia="en-US"/>
              </w:rPr>
              <w:t xml:space="preserve"> </w:t>
            </w:r>
            <w:r>
              <w:rPr>
                <w:rFonts w:cs="Times New Roman CE" w:ascii="Times New Roman CE" w:hAnsi="Times New Roman CE"/>
                <w:sz w:val="22"/>
                <w:szCs w:val="22"/>
                <w:lang w:val="en-US" w:eastAsia="en-US"/>
              </w:rPr>
              <w:t>ŞUBĂ</w:t>
            </w:r>
            <w:r>
              <w:rPr>
                <w:sz w:val="22"/>
                <w:szCs w:val="22"/>
                <w:lang w:val="en-US" w:eastAsia="en-US"/>
              </w:rPr>
              <w:t>, A.;</w:t>
            </w:r>
            <w:r>
              <w:rPr>
                <w:rFonts w:cs="Times New Roman CE" w:ascii="Times New Roman CE" w:hAnsi="Times New Roman CE"/>
                <w:sz w:val="22"/>
                <w:szCs w:val="22"/>
                <w:lang w:val="en-US" w:eastAsia="en-US"/>
              </w:rPr>
              <w:t xml:space="preserve"> VACARAŞ</w:t>
            </w:r>
            <w:r>
              <w:rPr>
                <w:sz w:val="22"/>
                <w:szCs w:val="22"/>
                <w:lang w:val="en-US" w:eastAsia="en-US"/>
              </w:rPr>
              <w:t xml:space="preserve">, O., Cubic differential systems with two parallel complex invariant straight lines of multiplicity m(2;2;3), </w:t>
            </w:r>
            <w:r>
              <w:rPr>
                <w:i/>
                <w:sz w:val="22"/>
                <w:szCs w:val="22"/>
                <w:lang w:val="en-US" w:eastAsia="en-US"/>
              </w:rPr>
              <w:t>The 24</w:t>
            </w:r>
            <w:r>
              <w:rPr>
                <w:i/>
                <w:sz w:val="22"/>
                <w:szCs w:val="22"/>
                <w:vertAlign w:val="superscript"/>
                <w:lang w:val="en-US" w:eastAsia="en-US"/>
              </w:rPr>
              <w:t>th</w:t>
            </w:r>
            <w:r>
              <w:rPr>
                <w:i/>
                <w:sz w:val="22"/>
                <w:szCs w:val="22"/>
                <w:lang w:val="en-US" w:eastAsia="en-US"/>
              </w:rPr>
              <w:t xml:space="preserve"> Conference on Applied and Industrial Mathematics (CAIM-2016),</w:t>
            </w:r>
            <w:r>
              <w:rPr>
                <w:sz w:val="22"/>
                <w:szCs w:val="22"/>
                <w:lang w:val="en-US" w:eastAsia="en-US"/>
              </w:rPr>
              <w:t xml:space="preserve"> September 15-18, 2016, Craiova, România, 42-43.</w:t>
            </w:r>
          </w:p>
          <w:p>
            <w:pPr>
              <w:pStyle w:val="Normal"/>
              <w:widowControl/>
              <w:numPr>
                <w:ilvl w:val="0"/>
                <w:numId w:val="61"/>
              </w:numPr>
              <w:bidi w:val="0"/>
              <w:ind w:left="927" w:right="0" w:hanging="360"/>
              <w:jc w:val="both"/>
              <w:textAlignment w:val="auto"/>
              <w:rPr>
                <w:lang w:val="en-US"/>
              </w:rPr>
            </w:pPr>
            <w:r>
              <w:rPr>
                <w:rFonts w:cs="Times New Roman CE" w:ascii="Times New Roman CE" w:hAnsi="Times New Roman CE"/>
                <w:sz w:val="22"/>
                <w:szCs w:val="22"/>
                <w:lang w:val="en-US" w:eastAsia="en-US"/>
              </w:rPr>
              <w:t xml:space="preserve"> </w:t>
            </w:r>
            <w:r>
              <w:rPr>
                <w:rFonts w:cs="Times New Roman CE" w:ascii="Times New Roman CE" w:hAnsi="Times New Roman CE"/>
                <w:sz w:val="22"/>
                <w:szCs w:val="22"/>
                <w:lang w:val="en-US" w:eastAsia="en-US"/>
              </w:rPr>
              <w:t>ŞUBĂ</w:t>
            </w:r>
            <w:r>
              <w:rPr>
                <w:sz w:val="22"/>
                <w:szCs w:val="22"/>
                <w:lang w:val="en-US" w:eastAsia="en-US"/>
              </w:rPr>
              <w:t>, A.;</w:t>
            </w:r>
            <w:r>
              <w:rPr>
                <w:rFonts w:cs="Times New Roman CE" w:ascii="Times New Roman CE" w:hAnsi="Times New Roman CE"/>
                <w:sz w:val="22"/>
                <w:szCs w:val="22"/>
                <w:lang w:val="en-US" w:eastAsia="en-US"/>
              </w:rPr>
              <w:t xml:space="preserve"> VACARAŞ</w:t>
            </w:r>
            <w:r>
              <w:rPr>
                <w:sz w:val="22"/>
                <w:szCs w:val="22"/>
                <w:lang w:val="en-US" w:eastAsia="en-US"/>
              </w:rPr>
              <w:t xml:space="preserve">, O., Maximal multiplicity of the line at infinity for cubic differential systems with two real non-parallel invariant straight lines, </w:t>
            </w:r>
            <w:r>
              <w:rPr>
                <w:i/>
                <w:sz w:val="22"/>
                <w:szCs w:val="22"/>
                <w:lang w:val="en-US" w:eastAsia="en-US"/>
              </w:rPr>
              <w:t>The International Scientific Conference Differential-Functional Equations and their Application,</w:t>
            </w:r>
            <w:r>
              <w:rPr>
                <w:sz w:val="22"/>
                <w:szCs w:val="22"/>
                <w:lang w:val="en-US" w:eastAsia="en-US"/>
              </w:rPr>
              <w:t xml:space="preserve"> September 28-30, 2016, Chernivtsi, Ukraine, p. 135.</w:t>
            </w:r>
          </w:p>
          <w:p>
            <w:pPr>
              <w:pStyle w:val="Normal"/>
              <w:widowControl/>
              <w:numPr>
                <w:ilvl w:val="0"/>
                <w:numId w:val="61"/>
              </w:numPr>
              <w:bidi w:val="0"/>
              <w:ind w:left="927" w:right="0" w:hanging="360"/>
              <w:jc w:val="both"/>
              <w:textAlignment w:val="auto"/>
              <w:rPr/>
            </w:pPr>
            <w:r>
              <w:rPr>
                <w:sz w:val="22"/>
                <w:szCs w:val="22"/>
                <w:lang w:val="en-US" w:eastAsia="en-US"/>
              </w:rPr>
              <w:t xml:space="preserve"> </w:t>
            </w:r>
            <w:r>
              <w:rPr>
                <w:sz w:val="22"/>
                <w:szCs w:val="22"/>
                <w:lang w:val="en-US" w:eastAsia="en-US"/>
              </w:rPr>
              <w:t>VACARA</w:t>
            </w:r>
            <w:r>
              <w:rPr>
                <w:rFonts w:cs="Times New Roman CE" w:ascii="Times New Roman CE" w:hAnsi="Times New Roman CE"/>
                <w:sz w:val="22"/>
                <w:szCs w:val="22"/>
                <w:lang w:val="en-US" w:eastAsia="en-US"/>
              </w:rPr>
              <w:t>Ş</w:t>
            </w:r>
            <w:r>
              <w:rPr>
                <w:sz w:val="22"/>
                <w:szCs w:val="22"/>
                <w:lang w:val="en-US" w:eastAsia="en-US"/>
              </w:rPr>
              <w:t xml:space="preserve">, O. Maximal multiplicity of the line at infinity for cubic differential systems with two real parallel invariant straight lines. International Conference "MITRE-2016", </w:t>
            </w:r>
            <w:r>
              <w:rPr>
                <w:rFonts w:cs="Times New Roman CE" w:ascii="Times New Roman CE" w:hAnsi="Times New Roman CE"/>
                <w:sz w:val="22"/>
                <w:szCs w:val="22"/>
                <w:lang w:val="en-US" w:eastAsia="en-US"/>
              </w:rPr>
              <w:t>Chişinău, June 23-25, 2016, p.70.</w:t>
            </w:r>
          </w:p>
        </w:tc>
      </w:tr>
    </w:tbl>
    <w:p>
      <w:pPr>
        <w:pStyle w:val="Normal"/>
        <w:widowControl/>
        <w:numPr>
          <w:ilvl w:val="0"/>
          <w:numId w:val="5"/>
        </w:numPr>
        <w:tabs>
          <w:tab w:val="left" w:pos="180" w:leader="none"/>
        </w:tabs>
        <w:bidi w:val="0"/>
        <w:ind w:left="180" w:right="0" w:hanging="0"/>
        <w:jc w:val="left"/>
        <w:textAlignment w:val="auto"/>
        <w:rPr>
          <w:lang w:val="ro-MD"/>
        </w:rPr>
      </w:pPr>
      <w:r>
        <w:rPr>
          <w:rFonts w:cs="Times New Roman CE" w:ascii="Times New Roman CE" w:hAnsi="Times New Roman CE"/>
          <w:sz w:val="22"/>
          <w:szCs w:val="22"/>
          <w:lang w:val="ro-MD"/>
        </w:rPr>
        <w:t>Relevanţa r</w:t>
      </w:r>
      <w:r>
        <w:rPr>
          <w:sz w:val="22"/>
          <w:szCs w:val="22"/>
          <w:lang w:val="ro-MD"/>
        </w:rPr>
        <w:t>ezultatelor</w:t>
      </w:r>
      <w:r>
        <w:rPr>
          <w:rFonts w:cs="Times New Roman CE" w:ascii="Times New Roman CE" w:hAnsi="Times New Roman CE"/>
          <w:sz w:val="22"/>
          <w:szCs w:val="22"/>
          <w:lang w:val="ro-MD"/>
        </w:rPr>
        <w:t xml:space="preserve"> ştiinţifice</w:t>
      </w:r>
      <w:r>
        <w:rPr>
          <w:sz w:val="22"/>
          <w:szCs w:val="22"/>
          <w:lang w:val="ro-MD"/>
        </w:rPr>
        <w:t xml:space="preserve"> teoretice/aplicative </w:t>
      </w:r>
      <w:r>
        <w:rPr>
          <w:rFonts w:cs="Times New Roman CE" w:ascii="Times New Roman CE" w:hAnsi="Times New Roman CE"/>
          <w:sz w:val="22"/>
          <w:szCs w:val="22"/>
          <w:lang w:val="ro-MD"/>
        </w:rPr>
        <w:t xml:space="preserve">obţinute în </w:t>
      </w:r>
      <w:r>
        <w:rPr>
          <w:sz w:val="22"/>
          <w:szCs w:val="22"/>
          <w:lang w:val="ro-MD"/>
        </w:rPr>
        <w:t>2016</w:t>
      </w:r>
    </w:p>
    <w:tbl>
      <w:tblPr>
        <w:tblW w:w="9512"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512"/>
      </w:tblGrid>
      <w:tr>
        <w:trPr/>
        <w:tc>
          <w:tcPr>
            <w:tcW w:w="9512"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both"/>
              <w:textAlignment w:val="auto"/>
              <w:rPr>
                <w:lang w:val="ro-MD"/>
              </w:rPr>
            </w:pPr>
            <w:r>
              <w:rPr>
                <w:color w:val="000000"/>
                <w:sz w:val="22"/>
                <w:szCs w:val="22"/>
                <w:lang w:val="ro-MD"/>
              </w:rPr>
              <w:t xml:space="preserve">Rezultatele </w:t>
            </w:r>
            <w:r>
              <w:rPr>
                <w:rFonts w:cs="Times New Roman CE" w:ascii="Times New Roman CE" w:hAnsi="Times New Roman CE"/>
                <w:color w:val="000000"/>
                <w:sz w:val="22"/>
                <w:szCs w:val="22"/>
                <w:lang w:val="ro-MD"/>
              </w:rPr>
              <w:t>ştiinţifice</w:t>
            </w:r>
            <w:r>
              <w:rPr>
                <w:color w:val="000000"/>
                <w:sz w:val="22"/>
                <w:szCs w:val="22"/>
                <w:lang w:val="ro-MD"/>
              </w:rPr>
              <w:t xml:space="preserve"> ob</w:t>
            </w:r>
            <w:r>
              <w:rPr>
                <w:rFonts w:cs="Cambria Math" w:ascii="Cambria Math" w:hAnsi="Cambria Math"/>
                <w:color w:val="000000"/>
                <w:sz w:val="22"/>
                <w:szCs w:val="22"/>
                <w:lang w:val="ro-MD"/>
              </w:rPr>
              <w:t>ț</w:t>
            </w:r>
            <w:r>
              <w:rPr>
                <w:color w:val="000000"/>
                <w:sz w:val="22"/>
                <w:szCs w:val="22"/>
                <w:lang w:val="ro-MD"/>
              </w:rPr>
              <w:t xml:space="preserve">inute sunt actuale </w:t>
            </w:r>
            <w:r>
              <w:rPr>
                <w:rFonts w:cs="Times New Roman CE" w:ascii="Times New Roman CE" w:hAnsi="Times New Roman CE"/>
                <w:color w:val="000000"/>
                <w:sz w:val="22"/>
                <w:szCs w:val="22"/>
                <w:lang w:val="ro-MD"/>
              </w:rPr>
              <w:t>şi</w:t>
            </w:r>
            <w:r>
              <w:rPr>
                <w:color w:val="000000"/>
                <w:sz w:val="22"/>
                <w:szCs w:val="22"/>
                <w:lang w:val="ro-MD"/>
              </w:rPr>
              <w:t xml:space="preserve"> constituie un deosebit interes pentru </w:t>
            </w:r>
            <w:r>
              <w:rPr>
                <w:rFonts w:cs="Times New Roman CE" w:ascii="Times New Roman CE" w:hAnsi="Times New Roman CE"/>
                <w:color w:val="000000"/>
                <w:sz w:val="22"/>
                <w:szCs w:val="22"/>
                <w:lang w:val="ro-MD"/>
              </w:rPr>
              <w:t>mulţi</w:t>
            </w:r>
            <w:r>
              <w:rPr>
                <w:color w:val="000000"/>
                <w:sz w:val="22"/>
                <w:szCs w:val="22"/>
                <w:lang w:val="ro-MD"/>
              </w:rPr>
              <w:t xml:space="preserve"> s</w:t>
            </w:r>
            <w:r>
              <w:rPr>
                <w:rFonts w:cs="Times New Roman CE" w:ascii="Times New Roman CE" w:hAnsi="Times New Roman CE"/>
                <w:color w:val="000000"/>
                <w:sz w:val="22"/>
                <w:szCs w:val="22"/>
                <w:lang w:val="ro-MD"/>
              </w:rPr>
              <w:t>pecialişti din aşa</w:t>
            </w:r>
            <w:r>
              <w:rPr>
                <w:color w:val="000000"/>
                <w:sz w:val="22"/>
                <w:szCs w:val="22"/>
                <w:lang w:val="ro-MD"/>
              </w:rPr>
              <w:t xml:space="preserve"> centre </w:t>
            </w:r>
            <w:r>
              <w:rPr>
                <w:rFonts w:cs="Times New Roman CE" w:ascii="Times New Roman CE" w:hAnsi="Times New Roman CE"/>
                <w:color w:val="000000"/>
                <w:sz w:val="22"/>
                <w:szCs w:val="22"/>
                <w:lang w:val="ro-MD"/>
              </w:rPr>
              <w:t>ştiinţifice</w:t>
            </w:r>
            <w:r>
              <w:rPr>
                <w:color w:val="000000"/>
                <w:sz w:val="22"/>
                <w:szCs w:val="22"/>
                <w:lang w:val="ro-MD"/>
              </w:rPr>
              <w:t xml:space="preserve"> </w:t>
            </w:r>
            <w:r>
              <w:rPr>
                <w:rFonts w:cs="Times New Roman CE" w:ascii="Times New Roman CE" w:hAnsi="Times New Roman CE"/>
                <w:color w:val="000000"/>
                <w:sz w:val="22"/>
                <w:szCs w:val="22"/>
                <w:lang w:val="ro-MD"/>
              </w:rPr>
              <w:t>ca SUA, China, România, Ucraina, Belarus, Polonia, Spania, Canada, Fran</w:t>
            </w:r>
            <w:r>
              <w:rPr>
                <w:rFonts w:cs="Cambria Math" w:ascii="Cambria Math" w:hAnsi="Cambria Math"/>
                <w:color w:val="000000"/>
                <w:sz w:val="22"/>
                <w:szCs w:val="22"/>
                <w:lang w:val="ro-MD"/>
              </w:rPr>
              <w:t>ț</w:t>
            </w:r>
            <w:r>
              <w:rPr>
                <w:color w:val="000000"/>
                <w:sz w:val="22"/>
                <w:szCs w:val="22"/>
                <w:lang w:val="ro-MD"/>
              </w:rPr>
              <w:t xml:space="preserve">a </w:t>
            </w:r>
            <w:r>
              <w:rPr>
                <w:rFonts w:cs="Times New Roman CE" w:ascii="Times New Roman CE" w:hAnsi="Times New Roman CE"/>
                <w:color w:val="000000"/>
                <w:sz w:val="22"/>
                <w:szCs w:val="22"/>
                <w:lang w:val="ro-MD"/>
              </w:rPr>
              <w:t xml:space="preserve">şi a. </w:t>
            </w:r>
          </w:p>
          <w:p>
            <w:pPr>
              <w:pStyle w:val="Normal"/>
              <w:widowControl/>
              <w:bidi w:val="0"/>
              <w:ind w:left="0" w:right="0" w:hanging="0"/>
              <w:jc w:val="both"/>
              <w:textAlignment w:val="auto"/>
              <w:rPr>
                <w:lang w:val="ro-MD"/>
              </w:rPr>
            </w:pPr>
            <w:r>
              <w:rPr>
                <w:sz w:val="22"/>
                <w:szCs w:val="22"/>
                <w:lang w:val="ro-MD"/>
              </w:rPr>
              <w:t xml:space="preserve">Ele sunt </w:t>
            </w:r>
            <w:r>
              <w:rPr>
                <w:rFonts w:cs="Times New Roman CE" w:ascii="Times New Roman CE" w:hAnsi="Times New Roman CE"/>
                <w:sz w:val="22"/>
                <w:szCs w:val="22"/>
                <w:lang w:val="ro-MD"/>
              </w:rPr>
              <w:t>în</w:t>
            </w:r>
            <w:r>
              <w:rPr>
                <w:sz w:val="22"/>
                <w:szCs w:val="22"/>
                <w:lang w:val="ro-MD"/>
              </w:rPr>
              <w:t xml:space="preserve"> </w:t>
            </w:r>
            <w:r>
              <w:rPr>
                <w:rFonts w:cs="Times New Roman CE" w:ascii="Times New Roman CE" w:hAnsi="Times New Roman CE"/>
                <w:sz w:val="22"/>
                <w:szCs w:val="22"/>
                <w:lang w:val="ro-MD"/>
              </w:rPr>
              <w:t>deplină</w:t>
            </w:r>
            <w:r>
              <w:rPr>
                <w:sz w:val="22"/>
                <w:szCs w:val="22"/>
                <w:lang w:val="ro-MD"/>
              </w:rPr>
              <w:t xml:space="preserve"> </w:t>
            </w:r>
            <w:r>
              <w:rPr>
                <w:rFonts w:cs="Times New Roman CE" w:ascii="Times New Roman CE" w:hAnsi="Times New Roman CE"/>
                <w:sz w:val="22"/>
                <w:szCs w:val="22"/>
                <w:lang w:val="ro-MD"/>
              </w:rPr>
              <w:t>concordanţă cu cercetările</w:t>
            </w:r>
            <w:r>
              <w:rPr>
                <w:sz w:val="22"/>
                <w:szCs w:val="22"/>
                <w:lang w:val="ro-MD"/>
              </w:rPr>
              <w:t xml:space="preserve"> efectuate </w:t>
            </w:r>
            <w:r>
              <w:rPr>
                <w:rFonts w:cs="Times New Roman CE" w:ascii="Times New Roman CE" w:hAnsi="Times New Roman CE"/>
                <w:sz w:val="22"/>
                <w:szCs w:val="22"/>
                <w:lang w:val="ro-MD"/>
              </w:rPr>
              <w:t>în</w:t>
            </w:r>
            <w:r>
              <w:rPr>
                <w:sz w:val="22"/>
                <w:szCs w:val="22"/>
                <w:lang w:val="ro-MD"/>
              </w:rPr>
              <w:t xml:space="preserve"> acest domeniu </w:t>
            </w:r>
            <w:r>
              <w:rPr>
                <w:rFonts w:cs="Times New Roman CE" w:ascii="Times New Roman CE" w:hAnsi="Times New Roman CE"/>
                <w:sz w:val="22"/>
                <w:szCs w:val="22"/>
                <w:lang w:val="ro-MD"/>
              </w:rPr>
              <w:t>în</w:t>
            </w:r>
            <w:r>
              <w:rPr>
                <w:sz w:val="22"/>
                <w:szCs w:val="22"/>
                <w:lang w:val="ro-MD"/>
              </w:rPr>
              <w:t xml:space="preserve"> diferite centre </w:t>
            </w:r>
            <w:r>
              <w:rPr>
                <w:rFonts w:cs="Times New Roman CE" w:ascii="Times New Roman CE" w:hAnsi="Times New Roman CE"/>
                <w:sz w:val="22"/>
                <w:szCs w:val="22"/>
                <w:lang w:val="ro-MD"/>
              </w:rPr>
              <w:t>ştiinţifice din lume. Unele</w:t>
            </w:r>
            <w:r>
              <w:rPr>
                <w:sz w:val="22"/>
                <w:szCs w:val="22"/>
                <w:lang w:val="ro-MD"/>
              </w:rPr>
              <w:t xml:space="preserve"> dintre ele au fost deja publicate </w:t>
            </w:r>
            <w:r>
              <w:rPr>
                <w:rFonts w:cs="Times New Roman CE" w:ascii="Times New Roman CE" w:hAnsi="Times New Roman CE"/>
                <w:sz w:val="22"/>
                <w:szCs w:val="22"/>
                <w:lang w:val="ro-MD"/>
              </w:rPr>
              <w:t>în</w:t>
            </w:r>
            <w:r>
              <w:rPr>
                <w:sz w:val="22"/>
                <w:szCs w:val="22"/>
                <w:lang w:val="ro-MD"/>
              </w:rPr>
              <w:t xml:space="preserve"> reviste de specialitate </w:t>
            </w:r>
            <w:r>
              <w:rPr>
                <w:rFonts w:cs="Times New Roman CE" w:ascii="Times New Roman CE" w:hAnsi="Times New Roman CE"/>
                <w:sz w:val="22"/>
                <w:szCs w:val="22"/>
                <w:lang w:val="ro-MD"/>
              </w:rPr>
              <w:t>naţionale</w:t>
            </w:r>
            <w:r>
              <w:rPr>
                <w:sz w:val="22"/>
                <w:szCs w:val="22"/>
                <w:lang w:val="ro-MD"/>
              </w:rPr>
              <w:t xml:space="preserve"> </w:t>
            </w:r>
            <w:r>
              <w:rPr>
                <w:rFonts w:cs="Times New Roman CE" w:ascii="Times New Roman CE" w:hAnsi="Times New Roman CE"/>
                <w:sz w:val="22"/>
                <w:szCs w:val="22"/>
                <w:lang w:val="ro-MD"/>
              </w:rPr>
              <w:t>şi</w:t>
            </w:r>
            <w:r>
              <w:rPr>
                <w:sz w:val="22"/>
                <w:szCs w:val="22"/>
                <w:lang w:val="ro-MD"/>
              </w:rPr>
              <w:t xml:space="preserve"> </w:t>
            </w:r>
            <w:r>
              <w:rPr>
                <w:rFonts w:cs="Times New Roman CE" w:ascii="Times New Roman CE" w:hAnsi="Times New Roman CE"/>
                <w:sz w:val="22"/>
                <w:szCs w:val="22"/>
                <w:lang w:val="ro-MD"/>
              </w:rPr>
              <w:t>internaţionale. Majoritatea</w:t>
            </w:r>
            <w:r>
              <w:rPr>
                <w:sz w:val="22"/>
                <w:szCs w:val="22"/>
                <w:lang w:val="ro-MD"/>
              </w:rPr>
              <w:t xml:space="preserve"> rezultatelor au fost raportate la diferite c</w:t>
            </w:r>
            <w:r>
              <w:rPr>
                <w:rFonts w:cs="Times New Roman CE" w:ascii="Times New Roman CE" w:hAnsi="Times New Roman CE"/>
                <w:sz w:val="22"/>
                <w:szCs w:val="22"/>
                <w:lang w:val="ro-MD"/>
              </w:rPr>
              <w:t>onferinţe</w:t>
            </w:r>
            <w:r>
              <w:rPr>
                <w:sz w:val="22"/>
                <w:szCs w:val="22"/>
                <w:lang w:val="ro-MD"/>
              </w:rPr>
              <w:t>c</w:t>
            </w:r>
            <w:r>
              <w:rPr>
                <w:rFonts w:cs="Times New Roman CE" w:ascii="Times New Roman CE" w:hAnsi="Times New Roman CE"/>
                <w:sz w:val="22"/>
                <w:szCs w:val="22"/>
                <w:lang w:val="ro-MD"/>
              </w:rPr>
              <w:t>internaţionale, ceia</w:t>
            </w:r>
            <w:r>
              <w:rPr>
                <w:sz w:val="22"/>
                <w:szCs w:val="22"/>
                <w:lang w:val="ro-MD"/>
              </w:rPr>
              <w:t xml:space="preserve"> ce </w:t>
            </w:r>
            <w:r>
              <w:rPr>
                <w:rFonts w:cs="Times New Roman CE" w:ascii="Times New Roman CE" w:hAnsi="Times New Roman CE"/>
                <w:sz w:val="22"/>
                <w:szCs w:val="22"/>
                <w:lang w:val="ro-MD"/>
              </w:rPr>
              <w:t>contribuie la creşterea</w:t>
            </w:r>
            <w:r>
              <w:rPr>
                <w:sz w:val="22"/>
                <w:szCs w:val="22"/>
                <w:lang w:val="ro-MD"/>
              </w:rPr>
              <w:t xml:space="preserve"> </w:t>
            </w:r>
            <w:r>
              <w:rPr>
                <w:rFonts w:cs="Times New Roman CE" w:ascii="Times New Roman CE" w:hAnsi="Times New Roman CE"/>
                <w:sz w:val="22"/>
                <w:szCs w:val="22"/>
                <w:lang w:val="ro-MD"/>
              </w:rPr>
              <w:t>vizibilităţii</w:t>
            </w:r>
            <w:r>
              <w:rPr>
                <w:sz w:val="22"/>
                <w:szCs w:val="22"/>
                <w:lang w:val="ro-MD"/>
              </w:rPr>
              <w:t xml:space="preserve"> </w:t>
            </w:r>
            <w:r>
              <w:rPr>
                <w:rFonts w:cs="Times New Roman CE" w:ascii="Times New Roman CE" w:hAnsi="Times New Roman CE"/>
                <w:sz w:val="22"/>
                <w:szCs w:val="22"/>
                <w:lang w:val="ro-MD"/>
              </w:rPr>
              <w:t>cercetăril</w:t>
            </w:r>
            <w:r>
              <w:rPr>
                <w:sz w:val="22"/>
                <w:szCs w:val="22"/>
                <w:lang w:val="ro-MD"/>
              </w:rPr>
              <w:t xml:space="preserve">or </w:t>
            </w:r>
            <w:r>
              <w:rPr>
                <w:rFonts w:cs="Times New Roman CE" w:ascii="Times New Roman CE" w:hAnsi="Times New Roman CE"/>
                <w:sz w:val="22"/>
                <w:szCs w:val="22"/>
                <w:lang w:val="ro-MD"/>
              </w:rPr>
              <w:t xml:space="preserve">matematice din Republica Moldova pe plan internaţional. </w:t>
            </w:r>
          </w:p>
          <w:p>
            <w:pPr>
              <w:pStyle w:val="Normal"/>
              <w:widowControl/>
              <w:bidi w:val="0"/>
              <w:ind w:left="0" w:right="0" w:hanging="0"/>
              <w:jc w:val="left"/>
              <w:textAlignment w:val="auto"/>
              <w:rPr>
                <w:lang w:val="ro-RO"/>
              </w:rPr>
            </w:pPr>
            <w:r>
              <w:rPr>
                <w:sz w:val="22"/>
                <w:szCs w:val="22"/>
                <w:lang w:val="ro-RO"/>
              </w:rPr>
              <w:t>Rezultatele ob</w:t>
            </w:r>
            <w:r>
              <w:rPr>
                <w:rFonts w:cs="Cambria Math" w:ascii="Cambria Math" w:hAnsi="Cambria Math"/>
                <w:sz w:val="22"/>
                <w:szCs w:val="22"/>
                <w:lang w:val="ro-RO"/>
              </w:rPr>
              <w:t>ț</w:t>
            </w:r>
            <w:r>
              <w:rPr>
                <w:sz w:val="22"/>
                <w:szCs w:val="22"/>
                <w:lang w:val="ro-RO"/>
              </w:rPr>
              <w:t>inu</w:t>
            </w:r>
            <w:r>
              <w:rPr>
                <w:rFonts w:cs="Times New Roman CE" w:ascii="Times New Roman CE" w:hAnsi="Times New Roman CE"/>
                <w:sz w:val="22"/>
                <w:szCs w:val="22"/>
                <w:lang w:val="ro-RO"/>
              </w:rPr>
              <w:t xml:space="preserve">te pot fi aplicate în: </w:t>
            </w:r>
          </w:p>
          <w:p>
            <w:pPr>
              <w:pStyle w:val="Normal"/>
              <w:widowControl/>
              <w:bidi w:val="0"/>
              <w:ind w:left="0" w:right="0" w:hanging="0"/>
              <w:jc w:val="left"/>
              <w:textAlignment w:val="auto"/>
              <w:rPr>
                <w:lang w:val="ro-RO"/>
              </w:rPr>
            </w:pPr>
            <w:r>
              <w:rPr>
                <w:rFonts w:cs="Times New Roman CE" w:ascii="Times New Roman CE" w:hAnsi="Times New Roman CE"/>
                <w:b/>
                <w:sz w:val="22"/>
                <w:szCs w:val="22"/>
                <w:lang w:val="ro-RO"/>
              </w:rPr>
              <w:t>Învăţământ:</w:t>
            </w:r>
            <w:r>
              <w:rPr>
                <w:rFonts w:cs="Times New Roman CE" w:ascii="Times New Roman CE" w:hAnsi="Times New Roman CE"/>
                <w:sz w:val="22"/>
                <w:szCs w:val="22"/>
                <w:lang w:val="ro-RO"/>
              </w:rPr>
              <w:t xml:space="preserve"> prin cursuri opţionale, manuale, lucrări de licenţă, masterat şi doctorat; </w:t>
            </w:r>
          </w:p>
          <w:p>
            <w:pPr>
              <w:pStyle w:val="Normal"/>
              <w:widowControl/>
              <w:bidi w:val="0"/>
              <w:ind w:left="0" w:right="0" w:hanging="0"/>
              <w:jc w:val="both"/>
              <w:textAlignment w:val="auto"/>
              <w:rPr>
                <w:lang w:val="ro-RO"/>
              </w:rPr>
            </w:pPr>
            <w:r>
              <w:rPr>
                <w:rFonts w:cs="Times New Roman CE" w:ascii="Times New Roman CE" w:hAnsi="Times New Roman CE"/>
                <w:sz w:val="22"/>
                <w:szCs w:val="22"/>
                <w:lang w:val="ro-RO"/>
              </w:rPr>
              <w:t xml:space="preserve">beneficiari: facultăţile şi catedrele de matematică din Universitatea Academiei de Ştiinţe, Universitatea de Stat din Moldova, Universitatea de Stat din Tiraspol, Universitatea Tehnică din Moldova, UPS „Ion Creangă”, </w:t>
            </w:r>
            <w:r>
              <w:rPr>
                <w:sz w:val="22"/>
                <w:szCs w:val="22"/>
                <w:lang w:val="ro-RO"/>
              </w:rPr>
              <w:t xml:space="preserve">ASEM, etc. </w:t>
            </w:r>
          </w:p>
          <w:p>
            <w:pPr>
              <w:pStyle w:val="Normal"/>
              <w:widowControl/>
              <w:bidi w:val="0"/>
              <w:ind w:left="0" w:right="0" w:hanging="0"/>
              <w:jc w:val="left"/>
              <w:textAlignment w:val="auto"/>
              <w:rPr>
                <w:lang w:val="ro-RO"/>
              </w:rPr>
            </w:pPr>
            <w:r>
              <w:rPr>
                <w:rFonts w:cs="Times New Roman CE" w:ascii="Times New Roman CE" w:hAnsi="Times New Roman CE"/>
                <w:b/>
                <w:sz w:val="22"/>
                <w:szCs w:val="22"/>
                <w:lang w:val="ro-RO"/>
              </w:rPr>
              <w:t>Ştiinţă:</w:t>
            </w:r>
            <w:r>
              <w:rPr>
                <w:rFonts w:cs="Times New Roman CE" w:ascii="Times New Roman CE" w:hAnsi="Times New Roman CE"/>
                <w:sz w:val="22"/>
                <w:szCs w:val="22"/>
                <w:lang w:val="ro-RO"/>
              </w:rPr>
              <w:t xml:space="preserve"> aplicaţii în ecuaţii diferenţiale,  algebră, geometrie</w:t>
            </w:r>
            <w:r>
              <w:rPr>
                <w:sz w:val="22"/>
                <w:szCs w:val="22"/>
                <w:lang w:val="ro-RO"/>
              </w:rPr>
              <w:t>, teoria func</w:t>
            </w:r>
            <w:r>
              <w:rPr>
                <w:rFonts w:cs="Cambria Math" w:ascii="Cambria Math" w:hAnsi="Cambria Math"/>
                <w:sz w:val="22"/>
                <w:szCs w:val="22"/>
                <w:lang w:val="ro-RO"/>
              </w:rPr>
              <w:t>ț</w:t>
            </w:r>
            <w:r>
              <w:rPr>
                <w:sz w:val="22"/>
                <w:szCs w:val="22"/>
                <w:lang w:val="ro-RO"/>
              </w:rPr>
              <w:t>iilor c</w:t>
            </w:r>
            <w:r>
              <w:rPr>
                <w:rFonts w:cs="Times New Roman CE" w:ascii="Times New Roman CE" w:hAnsi="Times New Roman CE"/>
                <w:sz w:val="22"/>
                <w:szCs w:val="22"/>
                <w:lang w:val="ro-RO"/>
              </w:rPr>
              <w:t xml:space="preserve">ât şi în </w:t>
            </w:r>
            <w:r>
              <w:rPr>
                <w:sz w:val="22"/>
                <w:szCs w:val="22"/>
                <w:lang w:val="ro-RO"/>
              </w:rPr>
              <w:t>unele domenii din</w:t>
            </w:r>
            <w:r>
              <w:rPr>
                <w:rFonts w:cs="Times New Roman CE" w:ascii="Times New Roman CE" w:hAnsi="Times New Roman CE"/>
                <w:sz w:val="22"/>
                <w:szCs w:val="22"/>
                <w:lang w:val="ro-RO"/>
              </w:rPr>
              <w:t xml:space="preserve"> afara matematicii, ca fizica teoretică şi mecanica;</w:t>
            </w:r>
            <w:r>
              <w:rPr>
                <w:sz w:val="22"/>
                <w:szCs w:val="22"/>
                <w:lang w:val="ro-RO"/>
              </w:rPr>
              <w:t xml:space="preserve"> beneficiari pot fi: IMI, IFA, IE, etc. </w:t>
            </w:r>
          </w:p>
        </w:tc>
      </w:tr>
    </w:tbl>
    <w:p>
      <w:pPr>
        <w:pStyle w:val="Normal"/>
        <w:widowControl/>
        <w:numPr>
          <w:ilvl w:val="0"/>
          <w:numId w:val="5"/>
        </w:numPr>
        <w:tabs>
          <w:tab w:val="left" w:pos="180" w:leader="none"/>
        </w:tabs>
        <w:bidi w:val="0"/>
        <w:ind w:left="180" w:right="0" w:hanging="0"/>
        <w:jc w:val="both"/>
        <w:textAlignment w:val="auto"/>
        <w:rPr>
          <w:lang w:val="ro-RO"/>
        </w:rPr>
      </w:pPr>
      <w:r>
        <w:rPr>
          <w:rFonts w:cs="Times New Roman CE" w:ascii="Times New Roman CE" w:hAnsi="Times New Roman CE"/>
          <w:sz w:val="22"/>
          <w:szCs w:val="22"/>
          <w:lang w:val="ro-RO"/>
        </w:rPr>
        <w:t xml:space="preserve">Rezumatul celor mai semnificative rezultate ştiinţifice </w:t>
      </w:r>
      <w:r>
        <w:rPr>
          <w:sz w:val="22"/>
          <w:szCs w:val="22"/>
          <w:lang w:val="ro-MD"/>
        </w:rPr>
        <w:t xml:space="preserve">teoretice / aplicative </w:t>
      </w:r>
      <w:r>
        <w:rPr>
          <w:rFonts w:cs="Times New Roman CE" w:ascii="Times New Roman CE" w:hAnsi="Times New Roman CE"/>
          <w:sz w:val="22"/>
          <w:szCs w:val="22"/>
          <w:lang w:val="ro-RO"/>
        </w:rPr>
        <w:t xml:space="preserve">obţinute în cadrul proiectului în </w:t>
      </w:r>
      <w:r>
        <w:rPr>
          <w:sz w:val="22"/>
          <w:szCs w:val="22"/>
          <w:lang w:val="ro-RO"/>
        </w:rPr>
        <w:t>anul 2016</w:t>
      </w:r>
    </w:p>
    <w:p>
      <w:pPr>
        <w:pStyle w:val="Normal"/>
        <w:widowControl/>
        <w:bidi w:val="0"/>
        <w:ind w:left="180" w:right="0" w:hanging="0"/>
        <w:jc w:val="both"/>
        <w:textAlignment w:val="auto"/>
        <w:rPr>
          <w:lang w:val="ro-RO"/>
        </w:rPr>
      </w:pPr>
      <w:r>
        <w:rPr>
          <w:sz w:val="22"/>
          <w:szCs w:val="22"/>
          <w:lang w:val="ro-RO"/>
        </w:rPr>
        <w:t>Pentru sistemele diferen</w:t>
      </w:r>
      <w:r>
        <w:rPr>
          <w:rFonts w:cs="Cambria Math" w:ascii="Cambria Math" w:hAnsi="Cambria Math"/>
          <w:sz w:val="22"/>
          <w:szCs w:val="22"/>
          <w:lang w:val="ro-RO"/>
        </w:rPr>
        <w:t>ț</w:t>
      </w:r>
      <w:r>
        <w:rPr>
          <w:rFonts w:cs="Times New Roman CE" w:ascii="Times New Roman CE" w:hAnsi="Times New Roman CE"/>
          <w:sz w:val="22"/>
          <w:szCs w:val="22"/>
          <w:lang w:val="ro-RO"/>
        </w:rPr>
        <w:t>iale ternare de tip Lyapunov-Darboux cu neliniarită</w:t>
      </w:r>
      <w:r>
        <w:rPr>
          <w:rFonts w:cs="Cambria Math" w:ascii="Cambria Math" w:hAnsi="Cambria Math"/>
          <w:sz w:val="22"/>
          <w:szCs w:val="22"/>
          <w:lang w:val="ro-RO"/>
        </w:rPr>
        <w:t>ț</w:t>
      </w:r>
      <w:r>
        <w:rPr>
          <w:rFonts w:cs="Times New Roman CE" w:ascii="Times New Roman CE" w:hAnsi="Times New Roman CE"/>
          <w:sz w:val="22"/>
          <w:szCs w:val="22"/>
          <w:lang w:val="ro-RO"/>
        </w:rPr>
        <w:t>i pătratice</w:t>
      </w:r>
      <w:r>
        <w:rPr>
          <w:sz w:val="22"/>
          <w:szCs w:val="22"/>
          <w:lang w:val="ro-RO"/>
        </w:rPr>
        <w:t xml:space="preserve"> au fost stabilite </w:t>
      </w:r>
      <w:r>
        <w:rPr>
          <w:rFonts w:cs="Times New Roman CE" w:ascii="Times New Roman CE" w:hAnsi="Times New Roman CE"/>
          <w:sz w:val="22"/>
          <w:szCs w:val="22"/>
          <w:lang w:val="ro-RO"/>
        </w:rPr>
        <w:t>condiţiile</w:t>
      </w:r>
      <w:r>
        <w:rPr>
          <w:sz w:val="22"/>
          <w:szCs w:val="22"/>
          <w:lang w:val="ro-RO"/>
        </w:rPr>
        <w:t xml:space="preserve"> centroafin-invariante </w:t>
      </w:r>
      <w:r>
        <w:rPr>
          <w:rFonts w:cs="Times New Roman CE" w:ascii="Times New Roman CE" w:hAnsi="Times New Roman CE"/>
          <w:sz w:val="22"/>
          <w:szCs w:val="22"/>
          <w:lang w:val="ro-RO"/>
        </w:rPr>
        <w:t xml:space="preserve">ce permit construcţia integralei olomorfe care determină stabilitatea mişcărilor periodice neperturbate ale acestor sisteme. </w:t>
      </w:r>
    </w:p>
    <w:p>
      <w:pPr>
        <w:pStyle w:val="Normal"/>
        <w:widowControl/>
        <w:bidi w:val="0"/>
        <w:ind w:left="180" w:right="0" w:hanging="0"/>
        <w:jc w:val="both"/>
        <w:textAlignment w:val="auto"/>
        <w:rPr>
          <w:lang w:val="ro-RO"/>
        </w:rPr>
      </w:pPr>
      <w:r>
        <w:rPr>
          <w:sz w:val="22"/>
          <w:szCs w:val="22"/>
          <w:lang w:val="ro-RO"/>
        </w:rPr>
        <w:t>S-a demonstr</w:t>
      </w:r>
      <w:r>
        <w:rPr>
          <w:rFonts w:cs="Times New Roman CE" w:ascii="Times New Roman CE" w:hAnsi="Times New Roman CE"/>
          <w:sz w:val="22"/>
          <w:szCs w:val="22"/>
          <w:lang w:val="ro-RO"/>
        </w:rPr>
        <w:t>at, că mulţimea de normalitate a unei familii de funcţii olomorfe nu poate fi un compact ce nu separă domeniul pe care familia dată este olomorfă. La fel, s-a arătat că proprietatea ca o famili</w:t>
      </w:r>
      <w:r>
        <w:rPr>
          <w:sz w:val="22"/>
          <w:szCs w:val="22"/>
          <w:lang w:val="ro-RO"/>
        </w:rPr>
        <w:t>e</w:t>
      </w:r>
      <w:r>
        <w:rPr>
          <w:rFonts w:cs="Times New Roman CE" w:ascii="Times New Roman CE" w:hAnsi="Times New Roman CE"/>
          <w:sz w:val="22"/>
          <w:szCs w:val="22"/>
          <w:lang w:val="ro-RO"/>
        </w:rPr>
        <w:t xml:space="preserve"> de funcţii să fie normală într-o vecinătate a unui set de suprafeţe olomorfe se păstrează şi asupra mulţimii limită a acestor suprafeţe.</w:t>
      </w:r>
    </w:p>
    <w:p>
      <w:pPr>
        <w:pStyle w:val="Normal"/>
        <w:widowControl/>
        <w:numPr>
          <w:ilvl w:val="0"/>
          <w:numId w:val="5"/>
        </w:numPr>
        <w:tabs>
          <w:tab w:val="left" w:pos="180" w:leader="none"/>
        </w:tabs>
        <w:bidi w:val="0"/>
        <w:ind w:left="180" w:right="0" w:hanging="0"/>
        <w:jc w:val="left"/>
        <w:textAlignment w:val="auto"/>
        <w:rPr>
          <w:lang w:val="ro-RO"/>
        </w:rPr>
      </w:pPr>
      <w:r>
        <w:rPr>
          <w:sz w:val="22"/>
          <w:szCs w:val="22"/>
          <w:lang w:val="ro-RO"/>
        </w:rPr>
        <w:t>Beneficiarii:</w:t>
      </w:r>
      <w:r>
        <w:rPr>
          <w:lang w:val="ro-MD"/>
        </w:rPr>
        <w:t xml:space="preserve"> </w:t>
      </w:r>
      <w:r>
        <w:rPr>
          <w:rFonts w:cs="Times New Roman CE" w:ascii="Times New Roman CE" w:hAnsi="Times New Roman CE"/>
          <w:lang w:val="ro-MD"/>
        </w:rPr>
        <w:t>Consiliul Suprem pentru Ştiinţă şi Dezvoltare Tehnologică</w:t>
      </w:r>
      <w:r>
        <w:rPr>
          <w:lang w:val="ro-MD"/>
        </w:rPr>
        <w:t>,</w:t>
      </w:r>
      <w:r>
        <w:rPr>
          <w:sz w:val="22"/>
          <w:szCs w:val="22"/>
          <w:lang w:val="ro-RO"/>
        </w:rPr>
        <w:t xml:space="preserve"> ministerele  economiei, </w:t>
      </w:r>
      <w:r>
        <w:rPr>
          <w:rFonts w:cs="Times New Roman CE" w:ascii="Times New Roman CE" w:hAnsi="Times New Roman CE"/>
          <w:sz w:val="22"/>
          <w:szCs w:val="22"/>
          <w:lang w:val="ro-RO"/>
        </w:rPr>
        <w:t>ecologiei, sănătăţii, institutele de biologie, energetică.</w:t>
      </w:r>
    </w:p>
    <w:p>
      <w:pPr>
        <w:pStyle w:val="Normal"/>
        <w:widowControl/>
        <w:bidi w:val="0"/>
        <w:ind w:left="180" w:right="0" w:hanging="0"/>
        <w:jc w:val="left"/>
        <w:textAlignment w:val="auto"/>
        <w:rPr>
          <w:rFonts w:ascii="Times New Roman" w:hAnsi="Times New Roman"/>
          <w:sz w:val="22"/>
          <w:szCs w:val="22"/>
          <w:lang w:val="ro-RO"/>
        </w:rPr>
      </w:pPr>
      <w:r>
        <w:rPr>
          <w:sz w:val="22"/>
          <w:szCs w:val="22"/>
          <w:lang w:val="ro-RO"/>
        </w:rPr>
      </w:r>
    </w:p>
    <w:p>
      <w:pPr>
        <w:pStyle w:val="5"/>
        <w:keepNext/>
        <w:widowControl/>
        <w:numPr>
          <w:ilvl w:val="0"/>
          <w:numId w:val="0"/>
        </w:numPr>
        <w:bidi w:val="0"/>
        <w:ind w:left="0" w:right="0" w:hanging="0"/>
        <w:jc w:val="left"/>
        <w:textAlignment w:val="auto"/>
        <w:outlineLvl w:val="4"/>
        <w:rPr>
          <w:b w:val="false"/>
          <w:b w:val="false"/>
          <w:lang w:val="fr-FR"/>
        </w:rPr>
      </w:pPr>
      <w:r>
        <w:rPr>
          <w:rFonts w:cs="Times New Roman CE" w:ascii="Times New Roman CE" w:hAnsi="Times New Roman CE"/>
          <w:b w:val="false"/>
          <w:bCs w:val="false"/>
          <w:spacing w:val="0"/>
          <w:sz w:val="24"/>
          <w:szCs w:val="24"/>
          <w:lang w:val="fr-FR"/>
        </w:rPr>
        <w:t>Conducătorul proiectulu</w:t>
      </w:r>
      <w:r>
        <w:rPr>
          <w:b w:val="false"/>
          <w:bCs w:val="false"/>
          <w:spacing w:val="0"/>
          <w:sz w:val="24"/>
          <w:szCs w:val="24"/>
          <w:lang w:val="fr-FR"/>
        </w:rPr>
        <w:t>i</w:t>
      </w:r>
      <w:r>
        <w:rPr>
          <w:b w:val="false"/>
          <w:sz w:val="24"/>
          <w:szCs w:val="24"/>
        </w:rPr>
        <w:t xml:space="preserve"> </w:t>
      </w:r>
      <w:r>
        <w:rPr>
          <w:b w:val="false"/>
          <w:bCs w:val="false"/>
          <w:i/>
          <w:iCs/>
          <w:spacing w:val="0"/>
          <w:sz w:val="24"/>
          <w:szCs w:val="24"/>
          <w:lang w:val="ro-RO"/>
        </w:rPr>
        <w:t xml:space="preserve"> _________________________________________ </w:t>
      </w:r>
      <w:r>
        <w:rPr>
          <w:b w:val="false"/>
          <w:sz w:val="24"/>
          <w:szCs w:val="24"/>
        </w:rPr>
        <w:t>dr.h.VULPE Nicolae</w:t>
      </w:r>
    </w:p>
    <w:p>
      <w:pPr>
        <w:pStyle w:val="Normal"/>
        <w:widowControl/>
        <w:bidi w:val="0"/>
        <w:ind w:left="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0" w:right="0" w:hanging="0"/>
        <w:jc w:val="left"/>
        <w:textAlignment w:val="auto"/>
        <w:rPr>
          <w:rFonts w:ascii="Times New Roman" w:hAnsi="Times New Roman"/>
          <w:sz w:val="22"/>
          <w:szCs w:val="22"/>
          <w:lang w:val="ro-MD"/>
        </w:rPr>
      </w:pPr>
      <w:r>
        <w:rPr>
          <w:sz w:val="22"/>
          <w:szCs w:val="22"/>
          <w:lang w:val="ro-MD"/>
        </w:rPr>
      </w:r>
    </w:p>
    <w:p>
      <w:pPr>
        <w:pStyle w:val="2"/>
        <w:keepNext/>
        <w:widowControl/>
        <w:numPr>
          <w:ilvl w:val="0"/>
          <w:numId w:val="0"/>
        </w:numPr>
        <w:bidi w:val="0"/>
        <w:ind w:left="0" w:right="0" w:hanging="0"/>
        <w:jc w:val="left"/>
        <w:textAlignment w:val="auto"/>
        <w:outlineLvl w:val="1"/>
        <w:rPr>
          <w:lang w:val="it-IT"/>
        </w:rPr>
      </w:pPr>
      <w:bookmarkStart w:id="16" w:name="_Toc469651875"/>
      <w:r>
        <w:rPr>
          <w:rFonts w:cs="Times New Roman CE" w:ascii="Times New Roman CE" w:hAnsi="Times New Roman CE"/>
          <w:i/>
          <w:sz w:val="26"/>
          <w:lang w:val="it-IT" w:eastAsia="ru-RU"/>
        </w:rPr>
        <w:t>Fişa proiectului de cercetări fundamentale I</w:t>
      </w:r>
      <w:bookmarkEnd w:id="16"/>
      <w:r>
        <w:rPr>
          <w:i/>
          <w:sz w:val="26"/>
          <w:lang w:val="it-IT" w:eastAsia="ru-RU"/>
        </w:rPr>
        <w:t>I</w:t>
      </w:r>
    </w:p>
    <w:p>
      <w:pPr>
        <w:pStyle w:val="Normal"/>
        <w:widowControl/>
        <w:numPr>
          <w:ilvl w:val="0"/>
          <w:numId w:val="25"/>
        </w:numPr>
        <w:tabs>
          <w:tab w:val="left" w:pos="180" w:leader="none"/>
        </w:tabs>
        <w:bidi w:val="0"/>
        <w:ind w:left="180" w:right="0" w:hanging="0"/>
        <w:jc w:val="left"/>
        <w:textAlignment w:val="auto"/>
        <w:rPr>
          <w:lang w:val="ro-RO"/>
        </w:rPr>
      </w:pPr>
      <w:r>
        <w:rPr>
          <w:rFonts w:cs="Times New Roman CE" w:ascii="Times New Roman CE" w:hAnsi="Times New Roman CE"/>
          <w:bCs/>
          <w:lang w:val="ro-RO"/>
        </w:rPr>
        <w:t>Denumirea direcţiei strategice,</w:t>
      </w:r>
      <w:r>
        <w:rPr>
          <w:lang w:val="ro-RO"/>
        </w:rPr>
        <w:t xml:space="preserve"> </w:t>
      </w:r>
      <w:r>
        <w:rPr>
          <w:rFonts w:cs="Times New Roman CE" w:ascii="Times New Roman CE" w:hAnsi="Times New Roman CE"/>
          <w:bCs/>
          <w:lang w:val="ro-RO"/>
        </w:rPr>
        <w:t xml:space="preserve">codul şi </w:t>
      </w:r>
      <w:r>
        <w:rPr>
          <w:bCs/>
          <w:color w:val="000000"/>
          <w:lang w:val="ro-RO"/>
        </w:rPr>
        <w:t xml:space="preserve">denumirea </w:t>
      </w:r>
      <w:r>
        <w:rPr>
          <w:color w:val="000000"/>
          <w:lang w:val="ro-RO"/>
        </w:rPr>
        <w:t>proiectului</w:t>
      </w:r>
      <w:r>
        <w:rPr>
          <w:bCs/>
          <w:color w:val="000000"/>
          <w:lang w:val="ro-RO"/>
        </w:rPr>
        <w:t xml:space="preserve"> </w:t>
      </w:r>
    </w:p>
    <w:tbl>
      <w:tblPr>
        <w:tblW w:w="10065"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10065"/>
      </w:tblGrid>
      <w:tr>
        <w:trPr/>
        <w:tc>
          <w:tcPr>
            <w:tcW w:w="10065"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shd w:fill="FFFFFF"/>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bidi w:val="0"/>
              <w:ind w:left="0" w:right="0" w:hanging="0"/>
              <w:jc w:val="left"/>
              <w:textAlignment w:val="auto"/>
              <w:rPr>
                <w:lang w:val="ro-RO"/>
              </w:rPr>
            </w:pPr>
            <w:r>
              <w:rPr>
                <w:rFonts w:cs="Times New Roman CE" w:ascii="Times New Roman CE" w:hAnsi="Times New Roman CE"/>
                <w:color w:val="000000"/>
                <w:lang w:val="ro-RO"/>
              </w:rPr>
              <w:t>16.02  Cercetările ştiinţifice fundamentale “Materiale, tehnologii şi produse innovative”</w:t>
            </w:r>
          </w:p>
          <w:p>
            <w:pPr>
              <w:pStyle w:val="Normal"/>
              <w:widowControl/>
              <w:bidi w:val="0"/>
              <w:ind w:left="0" w:right="0" w:hanging="0"/>
              <w:jc w:val="left"/>
              <w:textAlignment w:val="auto"/>
              <w:rPr>
                <w:lang w:val="ro-RO"/>
              </w:rPr>
            </w:pPr>
            <w:r>
              <w:rPr>
                <w:spacing w:val="-1"/>
                <w:lang w:val="ro-RO"/>
              </w:rPr>
              <w:t xml:space="preserve">15.817.02.04F </w:t>
            </w:r>
            <w:r>
              <w:rPr>
                <w:lang w:val="ro-RO"/>
              </w:rPr>
              <w:t>„Tendin</w:t>
            </w:r>
            <w:r>
              <w:rPr>
                <w:rFonts w:cs="Times New Roman CE" w:ascii="Times New Roman CE" w:hAnsi="Times New Roman CE"/>
                <w:lang w:val="ro-RO"/>
              </w:rPr>
              <w:t xml:space="preserve">ţe moderne în algebră, topologie </w:t>
            </w:r>
            <w:r>
              <w:rPr>
                <w:rFonts w:cs="Cambria Math" w:ascii="Cambria Math" w:hAnsi="Cambria Math"/>
                <w:lang w:val="ro-RO"/>
              </w:rPr>
              <w:t>ș</w:t>
            </w:r>
            <w:r>
              <w:rPr>
                <w:rFonts w:cs="Times New Roman CE" w:ascii="Times New Roman CE" w:hAnsi="Times New Roman CE"/>
                <w:lang w:val="ro-RO"/>
              </w:rPr>
              <w:t xml:space="preserve">i geometrie: cercetări fundamentale </w:t>
            </w:r>
            <w:r>
              <w:rPr>
                <w:rFonts w:cs="Cambria Math" w:ascii="Cambria Math" w:hAnsi="Cambria Math"/>
                <w:lang w:val="ro-RO"/>
              </w:rPr>
              <w:t>ș</w:t>
            </w:r>
            <w:r>
              <w:rPr>
                <w:lang w:val="ro-RO"/>
              </w:rPr>
              <w:t>i aplica</w:t>
            </w:r>
            <w:r>
              <w:rPr>
                <w:rFonts w:cs="Cambria Math" w:ascii="Cambria Math" w:hAnsi="Cambria Math"/>
                <w:lang w:val="ro-RO"/>
              </w:rPr>
              <w:t>ț</w:t>
            </w:r>
            <w:r>
              <w:rPr>
                <w:lang w:val="ro-RO"/>
              </w:rPr>
              <w:t>ii”</w:t>
            </w:r>
          </w:p>
        </w:tc>
      </w:tr>
    </w:tbl>
    <w:p>
      <w:pPr>
        <w:pStyle w:val="Normal"/>
        <w:widowControl/>
        <w:numPr>
          <w:ilvl w:val="0"/>
          <w:numId w:val="25"/>
        </w:numPr>
        <w:tabs>
          <w:tab w:val="left" w:pos="180" w:leader="none"/>
        </w:tabs>
        <w:bidi w:val="0"/>
        <w:ind w:left="925" w:right="0" w:hanging="0"/>
        <w:jc w:val="left"/>
        <w:textAlignment w:val="auto"/>
        <w:rPr>
          <w:lang w:val="ro-RO"/>
        </w:rPr>
      </w:pPr>
      <w:r>
        <w:rPr>
          <w:bCs/>
          <w:lang w:val="ro-RO"/>
        </w:rPr>
        <w:t xml:space="preserve">Obiectivele proiectului </w:t>
      </w:r>
    </w:p>
    <w:tbl>
      <w:tblPr>
        <w:tblW w:w="10065"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10065"/>
      </w:tblGrid>
      <w:tr>
        <w:trPr/>
        <w:tc>
          <w:tcPr>
            <w:tcW w:w="10065"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RO"/>
              </w:rPr>
            </w:pPr>
            <w:r>
              <w:rPr>
                <w:rFonts w:eastAsia="Malgun Gothic" w:cs="Times New Roman CE" w:ascii="Times New Roman CE" w:hAnsi="Times New Roman CE"/>
                <w:sz w:val="22"/>
                <w:szCs w:val="22"/>
                <w:lang w:val="ro-RO"/>
              </w:rPr>
              <w:t>Cercetarea şi rezolvarea unor probleme actuale din algebră, topologie, geometrie şi logică matematică, aplicarea unor rezultate noi în alte domenii ale matematicii, cât şi în criptologi</w:t>
            </w:r>
            <w:r>
              <w:rPr>
                <w:rFonts w:eastAsia="Malgun Gothic"/>
                <w:sz w:val="22"/>
                <w:szCs w:val="22"/>
                <w:lang w:val="ro-RO"/>
              </w:rPr>
              <w:t>e, codificarea informa</w:t>
            </w:r>
            <w:r>
              <w:rPr>
                <w:rFonts w:eastAsia="Malgun Gothic" w:cs="Cambria Math" w:ascii="Cambria Math" w:hAnsi="Cambria Math"/>
                <w:sz w:val="22"/>
                <w:szCs w:val="22"/>
                <w:lang w:val="ro-RO"/>
              </w:rPr>
              <w:t>ț</w:t>
            </w:r>
            <w:r>
              <w:rPr>
                <w:rFonts w:eastAsia="Malgun Gothic"/>
                <w:sz w:val="22"/>
                <w:szCs w:val="22"/>
                <w:lang w:val="ro-RO"/>
              </w:rPr>
              <w:t>iei</w:t>
            </w:r>
            <w:r>
              <w:rPr>
                <w:rFonts w:eastAsia="Malgun Gothic" w:cs="Times New Roman CE" w:ascii="Times New Roman CE" w:hAnsi="Times New Roman CE"/>
                <w:sz w:val="22"/>
                <w:szCs w:val="22"/>
                <w:lang w:val="ro-RO"/>
              </w:rPr>
              <w:t>, fizica relativistă</w:t>
            </w:r>
            <w:r>
              <w:rPr>
                <w:rFonts w:eastAsia="Malgun Gothic"/>
                <w:sz w:val="22"/>
                <w:szCs w:val="22"/>
                <w:lang w:val="ro-RO"/>
              </w:rPr>
              <w:t>.</w:t>
            </w:r>
          </w:p>
        </w:tc>
      </w:tr>
    </w:tbl>
    <w:p>
      <w:pPr>
        <w:pStyle w:val="Normal"/>
        <w:widowControl/>
        <w:numPr>
          <w:ilvl w:val="0"/>
          <w:numId w:val="25"/>
        </w:numPr>
        <w:tabs>
          <w:tab w:val="left" w:pos="180" w:leader="none"/>
        </w:tabs>
        <w:bidi w:val="0"/>
        <w:ind w:left="180" w:right="0" w:hanging="0"/>
        <w:jc w:val="left"/>
        <w:textAlignment w:val="auto"/>
        <w:rPr>
          <w:lang w:val="ro-RO"/>
        </w:rPr>
      </w:pPr>
      <w:r>
        <w:rPr>
          <w:rFonts w:cs="Times New Roman CE" w:ascii="Times New Roman CE" w:hAnsi="Times New Roman CE"/>
          <w:bCs/>
          <w:lang w:val="ro-RO"/>
        </w:rPr>
        <w:t>Termenul executării</w:t>
      </w:r>
      <w:r>
        <w:rPr>
          <w:color w:val="800000"/>
          <w:lang w:val="ro-RO"/>
        </w:rPr>
        <w:t xml:space="preserve"> </w:t>
      </w:r>
    </w:p>
    <w:tbl>
      <w:tblPr>
        <w:tblW w:w="9638"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638"/>
      </w:tblGrid>
      <w:tr>
        <w:trPr/>
        <w:tc>
          <w:tcPr>
            <w:tcW w:w="9638"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RO"/>
              </w:rPr>
            </w:pPr>
            <w:r>
              <w:rPr>
                <w:lang w:val="ro-RO"/>
              </w:rPr>
              <w:t>01.01.2015 - 31.12.2018</w:t>
            </w:r>
          </w:p>
        </w:tc>
      </w:tr>
    </w:tbl>
    <w:p>
      <w:pPr>
        <w:pStyle w:val="Normal"/>
        <w:widowControl/>
        <w:numPr>
          <w:ilvl w:val="0"/>
          <w:numId w:val="25"/>
        </w:numPr>
        <w:tabs>
          <w:tab w:val="left" w:pos="180" w:leader="none"/>
        </w:tabs>
        <w:bidi w:val="0"/>
        <w:ind w:left="180" w:right="0" w:hanging="0"/>
        <w:jc w:val="left"/>
        <w:textAlignment w:val="auto"/>
        <w:rPr>
          <w:lang w:val="ro-RO"/>
        </w:rPr>
      </w:pPr>
      <w:r>
        <w:rPr>
          <w:rFonts w:cs="Times New Roman CE" w:ascii="Times New Roman CE" w:hAnsi="Times New Roman CE"/>
          <w:lang w:val="ro-RO"/>
        </w:rPr>
        <w:t>Volumul total planificat al finanţării</w:t>
      </w:r>
    </w:p>
    <w:tbl>
      <w:tblPr>
        <w:tblW w:w="9638"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638"/>
      </w:tblGrid>
      <w:tr>
        <w:trPr/>
        <w:tc>
          <w:tcPr>
            <w:tcW w:w="9638"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RO"/>
              </w:rPr>
            </w:pPr>
            <w:r>
              <w:rPr>
                <w:lang w:val="ro-RO"/>
              </w:rPr>
              <w:t xml:space="preserve">6294,9  </w:t>
            </w:r>
            <w:r>
              <w:rPr>
                <w:i/>
                <w:lang w:val="ro-RO"/>
              </w:rPr>
              <w:t>(mii lei)</w:t>
            </w:r>
          </w:p>
        </w:tc>
      </w:tr>
    </w:tbl>
    <w:p>
      <w:pPr>
        <w:pStyle w:val="Normal"/>
        <w:widowControl/>
        <w:numPr>
          <w:ilvl w:val="0"/>
          <w:numId w:val="25"/>
        </w:numPr>
        <w:tabs>
          <w:tab w:val="left" w:pos="180" w:leader="none"/>
        </w:tabs>
        <w:bidi w:val="0"/>
        <w:ind w:left="180" w:right="0" w:hanging="0"/>
        <w:jc w:val="left"/>
        <w:textAlignment w:val="auto"/>
        <w:rPr>
          <w:lang w:val="ro-RO"/>
        </w:rPr>
      </w:pPr>
      <w:r>
        <w:rPr>
          <w:rFonts w:cs="Times New Roman CE" w:ascii="Times New Roman CE" w:hAnsi="Times New Roman CE"/>
          <w:lang w:val="ro-RO"/>
        </w:rPr>
        <w:t>Volumul finanţării pe perioada evaluată (mii lei)</w:t>
      </w:r>
    </w:p>
    <w:tbl>
      <w:tblPr>
        <w:tblW w:w="9638"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4736"/>
        <w:gridCol w:w="4901"/>
      </w:tblGrid>
      <w:tr>
        <w:trPr/>
        <w:tc>
          <w:tcPr>
            <w:tcW w:w="4736"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
                <w:lang w:val="ro-RO"/>
              </w:rPr>
              <w:t xml:space="preserve">Finanţarea planificată ( mii lei) </w:t>
            </w:r>
            <w:r>
              <w:rPr>
                <w:lang w:val="ro-RO"/>
              </w:rPr>
              <w:t>1436,5</w:t>
            </w:r>
          </w:p>
        </w:tc>
        <w:tc>
          <w:tcPr>
            <w:tcW w:w="4901"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bCs/>
                <w:i/>
                <w:lang w:val="ro-RO"/>
              </w:rPr>
              <w:t>Executată ( mii lei)</w:t>
            </w:r>
            <w:r>
              <w:rPr>
                <w:bCs/>
                <w:i/>
                <w:lang w:val="ro-RO"/>
              </w:rPr>
              <w:t xml:space="preserve"> </w:t>
            </w:r>
            <w:r>
              <w:rPr>
                <w:bCs/>
                <w:lang w:val="ro-RO"/>
              </w:rPr>
              <w:t>1436.4</w:t>
            </w:r>
          </w:p>
        </w:tc>
      </w:tr>
    </w:tbl>
    <w:p>
      <w:pPr>
        <w:pStyle w:val="Normal"/>
        <w:widowControl/>
        <w:numPr>
          <w:ilvl w:val="0"/>
          <w:numId w:val="25"/>
        </w:numPr>
        <w:tabs>
          <w:tab w:val="left" w:pos="180" w:leader="none"/>
        </w:tabs>
        <w:bidi w:val="0"/>
        <w:ind w:left="180" w:right="0" w:hanging="0"/>
        <w:jc w:val="left"/>
        <w:textAlignment w:val="auto"/>
        <w:rPr>
          <w:lang w:val="ro-RO"/>
        </w:rPr>
      </w:pPr>
      <w:r>
        <w:rPr>
          <w:rFonts w:cs="Times New Roman CE" w:ascii="Times New Roman CE" w:hAnsi="Times New Roman CE"/>
          <w:lang w:val="ro-RO"/>
        </w:rPr>
        <w:t>Subdiviziunile organizaţiei executoare (laborator, secţie, sector etc.)</w:t>
      </w:r>
    </w:p>
    <w:tbl>
      <w:tblPr>
        <w:tblW w:w="9585"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585"/>
      </w:tblGrid>
      <w:tr>
        <w:trPr>
          <w:trHeight w:val="339" w:hRule="atLeast"/>
        </w:trPr>
        <w:tc>
          <w:tcPr>
            <w:tcW w:w="9585"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lang w:val="ro-RO"/>
              </w:rPr>
              <w:t>Laboratorul Algebră şi Topologie</w:t>
            </w:r>
          </w:p>
        </w:tc>
      </w:tr>
    </w:tbl>
    <w:p>
      <w:pPr>
        <w:pStyle w:val="Normal"/>
        <w:widowControl/>
        <w:numPr>
          <w:ilvl w:val="0"/>
          <w:numId w:val="25"/>
        </w:numPr>
        <w:tabs>
          <w:tab w:val="left" w:pos="180" w:leader="none"/>
        </w:tabs>
        <w:bidi w:val="0"/>
        <w:ind w:left="180" w:right="0" w:hanging="0"/>
        <w:jc w:val="left"/>
        <w:textAlignment w:val="auto"/>
        <w:rPr>
          <w:lang w:val="ro-RO"/>
        </w:rPr>
      </w:pPr>
      <w:r>
        <w:rPr>
          <w:lang w:val="ro-RO"/>
        </w:rPr>
        <w:t xml:space="preserve">Executorii  </w:t>
      </w:r>
    </w:p>
    <w:tbl>
      <w:tblPr>
        <w:tblW w:w="9498" w:type="dxa"/>
        <w:jc w:val="left"/>
        <w:tblInd w:w="56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3" w:type="dxa"/>
          <w:bottom w:w="0" w:type="dxa"/>
          <w:right w:w="108" w:type="dxa"/>
        </w:tblCellMar>
      </w:tblPr>
      <w:tblGrid>
        <w:gridCol w:w="1070"/>
        <w:gridCol w:w="2408"/>
        <w:gridCol w:w="3076"/>
        <w:gridCol w:w="2943"/>
      </w:tblGrid>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lineRule="auto" w:line="276"/>
              <w:ind w:left="0" w:right="0" w:hanging="0"/>
              <w:jc w:val="left"/>
              <w:textAlignment w:val="auto"/>
              <w:rPr>
                <w:lang w:val="ro-MD"/>
              </w:rPr>
            </w:pPr>
            <w:r>
              <w:rPr>
                <w:bCs/>
                <w:sz w:val="22"/>
                <w:szCs w:val="22"/>
                <w:lang w:val="ro-MD"/>
              </w:rPr>
              <w:t>Nr./ ord.</w:t>
            </w:r>
          </w:p>
        </w:tc>
        <w:tc>
          <w:tcPr>
            <w:tcW w:w="24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lineRule="auto" w:line="276"/>
              <w:ind w:left="0" w:right="0" w:hanging="0"/>
              <w:jc w:val="left"/>
              <w:textAlignment w:val="auto"/>
              <w:rPr>
                <w:lang w:val="ro-MD"/>
              </w:rPr>
            </w:pPr>
            <w:r>
              <w:rPr>
                <w:bCs/>
                <w:i/>
                <w:sz w:val="22"/>
                <w:szCs w:val="22"/>
                <w:lang w:val="ro-MD"/>
              </w:rPr>
              <w:t xml:space="preserve">Nume, prenume </w:t>
            </w:r>
          </w:p>
        </w:tc>
        <w:tc>
          <w:tcPr>
            <w:tcW w:w="60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lineRule="auto" w:line="276"/>
              <w:ind w:left="0" w:right="0" w:hanging="0"/>
              <w:jc w:val="left"/>
              <w:textAlignment w:val="auto"/>
              <w:rPr>
                <w:lang w:val="ro-MD"/>
              </w:rPr>
            </w:pPr>
            <w:r>
              <w:rPr>
                <w:bCs/>
                <w:i/>
                <w:sz w:val="22"/>
                <w:szCs w:val="22"/>
                <w:lang w:val="ro-MD"/>
              </w:rPr>
              <w:t xml:space="preserve"> </w:t>
            </w:r>
            <w:r>
              <w:rPr>
                <w:bCs/>
                <w:i/>
                <w:sz w:val="22"/>
                <w:szCs w:val="22"/>
                <w:lang w:val="ro-MD"/>
              </w:rPr>
              <w:t>F</w:t>
            </w:r>
            <w:r>
              <w:rPr>
                <w:rFonts w:cs="Times New Roman CE" w:ascii="Times New Roman CE" w:hAnsi="Times New Roman CE"/>
                <w:bCs/>
                <w:i/>
                <w:sz w:val="22"/>
                <w:szCs w:val="22"/>
                <w:lang w:val="ro-MD"/>
              </w:rPr>
              <w:t>uncţia în cadrul proiectului</w:t>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1.</w:t>
            </w:r>
          </w:p>
        </w:tc>
        <w:tc>
          <w:tcPr>
            <w:tcW w:w="24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
                <w:lang w:val="ro-RO"/>
              </w:rPr>
              <w:t>Caşu Alexei</w:t>
            </w:r>
          </w:p>
        </w:tc>
        <w:tc>
          <w:tcPr>
            <w:tcW w:w="30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
                <w:sz w:val="22"/>
                <w:szCs w:val="22"/>
                <w:lang w:val="ro-RO"/>
              </w:rPr>
              <w:t>conducătorul proiectului</w:t>
            </w:r>
          </w:p>
        </w:tc>
        <w:tc>
          <w:tcPr>
            <w:tcW w:w="29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iCs/>
                <w:sz w:val="22"/>
                <w:szCs w:val="22"/>
                <w:lang w:val="ro-MD"/>
              </w:rPr>
              <w:t>doctor habilitat</w:t>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2.</w:t>
            </w:r>
          </w:p>
        </w:tc>
        <w:tc>
          <w:tcPr>
            <w:tcW w:w="24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
                <w:lang w:val="ro-RO"/>
              </w:rPr>
              <w:t>Izbaş Vladimir</w:t>
            </w:r>
          </w:p>
        </w:tc>
        <w:tc>
          <w:tcPr>
            <w:tcW w:w="30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bCs/>
                <w:i/>
                <w:iCs/>
                <w:sz w:val="22"/>
                <w:szCs w:val="22"/>
                <w:lang w:val="ro-MD"/>
              </w:rPr>
              <w:t xml:space="preserve">cercetător ştiinţific  </w:t>
            </w:r>
            <w:r>
              <w:rPr>
                <w:i/>
                <w:sz w:val="22"/>
                <w:szCs w:val="22"/>
                <w:lang w:val="ro-RO"/>
              </w:rPr>
              <w:t>coordonator</w:t>
            </w:r>
          </w:p>
        </w:tc>
        <w:tc>
          <w:tcPr>
            <w:tcW w:w="29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iCs/>
                <w:sz w:val="22"/>
                <w:szCs w:val="22"/>
                <w:lang w:val="ro-MD"/>
              </w:rPr>
              <w:t xml:space="preserve">doctor </w:t>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3.</w:t>
            </w:r>
          </w:p>
        </w:tc>
        <w:tc>
          <w:tcPr>
            <w:tcW w:w="24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
                <w:lang w:val="ro-RO"/>
              </w:rPr>
              <w:t>Arnautov Vladimir</w:t>
            </w:r>
          </w:p>
        </w:tc>
        <w:tc>
          <w:tcPr>
            <w:tcW w:w="30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bCs/>
                <w:i/>
                <w:iCs/>
                <w:sz w:val="22"/>
                <w:szCs w:val="22"/>
                <w:lang w:val="ro-MD"/>
              </w:rPr>
              <w:t>cercetător ştiinţific  principal</w:t>
            </w:r>
          </w:p>
        </w:tc>
        <w:tc>
          <w:tcPr>
            <w:tcW w:w="29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iCs/>
                <w:sz w:val="22"/>
                <w:szCs w:val="22"/>
                <w:lang w:val="ro-MD"/>
              </w:rPr>
              <w:t>doctor habilitat, academician</w:t>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4.</w:t>
            </w:r>
          </w:p>
        </w:tc>
        <w:tc>
          <w:tcPr>
            <w:tcW w:w="24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
                <w:lang w:val="ro-RO"/>
              </w:rPr>
              <w:t>Reabuhin Iurii</w:t>
            </w:r>
          </w:p>
        </w:tc>
        <w:tc>
          <w:tcPr>
            <w:tcW w:w="30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
                <w:sz w:val="22"/>
                <w:szCs w:val="22"/>
                <w:lang w:val="ro-RO"/>
              </w:rPr>
              <w:t xml:space="preserve">cercetător ştiinţific </w:t>
            </w:r>
            <w:r>
              <w:rPr>
                <w:bCs/>
                <w:i/>
                <w:iCs/>
                <w:sz w:val="22"/>
                <w:szCs w:val="22"/>
                <w:lang w:val="ro-MD"/>
              </w:rPr>
              <w:t>principal</w:t>
            </w:r>
          </w:p>
        </w:tc>
        <w:tc>
          <w:tcPr>
            <w:tcW w:w="29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iCs/>
                <w:sz w:val="22"/>
                <w:szCs w:val="22"/>
                <w:lang w:val="ro-MD"/>
              </w:rPr>
              <w:t>doctor habilitat, academician</w:t>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5.</w:t>
            </w:r>
          </w:p>
        </w:tc>
        <w:tc>
          <w:tcPr>
            <w:tcW w:w="24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
                <w:lang w:val="ro-RO"/>
              </w:rPr>
              <w:t>Şcerbacov Victor</w:t>
            </w:r>
          </w:p>
        </w:tc>
        <w:tc>
          <w:tcPr>
            <w:tcW w:w="30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
                <w:sz w:val="22"/>
                <w:szCs w:val="22"/>
                <w:lang w:val="ro-RO"/>
              </w:rPr>
              <w:t xml:space="preserve">cercetător ştiinţific </w:t>
            </w:r>
            <w:r>
              <w:rPr>
                <w:bCs/>
                <w:i/>
                <w:iCs/>
                <w:sz w:val="22"/>
                <w:szCs w:val="22"/>
                <w:lang w:val="ro-MD"/>
              </w:rPr>
              <w:t>principal</w:t>
            </w:r>
          </w:p>
        </w:tc>
        <w:tc>
          <w:tcPr>
            <w:tcW w:w="29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
                <w:sz w:val="22"/>
                <w:szCs w:val="22"/>
                <w:lang w:val="ro-RO"/>
              </w:rPr>
              <w:t>doctor</w:t>
            </w:r>
            <w:r>
              <w:rPr>
                <w:bCs/>
                <w:i/>
                <w:iCs/>
                <w:sz w:val="22"/>
                <w:szCs w:val="22"/>
                <w:lang w:val="ro-MD"/>
              </w:rPr>
              <w:t xml:space="preserve"> habilitat</w:t>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 xml:space="preserve">6. </w:t>
            </w:r>
          </w:p>
        </w:tc>
        <w:tc>
          <w:tcPr>
            <w:tcW w:w="24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
                <w:lang w:val="ro-RO"/>
              </w:rPr>
              <w:t>Guţul Ion</w:t>
            </w:r>
          </w:p>
        </w:tc>
        <w:tc>
          <w:tcPr>
            <w:tcW w:w="30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
                <w:sz w:val="22"/>
                <w:szCs w:val="22"/>
                <w:lang w:val="ro-RO"/>
              </w:rPr>
              <w:t>cercetător ştiinţif</w:t>
            </w:r>
            <w:r>
              <w:rPr>
                <w:i/>
                <w:sz w:val="22"/>
                <w:szCs w:val="22"/>
                <w:lang w:val="ro-RO"/>
              </w:rPr>
              <w:t>ic coordonator</w:t>
            </w:r>
          </w:p>
        </w:tc>
        <w:tc>
          <w:tcPr>
            <w:tcW w:w="29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
                <w:sz w:val="22"/>
                <w:szCs w:val="22"/>
                <w:lang w:val="ro-RO"/>
              </w:rPr>
              <w:t>doctor</w:t>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7.</w:t>
            </w:r>
          </w:p>
        </w:tc>
        <w:tc>
          <w:tcPr>
            <w:tcW w:w="24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
                <w:lang w:val="ro-RO"/>
              </w:rPr>
              <w:t>Popa Valerii</w:t>
            </w:r>
          </w:p>
        </w:tc>
        <w:tc>
          <w:tcPr>
            <w:tcW w:w="30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i/>
                <w:sz w:val="22"/>
                <w:szCs w:val="22"/>
                <w:lang w:val="ro-MD"/>
              </w:rPr>
              <w:t>cercetător ştiinţific</w:t>
            </w:r>
            <w:r>
              <w:rPr>
                <w:i/>
                <w:sz w:val="22"/>
                <w:szCs w:val="22"/>
                <w:lang w:val="ro-RO"/>
              </w:rPr>
              <w:t xml:space="preserve"> coordonator</w:t>
            </w:r>
          </w:p>
        </w:tc>
        <w:tc>
          <w:tcPr>
            <w:tcW w:w="29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
                <w:sz w:val="22"/>
                <w:szCs w:val="22"/>
                <w:lang w:val="ro-RO"/>
              </w:rPr>
              <w:t>doctor</w:t>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8.</w:t>
            </w:r>
          </w:p>
        </w:tc>
        <w:tc>
          <w:tcPr>
            <w:tcW w:w="24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
                <w:lang w:val="ro-RO"/>
              </w:rPr>
              <w:t>Cuzneţov Evghenii</w:t>
            </w:r>
          </w:p>
        </w:tc>
        <w:tc>
          <w:tcPr>
            <w:tcW w:w="30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i/>
                <w:sz w:val="22"/>
                <w:szCs w:val="22"/>
                <w:lang w:val="ro-MD"/>
              </w:rPr>
              <w:t>cercetător ştiinţific superior</w:t>
            </w:r>
          </w:p>
        </w:tc>
        <w:tc>
          <w:tcPr>
            <w:tcW w:w="29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
                <w:sz w:val="22"/>
                <w:szCs w:val="22"/>
                <w:lang w:val="ro-RO"/>
              </w:rPr>
              <w:t>doctor</w:t>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9.</w:t>
            </w:r>
          </w:p>
        </w:tc>
        <w:tc>
          <w:tcPr>
            <w:tcW w:w="24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
                <w:lang w:val="ro-RO"/>
              </w:rPr>
              <w:t>Izbaş Olga</w:t>
            </w:r>
          </w:p>
        </w:tc>
        <w:tc>
          <w:tcPr>
            <w:tcW w:w="30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MD"/>
              </w:rPr>
            </w:pPr>
            <w:r>
              <w:rPr>
                <w:rFonts w:cs="Times New Roman CE" w:ascii="Times New Roman CE" w:hAnsi="Times New Roman CE"/>
                <w:i/>
                <w:sz w:val="22"/>
                <w:szCs w:val="22"/>
                <w:lang w:val="ro-MD"/>
              </w:rPr>
              <w:t>cercetător ştiinţific superior</w:t>
            </w:r>
          </w:p>
        </w:tc>
        <w:tc>
          <w:tcPr>
            <w:tcW w:w="29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i/>
                <w:sz w:val="22"/>
                <w:szCs w:val="22"/>
                <w:lang w:val="ro-RO"/>
              </w:rPr>
              <w:t>doctor</w:t>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10.</w:t>
            </w:r>
          </w:p>
        </w:tc>
        <w:tc>
          <w:tcPr>
            <w:tcW w:w="24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
                <w:lang w:val="ro-RO"/>
              </w:rPr>
              <w:t>Damian Florin</w:t>
            </w:r>
          </w:p>
        </w:tc>
        <w:tc>
          <w:tcPr>
            <w:tcW w:w="30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MD"/>
              </w:rPr>
            </w:pPr>
            <w:r>
              <w:rPr>
                <w:rFonts w:cs="Times New Roman CE" w:ascii="Times New Roman CE" w:hAnsi="Times New Roman CE"/>
                <w:i/>
                <w:sz w:val="22"/>
                <w:szCs w:val="22"/>
                <w:lang w:val="ro-MD"/>
              </w:rPr>
              <w:t>cercetător ştiinţific superior</w:t>
            </w:r>
          </w:p>
        </w:tc>
        <w:tc>
          <w:tcPr>
            <w:tcW w:w="29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i/>
                <w:sz w:val="22"/>
                <w:szCs w:val="22"/>
                <w:lang w:val="ro-RO"/>
              </w:rPr>
              <w:t>doctor</w:t>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11.</w:t>
            </w:r>
          </w:p>
        </w:tc>
        <w:tc>
          <w:tcPr>
            <w:tcW w:w="24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
                <w:lang w:val="ro-RO"/>
              </w:rPr>
              <w:t>Cojuhari Elena</w:t>
            </w:r>
          </w:p>
        </w:tc>
        <w:tc>
          <w:tcPr>
            <w:tcW w:w="30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MD"/>
              </w:rPr>
            </w:pPr>
            <w:r>
              <w:rPr>
                <w:rFonts w:cs="Times New Roman CE" w:ascii="Times New Roman CE" w:hAnsi="Times New Roman CE"/>
                <w:i/>
                <w:sz w:val="22"/>
                <w:szCs w:val="22"/>
                <w:lang w:val="ro-MD"/>
              </w:rPr>
              <w:t>cercetător ştiinţific superior</w:t>
            </w:r>
          </w:p>
        </w:tc>
        <w:tc>
          <w:tcPr>
            <w:tcW w:w="29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i/>
                <w:sz w:val="22"/>
                <w:szCs w:val="22"/>
                <w:lang w:val="ro-RO"/>
              </w:rPr>
              <w:t>doctor</w:t>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12.</w:t>
            </w:r>
          </w:p>
        </w:tc>
        <w:tc>
          <w:tcPr>
            <w:tcW w:w="24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
                <w:lang w:val="ro-RO"/>
              </w:rPr>
              <w:t>Zamorzaeva Elizaveta</w:t>
            </w:r>
          </w:p>
        </w:tc>
        <w:tc>
          <w:tcPr>
            <w:tcW w:w="30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MD"/>
              </w:rPr>
            </w:pPr>
            <w:r>
              <w:rPr>
                <w:rFonts w:cs="Times New Roman CE" w:ascii="Times New Roman CE" w:hAnsi="Times New Roman CE"/>
                <w:i/>
                <w:sz w:val="22"/>
                <w:szCs w:val="22"/>
                <w:lang w:val="ro-MD"/>
              </w:rPr>
              <w:t>cercetător ştiinţific superior</w:t>
            </w:r>
          </w:p>
        </w:tc>
        <w:tc>
          <w:tcPr>
            <w:tcW w:w="29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i/>
                <w:sz w:val="22"/>
                <w:szCs w:val="22"/>
                <w:lang w:val="ro-RO"/>
              </w:rPr>
              <w:t>doctor</w:t>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13.</w:t>
            </w:r>
          </w:p>
        </w:tc>
        <w:tc>
          <w:tcPr>
            <w:tcW w:w="24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
                <w:lang w:val="ro-RO"/>
              </w:rPr>
              <w:t>Bejan Andrei</w:t>
            </w:r>
          </w:p>
        </w:tc>
        <w:tc>
          <w:tcPr>
            <w:tcW w:w="30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
                <w:sz w:val="22"/>
                <w:szCs w:val="22"/>
                <w:lang w:val="ro-RO"/>
              </w:rPr>
              <w:t>cercetător ştiinţif</w:t>
            </w:r>
            <w:r>
              <w:rPr>
                <w:i/>
                <w:sz w:val="22"/>
                <w:szCs w:val="22"/>
                <w:lang w:val="ro-RO"/>
              </w:rPr>
              <w:t>ic coordonator</w:t>
            </w:r>
          </w:p>
        </w:tc>
        <w:tc>
          <w:tcPr>
            <w:tcW w:w="29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
                <w:sz w:val="22"/>
                <w:szCs w:val="22"/>
                <w:lang w:val="ro-RO"/>
              </w:rPr>
              <w:t>doctor</w:t>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14.</w:t>
            </w:r>
          </w:p>
        </w:tc>
        <w:tc>
          <w:tcPr>
            <w:tcW w:w="24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
                <w:lang w:val="ro-RO"/>
              </w:rPr>
              <w:t>Dr</w:t>
            </w:r>
            <w:r>
              <w:rPr>
                <w:rFonts w:cs="Times New Roman CE" w:ascii="Times New Roman CE" w:hAnsi="Times New Roman CE"/>
                <w:i/>
                <w:lang w:val="ro-RO"/>
              </w:rPr>
              <w:t>uguş</w:t>
            </w:r>
            <w:r>
              <w:rPr>
                <w:i/>
                <w:lang w:val="ro-RO"/>
              </w:rPr>
              <w:t xml:space="preserve"> Ion</w:t>
            </w:r>
          </w:p>
        </w:tc>
        <w:tc>
          <w:tcPr>
            <w:tcW w:w="30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MD"/>
              </w:rPr>
            </w:pPr>
            <w:r>
              <w:rPr>
                <w:rFonts w:cs="Times New Roman CE" w:ascii="Times New Roman CE" w:hAnsi="Times New Roman CE"/>
                <w:i/>
                <w:sz w:val="22"/>
                <w:szCs w:val="22"/>
                <w:lang w:val="ro-MD"/>
              </w:rPr>
              <w:t>cercetător ştiinţific superior</w:t>
            </w:r>
          </w:p>
        </w:tc>
        <w:tc>
          <w:tcPr>
            <w:tcW w:w="29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i/>
                <w:sz w:val="22"/>
                <w:szCs w:val="22"/>
                <w:lang w:val="ro-RO"/>
              </w:rPr>
              <w:t>doctor</w:t>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15.</w:t>
            </w:r>
          </w:p>
        </w:tc>
        <w:tc>
          <w:tcPr>
            <w:tcW w:w="24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
                <w:lang w:val="ro-RO"/>
              </w:rPr>
              <w:t>Moraraş Ecaterina</w:t>
            </w:r>
          </w:p>
        </w:tc>
        <w:tc>
          <w:tcPr>
            <w:tcW w:w="30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i/>
                <w:sz w:val="22"/>
                <w:szCs w:val="22"/>
                <w:lang w:val="ro-RO"/>
              </w:rPr>
              <w:t>inginer matematician</w:t>
            </w:r>
          </w:p>
        </w:tc>
        <w:tc>
          <w:tcPr>
            <w:tcW w:w="29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rFonts w:ascii="Times New Roman" w:hAnsi="Times New Roman"/>
                <w:i/>
                <w:i/>
                <w:sz w:val="22"/>
                <w:szCs w:val="22"/>
                <w:lang w:val="ro-RO"/>
              </w:rPr>
            </w:pPr>
            <w:r>
              <w:rPr>
                <w:i/>
                <w:sz w:val="22"/>
                <w:szCs w:val="22"/>
                <w:lang w:val="ro-RO"/>
              </w:rPr>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16.</w:t>
            </w:r>
          </w:p>
        </w:tc>
        <w:tc>
          <w:tcPr>
            <w:tcW w:w="24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
                <w:lang w:val="ro-RO"/>
              </w:rPr>
              <w:t>Luchian Mihail</w:t>
            </w:r>
          </w:p>
        </w:tc>
        <w:tc>
          <w:tcPr>
            <w:tcW w:w="30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i/>
                <w:sz w:val="22"/>
                <w:szCs w:val="22"/>
                <w:lang w:val="ro-RO"/>
              </w:rPr>
              <w:t>inginer programator</w:t>
            </w:r>
          </w:p>
        </w:tc>
        <w:tc>
          <w:tcPr>
            <w:tcW w:w="29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rFonts w:ascii="Times New Roman" w:hAnsi="Times New Roman"/>
                <w:i/>
                <w:i/>
                <w:sz w:val="22"/>
                <w:szCs w:val="22"/>
                <w:lang w:val="ro-RO"/>
              </w:rPr>
            </w:pPr>
            <w:r>
              <w:rPr>
                <w:i/>
                <w:sz w:val="22"/>
                <w:szCs w:val="22"/>
                <w:lang w:val="ro-RO"/>
              </w:rPr>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17.</w:t>
            </w:r>
          </w:p>
        </w:tc>
        <w:tc>
          <w:tcPr>
            <w:tcW w:w="24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
                <w:lang w:val="ro-RO"/>
              </w:rPr>
              <w:t>Tcacenco Alexandru</w:t>
            </w:r>
          </w:p>
        </w:tc>
        <w:tc>
          <w:tcPr>
            <w:tcW w:w="30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i/>
                <w:sz w:val="22"/>
                <w:szCs w:val="22"/>
                <w:lang w:val="ro-RO"/>
              </w:rPr>
              <w:t>inginer programator</w:t>
            </w:r>
          </w:p>
        </w:tc>
        <w:tc>
          <w:tcPr>
            <w:tcW w:w="29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rFonts w:ascii="Times New Roman" w:hAnsi="Times New Roman"/>
                <w:i/>
                <w:i/>
                <w:sz w:val="22"/>
                <w:szCs w:val="22"/>
                <w:lang w:val="ro-RO"/>
              </w:rPr>
            </w:pPr>
            <w:r>
              <w:rPr>
                <w:i/>
                <w:sz w:val="22"/>
                <w:szCs w:val="22"/>
                <w:lang w:val="ro-RO"/>
              </w:rPr>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18.</w:t>
            </w:r>
          </w:p>
        </w:tc>
        <w:tc>
          <w:tcPr>
            <w:tcW w:w="24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
                <w:lang w:val="ro-RO"/>
              </w:rPr>
              <w:t>Morăraş Ecaterina</w:t>
            </w:r>
          </w:p>
        </w:tc>
        <w:tc>
          <w:tcPr>
            <w:tcW w:w="30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i/>
                <w:sz w:val="22"/>
                <w:szCs w:val="22"/>
                <w:lang w:val="ro-RO"/>
              </w:rPr>
              <w:t>inginer matematician</w:t>
            </w:r>
          </w:p>
        </w:tc>
        <w:tc>
          <w:tcPr>
            <w:tcW w:w="29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rFonts w:ascii="Times New Roman" w:hAnsi="Times New Roman"/>
                <w:i/>
                <w:i/>
                <w:sz w:val="22"/>
                <w:szCs w:val="22"/>
                <w:lang w:val="ro-RO"/>
              </w:rPr>
            </w:pPr>
            <w:r>
              <w:rPr>
                <w:i/>
                <w:sz w:val="22"/>
                <w:szCs w:val="22"/>
                <w:lang w:val="ro-RO"/>
              </w:rPr>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19.</w:t>
            </w:r>
          </w:p>
        </w:tc>
        <w:tc>
          <w:tcPr>
            <w:tcW w:w="240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
                <w:lang w:val="ro-RO"/>
              </w:rPr>
              <w:t>Ţarină Tatiana</w:t>
            </w:r>
          </w:p>
        </w:tc>
        <w:tc>
          <w:tcPr>
            <w:tcW w:w="30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i/>
                <w:sz w:val="22"/>
                <w:szCs w:val="22"/>
                <w:lang w:val="ro-RO"/>
              </w:rPr>
              <w:t>inginer matematician</w:t>
            </w:r>
          </w:p>
        </w:tc>
        <w:tc>
          <w:tcPr>
            <w:tcW w:w="294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rFonts w:ascii="Times New Roman" w:hAnsi="Times New Roman"/>
                <w:i/>
                <w:i/>
                <w:sz w:val="22"/>
                <w:szCs w:val="22"/>
                <w:lang w:val="ro-RO"/>
              </w:rPr>
            </w:pPr>
            <w:r>
              <w:rPr>
                <w:i/>
                <w:sz w:val="22"/>
                <w:szCs w:val="22"/>
                <w:lang w:val="ro-RO"/>
              </w:rPr>
            </w:r>
          </w:p>
        </w:tc>
      </w:tr>
    </w:tbl>
    <w:p>
      <w:pPr>
        <w:pStyle w:val="Normal"/>
        <w:widowControl/>
        <w:numPr>
          <w:ilvl w:val="0"/>
          <w:numId w:val="25"/>
        </w:numPr>
        <w:tabs>
          <w:tab w:val="left" w:pos="142" w:leader="none"/>
        </w:tabs>
        <w:bidi w:val="0"/>
        <w:ind w:left="180" w:right="0" w:hanging="0"/>
        <w:jc w:val="left"/>
        <w:textAlignment w:val="auto"/>
        <w:rPr>
          <w:lang w:val="ro-RO"/>
        </w:rPr>
      </w:pPr>
      <w:r>
        <w:rPr>
          <w:rFonts w:cs="Times New Roman CE" w:ascii="Times New Roman CE" w:hAnsi="Times New Roman CE"/>
          <w:lang w:val="ro-RO"/>
        </w:rPr>
        <w:t>Sumarul activităţilor proiectului realizate în anul 201</w:t>
      </w:r>
      <w:r>
        <w:rPr>
          <w:lang w:val="ro-RO"/>
        </w:rPr>
        <w:t xml:space="preserve">6 </w:t>
      </w:r>
    </w:p>
    <w:tbl>
      <w:tblPr>
        <w:tblW w:w="9632"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1020"/>
        <w:gridCol w:w="2832"/>
        <w:gridCol w:w="5780"/>
      </w:tblGrid>
      <w:tr>
        <w:trPr/>
        <w:tc>
          <w:tcPr>
            <w:tcW w:w="1020"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rFonts w:ascii="Times New Roman" w:hAnsi="Times New Roman"/>
                <w:bCs/>
                <w:color w:val="000000"/>
                <w:lang w:val="ro-RO"/>
              </w:rPr>
            </w:pPr>
            <w:r>
              <w:rPr>
                <w:bCs/>
                <w:color w:val="000000"/>
                <w:lang w:val="ro-RO"/>
              </w:rPr>
            </w:r>
          </w:p>
        </w:tc>
        <w:tc>
          <w:tcPr>
            <w:tcW w:w="2832"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bCs/>
                <w:i/>
                <w:color w:val="000000"/>
                <w:lang w:val="ro-RO"/>
              </w:rPr>
              <w:t>Activităţi planificate</w:t>
            </w:r>
          </w:p>
        </w:tc>
        <w:tc>
          <w:tcPr>
            <w:tcW w:w="5780"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bCs/>
                <w:i/>
                <w:color w:val="000000"/>
                <w:lang w:val="ro-RO"/>
              </w:rPr>
              <w:t>Activităţi realizate şi rezultate noi obţinute în cadrul pro</w:t>
            </w:r>
            <w:r>
              <w:rPr>
                <w:bCs/>
                <w:i/>
                <w:color w:val="000000"/>
                <w:lang w:val="ro-RO"/>
              </w:rPr>
              <w:t xml:space="preserve">iectului  </w:t>
            </w:r>
          </w:p>
        </w:tc>
      </w:tr>
      <w:tr>
        <w:trPr/>
        <w:tc>
          <w:tcPr>
            <w:tcW w:w="1020"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RO"/>
              </w:rPr>
            </w:pPr>
            <w:r>
              <w:rPr>
                <w:i/>
                <w:color w:val="000000"/>
                <w:sz w:val="22"/>
                <w:szCs w:val="22"/>
                <w:lang w:val="ro-RO"/>
              </w:rPr>
              <w:t>1.</w:t>
            </w:r>
          </w:p>
        </w:tc>
        <w:tc>
          <w:tcPr>
            <w:tcW w:w="2832"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Style10"/>
              <w:widowControl/>
              <w:bidi w:val="0"/>
              <w:spacing w:before="0" w:after="120"/>
              <w:ind w:left="0" w:right="0" w:hanging="0"/>
              <w:jc w:val="left"/>
              <w:textAlignment w:val="auto"/>
              <w:rPr>
                <w:lang w:val="ro-RO"/>
              </w:rPr>
            </w:pPr>
            <w:r>
              <w:rPr>
                <w:i/>
                <w:sz w:val="22"/>
                <w:szCs w:val="22"/>
                <w:u w:val="single"/>
                <w:lang w:val="ro-RO"/>
              </w:rPr>
              <w:t>Etapa I.</w:t>
            </w:r>
            <w:r>
              <w:rPr>
                <w:rFonts w:cs="Times New Roman CE" w:ascii="Times New Roman CE" w:hAnsi="Times New Roman CE"/>
                <w:i/>
                <w:sz w:val="22"/>
                <w:szCs w:val="22"/>
                <w:lang w:val="ro-RO"/>
              </w:rPr>
              <w:t xml:space="preserve"> Topologii metrizabile peste un inel discret. Grupuri abeliene local compacte şi inelele lor de endomorfisme continui. </w:t>
            </w:r>
          </w:p>
          <w:p>
            <w:pPr>
              <w:pStyle w:val="Style10"/>
              <w:widowControl/>
              <w:bidi w:val="0"/>
              <w:spacing w:before="0" w:after="120"/>
              <w:ind w:left="0" w:right="0" w:hanging="0"/>
              <w:jc w:val="left"/>
              <w:textAlignment w:val="auto"/>
              <w:rPr>
                <w:rFonts w:ascii="Times New Roman" w:hAnsi="Times New Roman"/>
                <w:i/>
                <w:i/>
                <w:sz w:val="22"/>
                <w:szCs w:val="22"/>
                <w:lang w:val="ro-RO"/>
              </w:rPr>
            </w:pPr>
            <w:r>
              <w:rPr>
                <w:i/>
                <w:sz w:val="22"/>
                <w:szCs w:val="22"/>
                <w:lang w:val="ro-RO"/>
              </w:rPr>
            </w:r>
          </w:p>
          <w:p>
            <w:pPr>
              <w:pStyle w:val="Style10"/>
              <w:widowControl/>
              <w:bidi w:val="0"/>
              <w:spacing w:before="0" w:after="120"/>
              <w:ind w:left="0" w:right="0" w:hanging="0"/>
              <w:jc w:val="left"/>
              <w:textAlignment w:val="auto"/>
              <w:rPr>
                <w:rFonts w:ascii="Times New Roman" w:hAnsi="Times New Roman"/>
                <w:i/>
                <w:i/>
                <w:sz w:val="22"/>
                <w:szCs w:val="22"/>
                <w:lang w:val="ro-RO"/>
              </w:rPr>
            </w:pPr>
            <w:r>
              <w:rPr>
                <w:i/>
                <w:sz w:val="22"/>
                <w:szCs w:val="22"/>
                <w:lang w:val="ro-RO"/>
              </w:rPr>
            </w:r>
          </w:p>
          <w:p>
            <w:pPr>
              <w:pStyle w:val="Style10"/>
              <w:widowControl/>
              <w:bidi w:val="0"/>
              <w:ind w:left="0" w:right="0" w:hanging="0"/>
              <w:jc w:val="both"/>
              <w:textAlignment w:val="auto"/>
              <w:rPr/>
            </w:pPr>
            <w:r>
              <w:rPr>
                <w:i/>
                <w:sz w:val="22"/>
                <w:szCs w:val="22"/>
                <w:u w:val="single"/>
                <w:lang w:val="ro-RO"/>
              </w:rPr>
              <w:t>Etapa II.</w:t>
            </w:r>
            <w:r>
              <w:rPr>
                <w:rFonts w:cs="Times New Roman CE" w:ascii="Times New Roman CE" w:hAnsi="Times New Roman CE"/>
                <w:i/>
                <w:sz w:val="22"/>
                <w:szCs w:val="22"/>
                <w:lang w:val="ro-RO"/>
              </w:rPr>
              <w:t xml:space="preserve"> Transversale în grupuri. T</w:t>
            </w:r>
            <w:r>
              <w:rPr>
                <w:i/>
                <w:sz w:val="22"/>
                <w:szCs w:val="22"/>
                <w:vertAlign w:val="subscript"/>
                <w:lang w:val="ro-RO"/>
              </w:rPr>
              <w:t>2</w:t>
            </w:r>
            <w:r>
              <w:rPr>
                <w:rFonts w:cs="Times New Roman CE" w:ascii="Times New Roman CE" w:hAnsi="Times New Roman CE"/>
                <w:i/>
                <w:sz w:val="22"/>
                <w:szCs w:val="22"/>
                <w:lang w:val="ro-RO"/>
              </w:rPr>
              <w:t>-cuasigrupuri  mediale. Cifruri bazate pe cuasigrupuri şi proprietăţile lo</w:t>
            </w:r>
            <w:r>
              <w:rPr>
                <w:i/>
                <w:sz w:val="22"/>
                <w:szCs w:val="22"/>
                <w:lang w:val="ro-RO"/>
              </w:rPr>
              <w:t>r. Algebre multisortate.</w:t>
            </w:r>
          </w:p>
          <w:p>
            <w:pPr>
              <w:pStyle w:val="Style10"/>
              <w:widowControl/>
              <w:bidi w:val="0"/>
              <w:ind w:left="0" w:right="0" w:hanging="0"/>
              <w:jc w:val="both"/>
              <w:textAlignment w:val="auto"/>
              <w:rPr/>
            </w:pPr>
            <w:r>
              <w:rPr>
                <w:rFonts w:cs="Times New Roman CE" w:ascii="Times New Roman CE" w:hAnsi="Times New Roman CE"/>
                <w:i/>
                <w:sz w:val="22"/>
                <w:szCs w:val="22"/>
                <w:lang w:val="ro-RO"/>
              </w:rPr>
              <w:t>Completitudine funcţională. Clase precomplete de formule.</w:t>
            </w:r>
          </w:p>
          <w:p>
            <w:pPr>
              <w:pStyle w:val="Style10"/>
              <w:widowControl/>
              <w:bidi w:val="0"/>
              <w:ind w:left="0" w:right="0" w:hanging="0"/>
              <w:jc w:val="both"/>
              <w:textAlignment w:val="auto"/>
              <w:rPr>
                <w:rFonts w:ascii="Times New Roman" w:hAnsi="Times New Roman"/>
                <w:i/>
                <w:i/>
                <w:sz w:val="22"/>
                <w:szCs w:val="22"/>
                <w:u w:val="single"/>
                <w:lang w:val="ro-RO"/>
              </w:rPr>
            </w:pPr>
            <w:r>
              <w:rPr>
                <w:i/>
                <w:sz w:val="22"/>
                <w:szCs w:val="22"/>
                <w:u w:val="single"/>
                <w:lang w:val="ro-RO"/>
              </w:rPr>
            </w:r>
          </w:p>
          <w:p>
            <w:pPr>
              <w:pStyle w:val="Style10"/>
              <w:widowControl/>
              <w:bidi w:val="0"/>
              <w:spacing w:before="0" w:after="120"/>
              <w:ind w:left="0" w:right="0" w:hanging="0"/>
              <w:jc w:val="both"/>
              <w:textAlignment w:val="auto"/>
              <w:rPr>
                <w:rFonts w:ascii="Times New Roman" w:hAnsi="Times New Roman"/>
                <w:i/>
                <w:i/>
                <w:sz w:val="22"/>
                <w:szCs w:val="22"/>
                <w:u w:val="single"/>
                <w:lang w:val="ro-RO"/>
              </w:rPr>
            </w:pPr>
            <w:r>
              <w:rPr>
                <w:i/>
                <w:sz w:val="22"/>
                <w:szCs w:val="22"/>
                <w:u w:val="single"/>
                <w:lang w:val="ro-RO"/>
              </w:rPr>
            </w:r>
          </w:p>
          <w:p>
            <w:pPr>
              <w:pStyle w:val="Style10"/>
              <w:widowControl/>
              <w:bidi w:val="0"/>
              <w:spacing w:before="0" w:after="120"/>
              <w:ind w:left="0" w:right="0" w:hanging="0"/>
              <w:jc w:val="both"/>
              <w:textAlignment w:val="auto"/>
              <w:rPr>
                <w:rFonts w:ascii="Times New Roman" w:hAnsi="Times New Roman"/>
                <w:i/>
                <w:i/>
                <w:sz w:val="22"/>
                <w:szCs w:val="22"/>
                <w:u w:val="single"/>
                <w:lang w:val="ro-RO"/>
              </w:rPr>
            </w:pPr>
            <w:r>
              <w:rPr>
                <w:i/>
                <w:sz w:val="22"/>
                <w:szCs w:val="22"/>
                <w:u w:val="single"/>
                <w:lang w:val="ro-RO"/>
              </w:rPr>
            </w:r>
          </w:p>
          <w:p>
            <w:pPr>
              <w:pStyle w:val="Style10"/>
              <w:widowControl/>
              <w:bidi w:val="0"/>
              <w:ind w:left="0" w:right="0" w:hanging="0"/>
              <w:jc w:val="both"/>
              <w:textAlignment w:val="auto"/>
              <w:rPr>
                <w:rFonts w:ascii="Times New Roman" w:hAnsi="Times New Roman"/>
                <w:i/>
                <w:i/>
                <w:sz w:val="22"/>
                <w:szCs w:val="22"/>
                <w:u w:val="single"/>
                <w:lang w:val="ro-RO"/>
              </w:rPr>
            </w:pPr>
            <w:r>
              <w:rPr>
                <w:i/>
                <w:sz w:val="22"/>
                <w:szCs w:val="22"/>
                <w:u w:val="single"/>
                <w:lang w:val="ro-RO"/>
              </w:rPr>
            </w:r>
          </w:p>
          <w:p>
            <w:pPr>
              <w:pStyle w:val="Style10"/>
              <w:widowControl/>
              <w:bidi w:val="0"/>
              <w:ind w:left="0" w:right="0" w:hanging="0"/>
              <w:jc w:val="both"/>
              <w:textAlignment w:val="auto"/>
              <w:rPr/>
            </w:pPr>
            <w:r>
              <w:rPr>
                <w:i/>
                <w:sz w:val="22"/>
                <w:szCs w:val="22"/>
                <w:u w:val="single"/>
                <w:lang w:val="ro-RO"/>
              </w:rPr>
              <w:t>Etapa III.</w:t>
            </w:r>
            <w:r>
              <w:rPr>
                <w:rFonts w:cs="Times New Roman CE" w:ascii="Times New Roman CE" w:hAnsi="Times New Roman CE"/>
                <w:i/>
                <w:sz w:val="22"/>
                <w:szCs w:val="22"/>
                <w:lang w:val="ro-RO"/>
              </w:rPr>
              <w:t xml:space="preserve"> Preradicali în module şi operatori de închidere. Pretorsiuni în module. Operaţii noi în laticea preradicalilor. Structuri diferenţiale pe inele necomutative. </w:t>
            </w:r>
          </w:p>
          <w:p>
            <w:pPr>
              <w:pStyle w:val="Style10"/>
              <w:widowControl/>
              <w:bidi w:val="0"/>
              <w:ind w:left="0" w:right="0" w:hanging="0"/>
              <w:jc w:val="both"/>
              <w:textAlignment w:val="auto"/>
              <w:rPr>
                <w:rFonts w:ascii="Times New Roman" w:hAnsi="Times New Roman"/>
                <w:i/>
                <w:i/>
                <w:sz w:val="22"/>
                <w:szCs w:val="22"/>
                <w:lang w:val="ro-RO"/>
              </w:rPr>
            </w:pPr>
            <w:r>
              <w:rPr>
                <w:i/>
                <w:sz w:val="22"/>
                <w:szCs w:val="22"/>
                <w:lang w:val="ro-RO"/>
              </w:rPr>
            </w:r>
          </w:p>
          <w:p>
            <w:pPr>
              <w:pStyle w:val="Style10"/>
              <w:widowControl/>
              <w:bidi w:val="0"/>
              <w:ind w:left="0" w:right="0" w:hanging="0"/>
              <w:jc w:val="both"/>
              <w:textAlignment w:val="auto"/>
              <w:rPr>
                <w:rFonts w:ascii="Times New Roman" w:hAnsi="Times New Roman"/>
                <w:i/>
                <w:i/>
                <w:sz w:val="22"/>
                <w:szCs w:val="22"/>
                <w:lang w:val="ro-RO"/>
              </w:rPr>
            </w:pPr>
            <w:r>
              <w:rPr>
                <w:i/>
                <w:sz w:val="22"/>
                <w:szCs w:val="22"/>
                <w:lang w:val="ro-RO"/>
              </w:rPr>
            </w:r>
          </w:p>
          <w:p>
            <w:pPr>
              <w:pStyle w:val="Style10"/>
              <w:widowControl/>
              <w:bidi w:val="0"/>
              <w:ind w:left="0" w:right="0" w:hanging="0"/>
              <w:jc w:val="both"/>
              <w:textAlignment w:val="auto"/>
              <w:rPr>
                <w:rFonts w:ascii="Times New Roman" w:hAnsi="Times New Roman"/>
                <w:i/>
                <w:i/>
                <w:sz w:val="22"/>
                <w:szCs w:val="22"/>
                <w:lang w:val="ro-RO"/>
              </w:rPr>
            </w:pPr>
            <w:r>
              <w:rPr>
                <w:i/>
                <w:sz w:val="22"/>
                <w:szCs w:val="22"/>
                <w:lang w:val="ro-RO"/>
              </w:rPr>
            </w:r>
          </w:p>
          <w:p>
            <w:pPr>
              <w:pStyle w:val="Style10"/>
              <w:widowControl/>
              <w:bidi w:val="0"/>
              <w:ind w:left="0" w:right="0" w:hanging="0"/>
              <w:jc w:val="both"/>
              <w:textAlignment w:val="auto"/>
              <w:rPr/>
            </w:pPr>
            <w:r>
              <w:rPr>
                <w:i/>
                <w:sz w:val="22"/>
                <w:szCs w:val="22"/>
                <w:u w:val="single"/>
                <w:lang w:val="ro-RO"/>
              </w:rPr>
              <w:t>Etapa IV.</w:t>
            </w:r>
            <w:r>
              <w:rPr>
                <w:rFonts w:cs="Times New Roman CE" w:ascii="Times New Roman CE" w:hAnsi="Times New Roman CE"/>
                <w:i/>
                <w:sz w:val="22"/>
                <w:szCs w:val="22"/>
                <w:lang w:val="ro-RO"/>
              </w:rPr>
              <w:t xml:space="preserve"> Partiţii izoedrice ale sferei. Serii de varietăţi hiperbolice. Simetria unor varietăţi hiperbolice. </w:t>
            </w:r>
          </w:p>
          <w:p>
            <w:pPr>
              <w:pStyle w:val="Style10"/>
              <w:widowControl/>
              <w:bidi w:val="0"/>
              <w:spacing w:before="0" w:after="120"/>
              <w:ind w:left="0" w:right="0" w:hanging="0"/>
              <w:jc w:val="both"/>
              <w:textAlignment w:val="auto"/>
              <w:rPr>
                <w:rFonts w:ascii="Times New Roman" w:hAnsi="Times New Roman"/>
                <w:i/>
                <w:i/>
                <w:sz w:val="22"/>
                <w:szCs w:val="22"/>
                <w:lang w:val="ro-RO"/>
              </w:rPr>
            </w:pPr>
            <w:r>
              <w:rPr>
                <w:i/>
                <w:sz w:val="22"/>
                <w:szCs w:val="22"/>
                <w:lang w:val="ro-RO"/>
              </w:rPr>
            </w:r>
          </w:p>
          <w:p>
            <w:pPr>
              <w:pStyle w:val="Style10"/>
              <w:widowControl/>
              <w:bidi w:val="0"/>
              <w:spacing w:before="0" w:after="120"/>
              <w:ind w:left="0" w:right="0" w:hanging="0"/>
              <w:jc w:val="both"/>
              <w:textAlignment w:val="auto"/>
              <w:rPr>
                <w:rFonts w:ascii="Times New Roman" w:hAnsi="Times New Roman"/>
                <w:i/>
                <w:i/>
                <w:sz w:val="22"/>
                <w:szCs w:val="22"/>
                <w:lang w:val="ro-RO"/>
              </w:rPr>
            </w:pPr>
            <w:r>
              <w:rPr>
                <w:i/>
                <w:sz w:val="22"/>
                <w:szCs w:val="22"/>
                <w:lang w:val="ro-RO"/>
              </w:rPr>
            </w:r>
          </w:p>
          <w:p>
            <w:pPr>
              <w:pStyle w:val="Normal"/>
              <w:widowControl/>
              <w:bidi w:val="0"/>
              <w:ind w:left="0" w:right="0" w:hanging="0"/>
              <w:jc w:val="left"/>
              <w:textAlignment w:val="auto"/>
              <w:rPr>
                <w:rFonts w:ascii="Times New Roman" w:hAnsi="Times New Roman"/>
                <w:i/>
                <w:i/>
                <w:color w:val="000000"/>
                <w:sz w:val="22"/>
                <w:szCs w:val="22"/>
                <w:lang w:val="ro-RO"/>
              </w:rPr>
            </w:pPr>
            <w:r>
              <w:rPr>
                <w:i/>
                <w:color w:val="000000"/>
                <w:sz w:val="22"/>
                <w:szCs w:val="22"/>
                <w:lang w:val="ro-RO"/>
              </w:rPr>
            </w:r>
          </w:p>
        </w:tc>
        <w:tc>
          <w:tcPr>
            <w:tcW w:w="5780"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both"/>
              <w:textAlignment w:val="auto"/>
              <w:rPr>
                <w:lang w:val="ro-RO"/>
              </w:rPr>
            </w:pPr>
            <w:r>
              <w:rPr>
                <w:rFonts w:cs="Times New Roman CE" w:ascii="Times New Roman CE" w:hAnsi="Times New Roman CE"/>
                <w:i/>
                <w:sz w:val="22"/>
                <w:szCs w:val="22"/>
                <w:lang w:val="ro-RO"/>
              </w:rPr>
              <w:t xml:space="preserve">Se demonstrează că laticea topologiilor unui modul numărabil peste un inel numărabil şi discret conţine o sublatice izomorfă cu laticea numerelor reale  cu ordinea naturală,  cât  şi  doi la puterea continuum coatomi.     Au fost arătate condiţii  ca inelul de endomorfisme continui ale unui grup abelian compact  să fie local compact. Au fost descrise grupurile abeliene  local compacte, care conţin o latice </w:t>
            </w:r>
          </w:p>
          <w:p>
            <w:pPr>
              <w:pStyle w:val="Normal"/>
              <w:widowControl/>
              <w:bidi w:val="0"/>
              <w:ind w:left="0" w:right="0" w:hanging="0"/>
              <w:jc w:val="both"/>
              <w:textAlignment w:val="auto"/>
              <w:rPr>
                <w:rFonts w:ascii="Times New Roman" w:hAnsi="Times New Roman"/>
                <w:i/>
                <w:i/>
                <w:sz w:val="22"/>
                <w:szCs w:val="22"/>
                <w:lang w:val="ro-RO"/>
              </w:rPr>
            </w:pPr>
            <w:r>
              <w:rPr>
                <w:i/>
                <w:sz w:val="22"/>
                <w:szCs w:val="22"/>
                <w:lang w:val="ro-RO"/>
              </w:rPr>
            </w:r>
          </w:p>
          <w:p>
            <w:pPr>
              <w:pStyle w:val="Normal"/>
              <w:widowControl/>
              <w:bidi w:val="0"/>
              <w:ind w:left="0" w:right="0" w:hanging="0"/>
              <w:jc w:val="both"/>
              <w:textAlignment w:val="auto"/>
              <w:rPr>
                <w:lang w:val="ro-RO"/>
              </w:rPr>
            </w:pPr>
            <w:r>
              <w:rPr>
                <w:rFonts w:cs="Times New Roman CE" w:ascii="Times New Roman CE" w:hAnsi="Times New Roman CE"/>
                <w:i/>
                <w:sz w:val="22"/>
                <w:szCs w:val="22"/>
                <w:lang w:val="ro-RO"/>
              </w:rPr>
              <w:t>A fost demonstrat că mulţimile de derivaţii ale două transversale de grup în raport cu transversala  de buclă studiată  sunt conjugate între ele. Au fost arătate spectrele şi ordinele  T</w:t>
            </w:r>
            <w:r>
              <w:rPr>
                <w:i/>
                <w:sz w:val="22"/>
                <w:szCs w:val="22"/>
                <w:vertAlign w:val="subscript"/>
                <w:lang w:val="ro-RO"/>
              </w:rPr>
              <w:t>2</w:t>
            </w:r>
            <w:r>
              <w:rPr>
                <w:rFonts w:cs="Times New Roman CE" w:ascii="Times New Roman CE" w:hAnsi="Times New Roman CE"/>
                <w:i/>
                <w:sz w:val="22"/>
                <w:szCs w:val="22"/>
                <w:lang w:val="ro-RO"/>
              </w:rPr>
              <w:t>-cuasigrupurilor  mediale şi ale T</w:t>
            </w:r>
            <w:r>
              <w:rPr>
                <w:i/>
                <w:sz w:val="22"/>
                <w:szCs w:val="22"/>
                <w:vertAlign w:val="subscript"/>
                <w:lang w:val="ro-RO"/>
              </w:rPr>
              <w:t>2</w:t>
            </w:r>
            <w:r>
              <w:rPr>
                <w:i/>
                <w:sz w:val="22"/>
                <w:szCs w:val="22"/>
                <w:lang w:val="ro-RO"/>
              </w:rPr>
              <w:t>-cuasigrupurilor</w:t>
            </w:r>
            <w:r>
              <w:rPr>
                <w:rFonts w:cs="Times New Roman CE" w:ascii="Times New Roman CE" w:hAnsi="Times New Roman CE"/>
                <w:i/>
                <w:sz w:val="22"/>
                <w:szCs w:val="22"/>
                <w:lang w:val="ro-RO"/>
              </w:rPr>
              <w:t xml:space="preserve"> mediale idempotente. A fost elaborată o generalizare a criptosistemei  lui El-Gamal, utilizând izotopia cuasigrupurilor.  S-a demonstrat o generalizare  a teoremei lui W. Sierpinski despre reprezentarea unei funcţii, definite pe o mulţime, prin superpoziţie de  funcţii binare.</w:t>
            </w:r>
          </w:p>
          <w:p>
            <w:pPr>
              <w:pStyle w:val="Normal"/>
              <w:widowControl/>
              <w:bidi w:val="0"/>
              <w:ind w:left="0" w:right="0" w:hanging="0"/>
              <w:jc w:val="both"/>
              <w:textAlignment w:val="auto"/>
              <w:rPr/>
            </w:pPr>
            <w:r>
              <w:rPr>
                <w:rFonts w:cs="Times New Roman CE" w:ascii="Times New Roman CE" w:hAnsi="Times New Roman CE"/>
                <w:i/>
                <w:sz w:val="22"/>
                <w:szCs w:val="22"/>
                <w:lang w:val="ro-RO"/>
              </w:rPr>
              <w:t xml:space="preserve">Au fost  obţinute noi clase  pre-complete  de formule în extensia 16-valentă a logicii modale EM4. </w:t>
            </w:r>
          </w:p>
          <w:p>
            <w:pPr>
              <w:pStyle w:val="Normal"/>
              <w:widowControl/>
              <w:bidi w:val="0"/>
              <w:ind w:left="0" w:right="0" w:hanging="0"/>
              <w:jc w:val="both"/>
              <w:textAlignment w:val="auto"/>
              <w:rPr>
                <w:rFonts w:ascii="Times New Roman" w:hAnsi="Times New Roman"/>
                <w:i/>
                <w:i/>
                <w:sz w:val="22"/>
                <w:szCs w:val="22"/>
                <w:lang w:val="ro-RO"/>
              </w:rPr>
            </w:pPr>
            <w:r>
              <w:rPr>
                <w:i/>
                <w:sz w:val="22"/>
                <w:szCs w:val="22"/>
                <w:lang w:val="ro-RO"/>
              </w:rPr>
            </w:r>
          </w:p>
          <w:p>
            <w:pPr>
              <w:pStyle w:val="Normal"/>
              <w:widowControl/>
              <w:bidi w:val="0"/>
              <w:ind w:left="0" w:right="0" w:hanging="0"/>
              <w:jc w:val="both"/>
              <w:textAlignment w:val="auto"/>
              <w:rPr>
                <w:lang w:val="ro-RO"/>
              </w:rPr>
            </w:pPr>
            <w:r>
              <w:rPr>
                <w:i/>
                <w:sz w:val="22"/>
                <w:szCs w:val="22"/>
                <w:lang w:val="ro-RO"/>
              </w:rPr>
              <w:t xml:space="preserve"> </w:t>
            </w:r>
            <w:r>
              <w:rPr>
                <w:i/>
                <w:sz w:val="22"/>
                <w:szCs w:val="22"/>
                <w:lang w:val="ro-RO"/>
              </w:rPr>
              <w:t>Se dezvol</w:t>
            </w:r>
            <w:r>
              <w:rPr>
                <w:rFonts w:cs="Times New Roman CE" w:ascii="Times New Roman CE" w:hAnsi="Times New Roman CE"/>
                <w:i/>
                <w:sz w:val="22"/>
                <w:szCs w:val="22"/>
                <w:lang w:val="ro-RO"/>
              </w:rPr>
              <w:t xml:space="preserve">tă metode noi de descriere a pretorsiunilor în categorii de module, utilizând operatori de închidere. În clasa preradicalilor unei categorii de module se defineşte şi se cercetează o operaţie nouă – câtul stâng  al produsului în raport cu reuniunea.  Se arată proprietăţile principale ale ei, relaţiile ei cu operaţiile laticeale, se analizează cazuri particulare. Se descrie în mod efectiv construirea unor inele monoidale asociate structurilor diferenţiale date.   Se  arată metode noi de reprezentare a inelelor dotate cu operaţii de diferenţiere. </w:t>
            </w:r>
          </w:p>
          <w:p>
            <w:pPr>
              <w:pStyle w:val="Normal"/>
              <w:widowControl/>
              <w:bidi w:val="0"/>
              <w:ind w:left="0" w:right="0" w:hanging="0"/>
              <w:jc w:val="both"/>
              <w:textAlignment w:val="auto"/>
              <w:rPr>
                <w:rFonts w:ascii="Times New Roman" w:hAnsi="Times New Roman"/>
                <w:i/>
                <w:i/>
                <w:sz w:val="22"/>
                <w:szCs w:val="22"/>
                <w:lang w:val="ro-RO"/>
              </w:rPr>
            </w:pPr>
            <w:r>
              <w:rPr>
                <w:i/>
                <w:sz w:val="22"/>
                <w:szCs w:val="22"/>
                <w:lang w:val="ro-RO"/>
              </w:rPr>
            </w:r>
          </w:p>
          <w:p>
            <w:pPr>
              <w:pStyle w:val="Normal"/>
              <w:widowControl/>
              <w:bidi w:val="0"/>
              <w:ind w:left="0" w:right="0" w:hanging="0"/>
              <w:jc w:val="both"/>
              <w:textAlignment w:val="auto"/>
              <w:rPr>
                <w:lang w:val="ro-RO"/>
              </w:rPr>
            </w:pPr>
            <w:r>
              <w:rPr>
                <w:rFonts w:cs="Times New Roman CE" w:ascii="Times New Roman CE" w:hAnsi="Times New Roman CE"/>
                <w:i/>
                <w:sz w:val="22"/>
                <w:szCs w:val="22"/>
                <w:lang w:val="ro-RO"/>
              </w:rPr>
              <w:t xml:space="preserve"> </w:t>
            </w:r>
            <w:r>
              <w:rPr>
                <w:rFonts w:cs="Times New Roman CE" w:ascii="Times New Roman CE" w:hAnsi="Times New Roman CE"/>
                <w:i/>
                <w:sz w:val="22"/>
                <w:szCs w:val="22"/>
                <w:lang w:val="ro-RO"/>
              </w:rPr>
              <w:t>Metoda desecării  discurilor  a fost aplicată pentru 2-partiţii izoedrice, ce corespund  unei serii infinite  de grupuri discrete de mişcări. Au fost găsite 105 serii infinite de clase Delone  de descompuneri 3-izoedrice  pentru sfera în discuri cu cel puţin  trei laturi. Au fost determinate grupurile discrete  ce corespund completări</w:t>
            </w:r>
            <w:r>
              <w:rPr>
                <w:i/>
                <w:sz w:val="22"/>
                <w:szCs w:val="22"/>
                <w:lang w:val="ro-RO"/>
              </w:rPr>
              <w:t>lor ale</w:t>
            </w:r>
            <w:r>
              <w:rPr>
                <w:rFonts w:cs="Times New Roman CE" w:ascii="Times New Roman CE" w:hAnsi="Times New Roman CE"/>
                <w:i/>
                <w:sz w:val="22"/>
                <w:szCs w:val="22"/>
                <w:lang w:val="ro-RO"/>
              </w:rPr>
              <w:t xml:space="preserve"> două varietăţi hiperbolice  octaedrice  necompacte şi incomplete  cu unul sau două capsuri. Au fost construite serii numerabile de poliedre,  care reprezintă poliedre fundamentale  pentru   grupurile obţinute. Au  fost construite două serii de 3-varietăţi  hiperbolice  cu ajutorul  subvarietăţii  total geodezice cu frontieră.  </w:t>
            </w:r>
          </w:p>
        </w:tc>
      </w:tr>
    </w:tbl>
    <w:p>
      <w:pPr>
        <w:pStyle w:val="Normal"/>
        <w:widowControl/>
        <w:numPr>
          <w:ilvl w:val="0"/>
          <w:numId w:val="25"/>
        </w:numPr>
        <w:tabs>
          <w:tab w:val="left" w:pos="180" w:leader="none"/>
        </w:tabs>
        <w:bidi w:val="0"/>
        <w:ind w:left="180" w:right="0" w:hanging="0"/>
        <w:jc w:val="left"/>
        <w:textAlignment w:val="auto"/>
        <w:rPr>
          <w:lang w:val="ro-RO"/>
        </w:rPr>
      </w:pPr>
      <w:r>
        <w:rPr>
          <w:rFonts w:cs="Times New Roman CE" w:ascii="Times New Roman CE" w:hAnsi="Times New Roman CE"/>
          <w:bCs/>
          <w:lang w:val="ro-RO"/>
        </w:rPr>
        <w:t>Lista lucrărilor ştiinţifice cu referinţă la proiectul dat pe anul 201</w:t>
      </w:r>
      <w:r>
        <w:rPr>
          <w:bCs/>
          <w:lang w:val="ro-RO"/>
        </w:rPr>
        <w:t xml:space="preserve">6 (conform </w:t>
      </w:r>
      <w:r>
        <w:rPr>
          <w:b/>
          <w:bCs/>
          <w:lang w:val="ro-RO"/>
        </w:rPr>
        <w:t>formei 4</w:t>
      </w:r>
      <w:r>
        <w:rPr>
          <w:bCs/>
          <w:lang w:val="ro-RO"/>
        </w:rPr>
        <w:t xml:space="preserve"> din structura raportului)</w:t>
      </w:r>
    </w:p>
    <w:tbl>
      <w:tblPr>
        <w:tblW w:w="9639" w:type="dxa"/>
        <w:jc w:val="left"/>
        <w:tblInd w:w="567" w:type="dxa"/>
        <w:tblBorders>
          <w:top w:val="dotted" w:sz="4" w:space="0" w:color="000001"/>
          <w:left w:val="dotted" w:sz="4" w:space="0" w:color="000001"/>
          <w:bottom w:val="dotted" w:sz="4" w:space="0" w:color="000001"/>
          <w:right w:val="dotted" w:sz="4" w:space="0" w:color="000001"/>
          <w:insideH w:val="dotted" w:sz="4" w:space="0" w:color="000001"/>
          <w:insideV w:val="dotted" w:sz="4" w:space="0" w:color="000001"/>
        </w:tblBorders>
        <w:tblCellMar>
          <w:top w:w="0" w:type="dxa"/>
          <w:left w:w="103" w:type="dxa"/>
          <w:bottom w:w="0" w:type="dxa"/>
          <w:right w:w="108" w:type="dxa"/>
        </w:tblCellMar>
      </w:tblPr>
      <w:tblGrid>
        <w:gridCol w:w="9639"/>
      </w:tblGrid>
      <w:tr>
        <w:trPr/>
        <w:tc>
          <w:tcPr>
            <w:tcW w:w="9639" w:type="dxa"/>
            <w:tcBorders>
              <w:top w:val="dotted" w:sz="4" w:space="0" w:color="000001"/>
              <w:left w:val="dotted" w:sz="4" w:space="0" w:color="000001"/>
              <w:bottom w:val="dotted" w:sz="4" w:space="0" w:color="000001"/>
              <w:right w:val="dotted" w:sz="4" w:space="0" w:color="000001"/>
              <w:insideH w:val="dotted" w:sz="4" w:space="0" w:color="000001"/>
              <w:insideV w:val="dotted" w:sz="4" w:space="0" w:color="000001"/>
            </w:tcBorders>
            <w:shd w:fill="auto" w:val="clear"/>
            <w:tcMar>
              <w:left w:w="103" w:type="dxa"/>
            </w:tcMar>
          </w:tcPr>
          <w:p>
            <w:pPr>
              <w:pStyle w:val="Normal"/>
              <w:widowControl w:val="false"/>
              <w:suppressAutoHyphens w:val="true"/>
              <w:bidi w:val="0"/>
              <w:ind w:left="928" w:right="0" w:hanging="0"/>
              <w:jc w:val="both"/>
              <w:textAlignment w:val="auto"/>
              <w:rPr>
                <w:lang w:val="ro-RO"/>
              </w:rPr>
            </w:pPr>
            <w:r>
              <w:rPr>
                <w:rFonts w:cs="Times New Roman CE" w:ascii="Times New Roman CE" w:hAnsi="Times New Roman CE"/>
                <w:b/>
                <w:sz w:val="22"/>
                <w:szCs w:val="22"/>
                <w:lang w:val="ro-RO"/>
              </w:rPr>
              <w:t>manuale/ dicţionare/ lucrări didactice (naţionale / internaţionale),            - 2/0</w:t>
            </w:r>
          </w:p>
          <w:p>
            <w:pPr>
              <w:pStyle w:val="ListParagraph"/>
              <w:widowControl/>
              <w:bidi w:val="0"/>
              <w:spacing w:before="0" w:after="0"/>
              <w:ind w:left="720" w:right="0" w:hanging="0"/>
              <w:contextualSpacing/>
              <w:jc w:val="left"/>
              <w:textAlignment w:val="auto"/>
              <w:rPr>
                <w:rFonts w:ascii="Times New Roman" w:hAnsi="Times New Roman"/>
                <w:b/>
                <w:b/>
                <w:sz w:val="22"/>
                <w:szCs w:val="22"/>
                <w:lang w:val="ro-RO"/>
              </w:rPr>
            </w:pPr>
            <w:r>
              <w:rPr>
                <w:b/>
                <w:sz w:val="22"/>
                <w:szCs w:val="22"/>
                <w:lang w:val="ro-RO"/>
              </w:rPr>
            </w:r>
          </w:p>
          <w:p>
            <w:pPr>
              <w:pStyle w:val="Style10"/>
              <w:widowControl w:val="false"/>
              <w:numPr>
                <w:ilvl w:val="0"/>
                <w:numId w:val="76"/>
              </w:numPr>
              <w:suppressAutoHyphens w:val="true"/>
              <w:bidi w:val="0"/>
              <w:spacing w:before="0" w:after="120"/>
              <w:ind w:left="720" w:right="0" w:hanging="360"/>
              <w:jc w:val="both"/>
              <w:textAlignment w:val="auto"/>
              <w:rPr>
                <w:lang w:val="ro-RO"/>
              </w:rPr>
            </w:pPr>
            <w:r>
              <w:rPr>
                <w:rFonts w:eastAsia="SimSun" w:cs="Times New Roman CE" w:ascii="Times New Roman CE" w:hAnsi="Times New Roman CE"/>
                <w:sz w:val="22"/>
                <w:szCs w:val="22"/>
                <w:lang w:val="ro-RO" w:eastAsia="zh-CN"/>
              </w:rPr>
              <w:t>CUCU, I.,  IZBAŞ,</w:t>
            </w:r>
            <w:r>
              <w:rPr>
                <w:rFonts w:eastAsia="SimSun"/>
                <w:b/>
                <w:sz w:val="22"/>
                <w:szCs w:val="22"/>
                <w:lang w:val="ro-RO" w:eastAsia="zh-CN"/>
              </w:rPr>
              <w:t xml:space="preserve"> </w:t>
            </w:r>
            <w:r>
              <w:rPr>
                <w:rFonts w:eastAsia="SimSun"/>
                <w:sz w:val="22"/>
                <w:szCs w:val="22"/>
                <w:lang w:val="ro-RO" w:eastAsia="zh-CN"/>
              </w:rPr>
              <w:t>O.</w:t>
            </w:r>
            <w:r>
              <w:rPr>
                <w:rFonts w:eastAsia="SimSun"/>
                <w:b/>
                <w:sz w:val="22"/>
                <w:szCs w:val="22"/>
                <w:lang w:val="ro-RO" w:eastAsia="zh-CN"/>
              </w:rPr>
              <w:t xml:space="preserve"> </w:t>
            </w:r>
            <w:r>
              <w:rPr>
                <w:rFonts w:eastAsia="SimSun" w:cs="Times New Roman CE" w:ascii="Times New Roman CE" w:hAnsi="Times New Roman CE"/>
                <w:sz w:val="22"/>
                <w:szCs w:val="22"/>
                <w:lang w:val="ro-RO" w:eastAsia="zh-CN"/>
              </w:rPr>
              <w:t>Matematică discretă.  Univ. Acad. de Ştiinţe a Moldovei. – Chişinău , 2016,  88 p. ISBN 978-9975-933-98-8.</w:t>
            </w:r>
          </w:p>
          <w:p>
            <w:pPr>
              <w:pStyle w:val="Style10"/>
              <w:widowControl w:val="false"/>
              <w:numPr>
                <w:ilvl w:val="0"/>
                <w:numId w:val="76"/>
              </w:numPr>
              <w:suppressAutoHyphens w:val="true"/>
              <w:bidi w:val="0"/>
              <w:spacing w:before="0" w:after="120"/>
              <w:ind w:left="720" w:right="0" w:hanging="360"/>
              <w:jc w:val="both"/>
              <w:textAlignment w:val="auto"/>
              <w:rPr>
                <w:lang w:val="ro-RO"/>
              </w:rPr>
            </w:pPr>
            <w:r>
              <w:rPr>
                <w:rFonts w:cs="Times New Roman CE" w:ascii="Times New Roman CE" w:hAnsi="Times New Roman CE"/>
                <w:sz w:val="22"/>
                <w:szCs w:val="22"/>
                <w:lang w:val="ro-RO"/>
              </w:rPr>
              <w:t>COJUHARI, E., CALIN, Iu., GARŞTEA, A., GRIGOR, R., PLATON, V., PRODAN, N. Matematici pentru economişti. (ghid metodic) editia a IV revăzută. Universitatea de Stat din Moldova, Chişinău, 2016, CEP USM, 297 p.</w:t>
            </w:r>
          </w:p>
          <w:p>
            <w:pPr>
              <w:pStyle w:val="Normal"/>
              <w:widowControl w:val="false"/>
              <w:suppressAutoHyphens w:val="true"/>
              <w:bidi w:val="0"/>
              <w:spacing w:before="0" w:after="80"/>
              <w:ind w:left="568" w:right="0" w:hanging="0"/>
              <w:jc w:val="both"/>
              <w:textAlignment w:val="auto"/>
              <w:rPr>
                <w:lang w:val="ro-RO"/>
              </w:rPr>
            </w:pPr>
            <w:r>
              <w:rPr>
                <w:rFonts w:cs="Times New Roman CE" w:ascii="Times New Roman CE" w:hAnsi="Times New Roman CE"/>
                <w:b/>
                <w:sz w:val="22"/>
                <w:szCs w:val="22"/>
                <w:lang w:val="ro-RO"/>
              </w:rPr>
              <w:t>articole din alte reviste editate în străinătate,                                               - 2</w:t>
            </w:r>
          </w:p>
          <w:p>
            <w:pPr>
              <w:pStyle w:val="ListParagraph"/>
              <w:widowControl/>
              <w:numPr>
                <w:ilvl w:val="0"/>
                <w:numId w:val="77"/>
              </w:numPr>
              <w:bidi w:val="0"/>
              <w:spacing w:before="0" w:after="0"/>
              <w:ind w:left="720" w:right="0" w:hanging="360"/>
              <w:contextualSpacing/>
              <w:jc w:val="both"/>
              <w:textAlignment w:val="auto"/>
              <w:rPr>
                <w:lang w:val="ro-RO"/>
              </w:rPr>
            </w:pPr>
            <w:r>
              <w:rPr>
                <w:sz w:val="22"/>
                <w:szCs w:val="22"/>
                <w:lang w:val="ro-RO" w:eastAsia="hi-IN" w:bidi="hi-IN"/>
              </w:rPr>
              <w:t xml:space="preserve">KASHU,  A.I. A survey of results on radicals and torsions in modules. </w:t>
            </w:r>
            <w:r>
              <w:rPr>
                <w:i/>
                <w:sz w:val="22"/>
                <w:szCs w:val="22"/>
                <w:lang w:val="ro-RO" w:eastAsia="hi-IN" w:bidi="hi-IN"/>
              </w:rPr>
              <w:t>Algebra and Discrete Mathematics</w:t>
            </w:r>
            <w:r>
              <w:rPr>
                <w:sz w:val="22"/>
                <w:szCs w:val="22"/>
                <w:lang w:val="ro-RO" w:eastAsia="hi-IN" w:bidi="hi-IN"/>
              </w:rPr>
              <w:t>, vol. 21 ( 2016) , № 1, 69 – 110 .</w:t>
            </w:r>
          </w:p>
          <w:p>
            <w:pPr>
              <w:pStyle w:val="ListParagraph"/>
              <w:widowControl/>
              <w:numPr>
                <w:ilvl w:val="0"/>
                <w:numId w:val="77"/>
              </w:numPr>
              <w:bidi w:val="0"/>
              <w:spacing w:before="0" w:after="0"/>
              <w:ind w:left="720" w:right="0" w:hanging="360"/>
              <w:contextualSpacing/>
              <w:jc w:val="both"/>
              <w:textAlignment w:val="auto"/>
              <w:rPr>
                <w:lang w:val="ro-RO"/>
              </w:rPr>
            </w:pPr>
            <w:r>
              <w:rPr>
                <w:sz w:val="22"/>
                <w:szCs w:val="22"/>
                <w:lang w:val="ro-RO"/>
              </w:rPr>
              <w:t xml:space="preserve">PHILLIPS, J.D. ;  PUSHKASHU, D.I.; SHCHERBACOV, A.V.;  SHCHERBACOV, V.A.. On Birkhoff's quasigroup axioms. </w:t>
            </w:r>
            <w:r>
              <w:rPr>
                <w:i/>
                <w:sz w:val="22"/>
                <w:szCs w:val="22"/>
                <w:lang w:val="ro-RO"/>
              </w:rPr>
              <w:t>Journal of Algebra, v</w:t>
            </w:r>
            <w:r>
              <w:rPr>
                <w:sz w:val="22"/>
                <w:szCs w:val="22"/>
                <w:lang w:val="ro-RO"/>
              </w:rPr>
              <w:t>.457, 2016,  7-17.</w:t>
            </w:r>
          </w:p>
          <w:p>
            <w:pPr>
              <w:pStyle w:val="Normal"/>
              <w:widowControl w:val="false"/>
              <w:numPr>
                <w:ilvl w:val="0"/>
                <w:numId w:val="77"/>
              </w:numPr>
              <w:suppressAutoHyphens w:val="true"/>
              <w:bidi w:val="0"/>
              <w:ind w:left="720" w:right="0" w:hanging="360"/>
              <w:jc w:val="both"/>
              <w:textAlignment w:val="auto"/>
              <w:rPr>
                <w:lang w:val="ro-RO"/>
              </w:rPr>
            </w:pPr>
            <w:r>
              <w:rPr>
                <w:sz w:val="22"/>
                <w:szCs w:val="22"/>
                <w:lang w:val="ro-RO" w:eastAsia="en-US"/>
              </w:rPr>
              <w:t>МАКАРОВ В.С., МАКАРОВ П.С., ДАМИАН Ф.Л. О полуправильных многогранниках пространства Лобачевского</w:t>
            </w:r>
            <w:r>
              <w:rPr>
                <w:i/>
                <w:sz w:val="22"/>
                <w:szCs w:val="22"/>
                <w:lang w:val="ro-RO" w:eastAsia="en-US"/>
              </w:rPr>
              <w:t>.</w:t>
            </w:r>
            <w:r>
              <w:rPr>
                <w:sz w:val="22"/>
                <w:szCs w:val="22"/>
                <w:lang w:val="ro-RO" w:eastAsia="en-US"/>
              </w:rPr>
              <w:t xml:space="preserve"> </w:t>
            </w:r>
            <w:r>
              <w:rPr>
                <w:i/>
                <w:sz w:val="22"/>
                <w:szCs w:val="22"/>
                <w:lang w:val="ro-RO" w:eastAsia="en-US"/>
              </w:rPr>
              <w:t>Математические исследования в естественных науках. Труды 13 Всеросийской ( с медународным участием ) научной школы.</w:t>
            </w:r>
            <w:r>
              <w:rPr>
                <w:sz w:val="22"/>
                <w:szCs w:val="22"/>
                <w:lang w:val="ro-RO" w:eastAsia="en-US"/>
              </w:rPr>
              <w:t xml:space="preserve"> Апатиты 17-18 октября 2016 г., Геологический институт КНЦ РАН, 2016,  64-75.</w:t>
            </w:r>
          </w:p>
          <w:p>
            <w:pPr>
              <w:pStyle w:val="Style10"/>
              <w:widowControl w:val="false"/>
              <w:suppressAutoHyphens w:val="true"/>
              <w:bidi w:val="0"/>
              <w:ind w:left="567" w:right="0" w:hanging="0"/>
              <w:jc w:val="both"/>
              <w:textAlignment w:val="auto"/>
              <w:rPr>
                <w:rFonts w:ascii="Times New Roman" w:hAnsi="Times New Roman"/>
                <w:b/>
                <w:b/>
                <w:sz w:val="22"/>
                <w:szCs w:val="22"/>
                <w:lang w:val="ro-RO"/>
              </w:rPr>
            </w:pPr>
            <w:r>
              <w:rPr>
                <w:b/>
                <w:sz w:val="22"/>
                <w:szCs w:val="22"/>
                <w:lang w:val="ro-RO"/>
              </w:rPr>
            </w:r>
          </w:p>
          <w:p>
            <w:pPr>
              <w:pStyle w:val="Style10"/>
              <w:widowControl w:val="false"/>
              <w:suppressAutoHyphens w:val="true"/>
              <w:bidi w:val="0"/>
              <w:ind w:left="0" w:right="0" w:hanging="0"/>
              <w:jc w:val="both"/>
              <w:textAlignment w:val="auto"/>
              <w:rPr/>
            </w:pPr>
            <w:r>
              <w:rPr>
                <w:rFonts w:cs="Times New Roman CE" w:ascii="Times New Roman CE" w:hAnsi="Times New Roman CE"/>
                <w:b/>
                <w:sz w:val="22"/>
                <w:szCs w:val="22"/>
                <w:lang w:val="ro-RO"/>
              </w:rPr>
              <w:t>articole din reviste naţionale:</w:t>
            </w:r>
            <w:r>
              <w:rPr>
                <w:b/>
                <w:sz w:val="22"/>
                <w:szCs w:val="22"/>
                <w:lang w:val="ro-RO"/>
              </w:rPr>
              <w:t xml:space="preserve"> </w:t>
            </w:r>
            <w:r>
              <w:rPr>
                <w:b/>
                <w:i/>
                <w:sz w:val="22"/>
                <w:szCs w:val="22"/>
                <w:lang w:val="ro-RO"/>
              </w:rPr>
              <w:t xml:space="preserve">categoria A       </w:t>
            </w:r>
          </w:p>
          <w:p>
            <w:pPr>
              <w:pStyle w:val="Style10"/>
              <w:widowControl w:val="false"/>
              <w:suppressAutoHyphens w:val="true"/>
              <w:bidi w:val="0"/>
              <w:ind w:left="0" w:right="0" w:hanging="0"/>
              <w:jc w:val="both"/>
              <w:textAlignment w:val="auto"/>
              <w:rPr/>
            </w:pPr>
            <w:r>
              <w:rPr>
                <w:b/>
                <w:i/>
                <w:sz w:val="22"/>
                <w:szCs w:val="22"/>
                <w:lang w:val="ro-RO"/>
              </w:rPr>
              <w:t xml:space="preserve">     </w:t>
            </w:r>
          </w:p>
          <w:p>
            <w:pPr>
              <w:pStyle w:val="ListParagraph"/>
              <w:widowControl/>
              <w:numPr>
                <w:ilvl w:val="0"/>
                <w:numId w:val="78"/>
              </w:numPr>
              <w:bidi w:val="0"/>
              <w:spacing w:before="0" w:after="0"/>
              <w:ind w:left="720" w:right="0" w:hanging="360"/>
              <w:contextualSpacing/>
              <w:jc w:val="both"/>
              <w:textAlignment w:val="auto"/>
              <w:rPr/>
            </w:pPr>
            <w:hyperlink r:id="rId11">
              <w:r>
                <w:rPr>
                  <w:webHidden/>
                  <w:rStyle w:val="Style5"/>
                  <w:sz w:val="22"/>
                  <w:szCs w:val="22"/>
                  <w:lang w:val="ro-RO" w:eastAsia="hi-IN" w:bidi="hi-IN"/>
                </w:rPr>
                <w:t>ARNAUTOV, V.I.</w:t>
              </w:r>
            </w:hyperlink>
            <w:r>
              <w:rPr>
                <w:sz w:val="22"/>
                <w:szCs w:val="22"/>
                <w:lang w:val="ro-RO" w:eastAsia="hi-IN" w:bidi="hi-IN"/>
              </w:rPr>
              <w:t xml:space="preserve">, ERMAKOVA, G. N. </w:t>
            </w:r>
            <w:hyperlink r:id="rId12">
              <w:r>
                <w:rPr>
                  <w:webHidden/>
                  <w:rStyle w:val="Style5"/>
                  <w:sz w:val="22"/>
                  <w:szCs w:val="22"/>
                  <w:lang w:val="ro-RO" w:eastAsia="hi-IN" w:bidi="hi-IN"/>
                </w:rPr>
                <w:t>Lattice of all topologies of countable module over countable rings</w:t>
              </w:r>
            </w:hyperlink>
            <w:r>
              <w:rPr>
                <w:sz w:val="22"/>
                <w:szCs w:val="22"/>
                <w:lang w:val="ro-RO" w:eastAsia="hi-IN" w:bidi="hi-IN"/>
              </w:rPr>
              <w:t>.</w:t>
            </w:r>
            <w:r>
              <w:rPr>
                <w:sz w:val="22"/>
                <w:szCs w:val="22"/>
                <w:lang w:val="en-US"/>
              </w:rPr>
              <w:t xml:space="preserve"> </w:t>
            </w:r>
            <w:r>
              <w:rPr>
                <w:rFonts w:cs="Times New Roman CE" w:ascii="Times New Roman CE" w:hAnsi="Times New Roman CE"/>
                <w:i/>
                <w:sz w:val="22"/>
                <w:szCs w:val="22"/>
                <w:lang w:val="ro-RO"/>
              </w:rPr>
              <w:t>Buletinul Academiei de Ştiinţe a Republicii Moldova. Matematica.</w:t>
            </w:r>
            <w:r>
              <w:rPr>
                <w:sz w:val="22"/>
                <w:szCs w:val="22"/>
                <w:lang w:val="ro-RO"/>
              </w:rPr>
              <w:t xml:space="preserve"> 2016, 2 (81),  63-70. ISSN 1024-7696</w:t>
            </w:r>
          </w:p>
          <w:p>
            <w:pPr>
              <w:pStyle w:val="Normal"/>
              <w:widowControl/>
              <w:numPr>
                <w:ilvl w:val="0"/>
                <w:numId w:val="78"/>
              </w:numPr>
              <w:bidi w:val="0"/>
              <w:ind w:left="720" w:right="0" w:hanging="360"/>
              <w:jc w:val="both"/>
              <w:textAlignment w:val="auto"/>
              <w:rPr>
                <w:lang w:val="ro-RO"/>
              </w:rPr>
            </w:pPr>
            <w:r>
              <w:rPr>
                <w:sz w:val="22"/>
                <w:szCs w:val="22"/>
                <w:lang w:val="ro-RO"/>
              </w:rPr>
              <w:t xml:space="preserve">CHIOBAN, M.; IZBASH, V.; SCERBACOV, V.; SYRBU, P. Valentin Belousov (20.02.1925 - 23.07.1988). </w:t>
            </w:r>
            <w:r>
              <w:rPr>
                <w:rFonts w:cs="Times New Roman CE" w:ascii="Times New Roman CE" w:hAnsi="Times New Roman CE"/>
                <w:i/>
                <w:sz w:val="22"/>
                <w:szCs w:val="22"/>
                <w:lang w:val="ro-RO"/>
              </w:rPr>
              <w:t xml:space="preserve">Buletinul Academiei de Ştiinţe a Republicii Moldova. Matematica. </w:t>
            </w:r>
            <w:r>
              <w:rPr>
                <w:sz w:val="22"/>
                <w:szCs w:val="22"/>
                <w:lang w:val="ro-RO"/>
              </w:rPr>
              <w:t>2016, 1(80), 3-6. ISSN 1024-7696</w:t>
            </w:r>
          </w:p>
          <w:p>
            <w:pPr>
              <w:pStyle w:val="Normal"/>
              <w:widowControl/>
              <w:numPr>
                <w:ilvl w:val="0"/>
                <w:numId w:val="78"/>
              </w:numPr>
              <w:bidi w:val="0"/>
              <w:ind w:left="720" w:right="0" w:hanging="360"/>
              <w:jc w:val="both"/>
              <w:textAlignment w:val="auto"/>
              <w:rPr/>
            </w:pPr>
            <w:r>
              <w:rPr>
                <w:rFonts w:cs="Times New Roman CE" w:ascii="Times New Roman CE" w:hAnsi="Times New Roman CE"/>
                <w:sz w:val="22"/>
                <w:szCs w:val="22"/>
                <w:lang w:val="ro-RO"/>
              </w:rPr>
              <w:t xml:space="preserve">CUZNEŢOV E. </w:t>
            </w:r>
            <w:hyperlink r:id="rId13">
              <w:r>
                <w:rPr>
                  <w:webHidden/>
                  <w:rStyle w:val="Style5"/>
                  <w:sz w:val="22"/>
                  <w:szCs w:val="22"/>
                  <w:lang w:val="ro-RO"/>
                </w:rPr>
                <w:t>General form transversals in groups</w:t>
              </w:r>
            </w:hyperlink>
            <w:r>
              <w:rPr>
                <w:sz w:val="22"/>
                <w:szCs w:val="22"/>
                <w:lang w:val="ro-RO"/>
              </w:rPr>
              <w:t xml:space="preserve">. </w:t>
            </w:r>
            <w:r>
              <w:rPr>
                <w:rFonts w:cs="Times New Roman CE" w:ascii="Times New Roman CE" w:hAnsi="Times New Roman CE"/>
                <w:i/>
                <w:sz w:val="22"/>
                <w:szCs w:val="22"/>
                <w:lang w:val="ro-RO"/>
              </w:rPr>
              <w:t xml:space="preserve">Buletinul Academiei de Ştiinţe </w:t>
            </w:r>
            <w:r>
              <w:rPr>
                <w:i/>
                <w:sz w:val="22"/>
                <w:szCs w:val="22"/>
                <w:lang w:val="ro-RO"/>
              </w:rPr>
              <w:t xml:space="preserve">a Republicii Moldova. Matematica. </w:t>
            </w:r>
            <w:r>
              <w:rPr>
                <w:sz w:val="22"/>
                <w:szCs w:val="22"/>
                <w:lang w:val="ro-RO"/>
              </w:rPr>
              <w:t>2016, 2(81), 93-106. ISSN 1024-7696</w:t>
            </w:r>
          </w:p>
          <w:p>
            <w:pPr>
              <w:pStyle w:val="Normal"/>
              <w:widowControl/>
              <w:numPr>
                <w:ilvl w:val="0"/>
                <w:numId w:val="78"/>
              </w:numPr>
              <w:bidi w:val="0"/>
              <w:ind w:left="720" w:right="0" w:hanging="360"/>
              <w:jc w:val="both"/>
              <w:textAlignment w:val="auto"/>
              <w:rPr>
                <w:lang w:val="ro-RO"/>
              </w:rPr>
            </w:pPr>
            <w:r>
              <w:rPr>
                <w:sz w:val="22"/>
                <w:szCs w:val="22"/>
                <w:lang w:val="ro-RO"/>
              </w:rPr>
              <w:t xml:space="preserve">IZBASH, O.; RUSU, A. On the absence of finite approximation relative to model completeness in propositional provability logic. </w:t>
            </w:r>
            <w:r>
              <w:rPr>
                <w:rFonts w:cs="Times New Roman CE" w:ascii="Times New Roman CE" w:hAnsi="Times New Roman CE"/>
                <w:i/>
                <w:sz w:val="22"/>
                <w:szCs w:val="22"/>
                <w:lang w:val="ro-RO"/>
              </w:rPr>
              <w:t>Buletinul Academiei de Ştiinţe a Republicii Moldova. Matema</w:t>
            </w:r>
            <w:r>
              <w:rPr>
                <w:i/>
                <w:sz w:val="22"/>
                <w:szCs w:val="22"/>
                <w:lang w:val="ro-RO"/>
              </w:rPr>
              <w:t xml:space="preserve">tica, </w:t>
            </w:r>
            <w:r>
              <w:rPr>
                <w:sz w:val="22"/>
                <w:szCs w:val="22"/>
                <w:lang w:val="ro-RO"/>
              </w:rPr>
              <w:t>2015, 3(79), 110-113. ISSN 1024-7696</w:t>
            </w:r>
          </w:p>
          <w:p>
            <w:pPr>
              <w:pStyle w:val="ListParagraph"/>
              <w:widowControl/>
              <w:numPr>
                <w:ilvl w:val="0"/>
                <w:numId w:val="78"/>
              </w:numPr>
              <w:bidi w:val="0"/>
              <w:spacing w:before="0" w:after="0"/>
              <w:ind w:left="720" w:right="0" w:hanging="360"/>
              <w:contextualSpacing/>
              <w:jc w:val="both"/>
              <w:textAlignment w:val="auto"/>
              <w:rPr>
                <w:lang w:val="ro-RO"/>
              </w:rPr>
            </w:pPr>
            <w:r>
              <w:rPr>
                <w:sz w:val="22"/>
                <w:szCs w:val="22"/>
                <w:lang w:val="ro-RO"/>
              </w:rPr>
              <w:t xml:space="preserve">MOLDOVYAN, N.A.; MOLDOVYAN, A.A.; SHCHERBACOV, V.A. Generating Cubic Equations as a Method for Public Encryption. </w:t>
            </w:r>
            <w:r>
              <w:rPr>
                <w:rFonts w:cs="Times New Roman CE" w:ascii="Times New Roman CE" w:hAnsi="Times New Roman CE"/>
                <w:i/>
                <w:sz w:val="22"/>
                <w:szCs w:val="22"/>
                <w:lang w:val="ro-RO"/>
              </w:rPr>
              <w:t>Buletinul Academiei de Ştiinţe a Republicii Moldova. Matematica.</w:t>
            </w:r>
            <w:r>
              <w:rPr>
                <w:sz w:val="22"/>
                <w:szCs w:val="22"/>
                <w:lang w:val="ro-RO"/>
              </w:rPr>
              <w:t xml:space="preserve"> 2015,</w:t>
            </w:r>
            <w:r>
              <w:rPr>
                <w:i/>
                <w:sz w:val="22"/>
                <w:szCs w:val="22"/>
                <w:lang w:val="ro-RO"/>
              </w:rPr>
              <w:t xml:space="preserve"> </w:t>
            </w:r>
            <w:r>
              <w:rPr>
                <w:sz w:val="22"/>
                <w:szCs w:val="22"/>
                <w:lang w:val="ro-RO"/>
              </w:rPr>
              <w:t xml:space="preserve"> 3, 60-71. ISSN 1024-7696</w:t>
            </w:r>
          </w:p>
          <w:p>
            <w:pPr>
              <w:pStyle w:val="Normal"/>
              <w:widowControl w:val="false"/>
              <w:numPr>
                <w:ilvl w:val="0"/>
                <w:numId w:val="78"/>
              </w:numPr>
              <w:suppressAutoHyphens w:val="true"/>
              <w:bidi w:val="0"/>
              <w:ind w:left="720" w:right="0" w:hanging="360"/>
              <w:jc w:val="both"/>
              <w:textAlignment w:val="auto"/>
              <w:rPr>
                <w:lang w:val="ro-RO"/>
              </w:rPr>
            </w:pPr>
            <w:r>
              <w:rPr>
                <w:sz w:val="22"/>
                <w:szCs w:val="22"/>
                <w:lang w:val="ro-RO"/>
              </w:rPr>
              <w:t xml:space="preserve">POPA, V.  On LCA groups with locally compact  rings of continuous endomorphisms. II, </w:t>
            </w:r>
            <w:r>
              <w:rPr>
                <w:rFonts w:cs="Times New Roman CE" w:ascii="Times New Roman CE" w:hAnsi="Times New Roman CE"/>
                <w:i/>
                <w:sz w:val="22"/>
                <w:szCs w:val="22"/>
                <w:lang w:val="ro-RO"/>
              </w:rPr>
              <w:t>Buletinul Academiei de Ştiinţe  a Republicii Moldova, Matematica</w:t>
            </w:r>
            <w:r>
              <w:rPr>
                <w:sz w:val="22"/>
                <w:szCs w:val="22"/>
                <w:lang w:val="ro-RO"/>
              </w:rPr>
              <w:t xml:space="preserve">, 2015, 2(78), 96-113. ISSN 1024-7696 </w:t>
            </w:r>
          </w:p>
          <w:p>
            <w:pPr>
              <w:pStyle w:val="Style10"/>
              <w:widowControl w:val="false"/>
              <w:numPr>
                <w:ilvl w:val="0"/>
                <w:numId w:val="78"/>
              </w:numPr>
              <w:suppressAutoHyphens w:val="true"/>
              <w:bidi w:val="0"/>
              <w:ind w:left="720" w:right="0" w:hanging="360"/>
              <w:jc w:val="left"/>
              <w:textAlignment w:val="auto"/>
              <w:rPr>
                <w:lang w:val="ro-RO"/>
              </w:rPr>
            </w:pPr>
            <w:r>
              <w:rPr>
                <w:sz w:val="22"/>
                <w:szCs w:val="22"/>
                <w:lang w:val="ro-RO"/>
              </w:rPr>
              <w:t>SCERBACOVA, A.V.; SHCHERBACOV, V.A.. On spectrum of medial T</w:t>
            </w:r>
            <w:r>
              <w:rPr>
                <w:sz w:val="22"/>
                <w:szCs w:val="22"/>
                <w:vertAlign w:val="subscript"/>
                <w:lang w:val="ro-RO"/>
              </w:rPr>
              <w:t>2</w:t>
            </w:r>
            <w:r>
              <w:rPr>
                <w:sz w:val="22"/>
                <w:szCs w:val="22"/>
                <w:lang w:val="ro-RO"/>
              </w:rPr>
              <w:t xml:space="preserve">-quasigroups. </w:t>
            </w:r>
            <w:r>
              <w:rPr>
                <w:rFonts w:cs="Times New Roman CE" w:ascii="Times New Roman CE" w:hAnsi="Times New Roman CE"/>
                <w:i/>
                <w:sz w:val="22"/>
                <w:szCs w:val="22"/>
                <w:lang w:val="ro-RO"/>
              </w:rPr>
              <w:t xml:space="preserve">Buletinul Academiei de Ştiinţe a Republicii Moldova. Matematica. </w:t>
            </w:r>
            <w:r>
              <w:rPr>
                <w:sz w:val="22"/>
                <w:szCs w:val="22"/>
                <w:lang w:val="ro-RO"/>
              </w:rPr>
              <w:t>2016, 2(81), 143-154. ISSN 1561-4042</w:t>
            </w:r>
          </w:p>
          <w:p>
            <w:pPr>
              <w:pStyle w:val="Normal"/>
              <w:widowControl/>
              <w:bidi w:val="0"/>
              <w:ind w:left="720" w:right="0" w:hanging="0"/>
              <w:jc w:val="both"/>
              <w:textAlignment w:val="auto"/>
              <w:rPr>
                <w:rFonts w:ascii="Times New Roman" w:hAnsi="Times New Roman"/>
                <w:sz w:val="22"/>
                <w:szCs w:val="22"/>
                <w:lang w:val="ro-RO"/>
              </w:rPr>
            </w:pPr>
            <w:r>
              <w:rPr>
                <w:sz w:val="22"/>
                <w:szCs w:val="22"/>
                <w:lang w:val="ro-RO"/>
              </w:rPr>
            </w:r>
          </w:p>
          <w:p>
            <w:pPr>
              <w:pStyle w:val="Normal"/>
              <w:widowControl w:val="false"/>
              <w:suppressAutoHyphens w:val="true"/>
              <w:bidi w:val="0"/>
              <w:ind w:left="0" w:right="0" w:hanging="0"/>
              <w:jc w:val="both"/>
              <w:textAlignment w:val="auto"/>
              <w:rPr>
                <w:lang w:val="ro-RO"/>
              </w:rPr>
            </w:pPr>
            <w:r>
              <w:rPr>
                <w:b/>
                <w:i/>
                <w:sz w:val="22"/>
                <w:szCs w:val="22"/>
                <w:lang w:val="ro-RO"/>
              </w:rPr>
              <w:t>categoria B</w:t>
            </w:r>
            <w:r>
              <w:rPr>
                <w:b/>
                <w:i/>
                <w:sz w:val="22"/>
                <w:szCs w:val="22"/>
                <w:vertAlign w:val="superscript"/>
                <w:lang w:val="ro-RO"/>
              </w:rPr>
              <w:t>+</w:t>
            </w:r>
          </w:p>
          <w:p>
            <w:pPr>
              <w:pStyle w:val="Normal"/>
              <w:widowControl w:val="false"/>
              <w:suppressAutoHyphens w:val="true"/>
              <w:bidi w:val="0"/>
              <w:ind w:left="928" w:right="0" w:hanging="0"/>
              <w:jc w:val="both"/>
              <w:textAlignment w:val="auto"/>
              <w:rPr>
                <w:rFonts w:ascii="Times New Roman" w:hAnsi="Times New Roman"/>
                <w:b/>
                <w:b/>
                <w:i/>
                <w:i/>
                <w:sz w:val="22"/>
                <w:szCs w:val="22"/>
                <w:lang w:val="ro-RO"/>
              </w:rPr>
            </w:pPr>
            <w:r>
              <w:rPr>
                <w:b/>
                <w:i/>
                <w:sz w:val="22"/>
                <w:szCs w:val="22"/>
                <w:lang w:val="ro-RO"/>
              </w:rPr>
            </w:r>
          </w:p>
          <w:p>
            <w:pPr>
              <w:pStyle w:val="Normal"/>
              <w:widowControl/>
              <w:numPr>
                <w:ilvl w:val="0"/>
                <w:numId w:val="79"/>
              </w:numPr>
              <w:bidi w:val="0"/>
              <w:ind w:left="720" w:right="0" w:hanging="360"/>
              <w:jc w:val="both"/>
              <w:textAlignment w:val="auto"/>
              <w:rPr>
                <w:lang w:val="ro-RO"/>
              </w:rPr>
            </w:pPr>
            <w:r>
              <w:rPr>
                <w:color w:val="333333"/>
                <w:sz w:val="22"/>
                <w:szCs w:val="22"/>
                <w:shd w:fill="FFFFFF" w:val="clear"/>
                <w:lang w:val="ro-RO"/>
              </w:rPr>
              <w:t>DRUGUS, I. Universics: a Theory of Universes of Discourse for Metamathematics and</w:t>
            </w:r>
            <w:r>
              <w:rPr/>
              <w:br/>
            </w:r>
            <w:r>
              <w:rPr>
                <w:color w:val="333333"/>
                <w:sz w:val="22"/>
                <w:szCs w:val="22"/>
                <w:shd w:fill="FFFFFF" w:val="clear"/>
                <w:lang w:val="ro-RO"/>
              </w:rPr>
              <w:t xml:space="preserve">Foundations. </w:t>
            </w:r>
            <w:r>
              <w:rPr>
                <w:i/>
                <w:color w:val="333333"/>
                <w:sz w:val="22"/>
                <w:szCs w:val="22"/>
                <w:shd w:fill="FFFFFF" w:val="clear"/>
                <w:lang w:val="ro-RO"/>
              </w:rPr>
              <w:t>Computer Science Journal of Moldova</w:t>
            </w:r>
            <w:r>
              <w:rPr>
                <w:color w:val="333333"/>
                <w:sz w:val="22"/>
                <w:szCs w:val="22"/>
                <w:shd w:fill="FFFFFF" w:val="clear"/>
                <w:lang w:val="ro-RO"/>
              </w:rPr>
              <w:t>, 2016, vol.24, no.1(70), 3-26.</w:t>
            </w:r>
            <w:r>
              <w:rPr>
                <w:sz w:val="22"/>
                <w:szCs w:val="22"/>
                <w:lang w:val="ro-RO"/>
              </w:rPr>
              <w:t xml:space="preserve"> ISSN 1561-4042</w:t>
            </w:r>
          </w:p>
          <w:p>
            <w:pPr>
              <w:pStyle w:val="ListParagraph"/>
              <w:widowControl/>
              <w:numPr>
                <w:ilvl w:val="0"/>
                <w:numId w:val="79"/>
              </w:numPr>
              <w:bidi w:val="0"/>
              <w:spacing w:before="0" w:after="0"/>
              <w:ind w:left="720" w:right="0" w:hanging="360"/>
              <w:contextualSpacing/>
              <w:jc w:val="both"/>
              <w:textAlignment w:val="auto"/>
              <w:rPr>
                <w:lang w:val="ro-RO"/>
              </w:rPr>
            </w:pPr>
            <w:r>
              <w:rPr>
                <w:sz w:val="22"/>
                <w:szCs w:val="22"/>
                <w:lang w:val="ro-RO"/>
              </w:rPr>
              <w:t xml:space="preserve">MOLDOVYAN, N.A.; SHCHERBACOV, A.V.; SHCHERBACOV, V.A. Some applications of quasigroups in cryptology. </w:t>
            </w:r>
            <w:r>
              <w:rPr>
                <w:i/>
                <w:sz w:val="22"/>
                <w:szCs w:val="22"/>
                <w:lang w:val="ro-RO"/>
              </w:rPr>
              <w:t>Computer Science Journal of Moldova v.24</w:t>
            </w:r>
            <w:r>
              <w:rPr>
                <w:sz w:val="22"/>
                <w:szCs w:val="22"/>
                <w:lang w:val="ro-RO"/>
              </w:rPr>
              <w:t>, n.1 (70), 2016, p.55-67. ISSN 1561-4042</w:t>
            </w:r>
          </w:p>
          <w:p>
            <w:pPr>
              <w:pStyle w:val="ListParagraph"/>
              <w:widowControl/>
              <w:numPr>
                <w:ilvl w:val="0"/>
                <w:numId w:val="79"/>
              </w:numPr>
              <w:bidi w:val="0"/>
              <w:spacing w:before="0" w:after="0"/>
              <w:ind w:left="720" w:right="0" w:hanging="360"/>
              <w:contextualSpacing/>
              <w:jc w:val="both"/>
              <w:textAlignment w:val="auto"/>
              <w:rPr/>
            </w:pPr>
            <w:r>
              <w:rPr>
                <w:sz w:val="22"/>
                <w:szCs w:val="22"/>
                <w:lang w:val="ro-RO"/>
              </w:rPr>
              <w:t xml:space="preserve">MOLDOVYAN, N.A.; MOLDOVYAN, A.A.; MOLDOVYAN, D.A.; SHCHERBACOV, V.A.. Stream Deniable-Encryption Algorithms. </w:t>
            </w:r>
            <w:r>
              <w:rPr>
                <w:i/>
                <w:sz w:val="22"/>
                <w:szCs w:val="22"/>
                <w:lang w:val="ro-RO"/>
              </w:rPr>
              <w:t>Computer Science Journal of Moldova, v.24,</w:t>
            </w:r>
            <w:r>
              <w:rPr>
                <w:sz w:val="22"/>
                <w:szCs w:val="22"/>
                <w:lang w:val="ro-RO"/>
              </w:rPr>
              <w:t xml:space="preserve"> n.1 (70), 2016, 68-82. ISSN 1561-4042</w:t>
            </w:r>
          </w:p>
          <w:p>
            <w:pPr>
              <w:pStyle w:val="Style10"/>
              <w:widowControl w:val="false"/>
              <w:suppressAutoHyphens w:val="true"/>
              <w:bidi w:val="0"/>
              <w:ind w:left="567" w:right="0" w:hanging="0"/>
              <w:jc w:val="both"/>
              <w:textAlignment w:val="auto"/>
              <w:rPr>
                <w:rFonts w:ascii="Times New Roman" w:hAnsi="Times New Roman"/>
                <w:sz w:val="22"/>
                <w:szCs w:val="22"/>
                <w:lang w:val="ro-RO"/>
              </w:rPr>
            </w:pPr>
            <w:r>
              <w:rPr>
                <w:sz w:val="22"/>
                <w:szCs w:val="22"/>
                <w:lang w:val="ro-RO"/>
              </w:rPr>
            </w:r>
          </w:p>
          <w:p>
            <w:pPr>
              <w:pStyle w:val="Normal"/>
              <w:widowControl w:val="false"/>
              <w:suppressAutoHyphens w:val="true"/>
              <w:bidi w:val="0"/>
              <w:ind w:left="0" w:right="0" w:hanging="0"/>
              <w:jc w:val="both"/>
              <w:textAlignment w:val="auto"/>
              <w:rPr>
                <w:lang w:val="ro-RO"/>
              </w:rPr>
            </w:pPr>
            <w:r>
              <w:rPr>
                <w:rFonts w:cs="Times New Roman CE" w:ascii="Times New Roman CE" w:hAnsi="Times New Roman CE"/>
                <w:b/>
                <w:sz w:val="22"/>
                <w:szCs w:val="22"/>
                <w:lang w:val="ro-RO"/>
              </w:rPr>
              <w:t xml:space="preserve">articole în culegeri (naţionale / internaţionale),   </w:t>
              <w:tab/>
              <w:tab/>
              <w:tab/>
              <w:t xml:space="preserve">    </w:t>
            </w:r>
          </w:p>
          <w:p>
            <w:pPr>
              <w:pStyle w:val="Normal"/>
              <w:widowControl w:val="false"/>
              <w:suppressAutoHyphens w:val="true"/>
              <w:bidi w:val="0"/>
              <w:ind w:left="720" w:right="0" w:hanging="0"/>
              <w:jc w:val="both"/>
              <w:textAlignment w:val="auto"/>
              <w:rPr>
                <w:rFonts w:ascii="Times New Roman" w:hAnsi="Times New Roman"/>
                <w:sz w:val="22"/>
                <w:szCs w:val="22"/>
                <w:lang w:val="ro-RO"/>
              </w:rPr>
            </w:pPr>
            <w:r>
              <w:rPr>
                <w:sz w:val="22"/>
                <w:szCs w:val="22"/>
                <w:lang w:val="ro-RO"/>
              </w:rPr>
            </w:r>
          </w:p>
          <w:p>
            <w:pPr>
              <w:pStyle w:val="Normal"/>
              <w:widowControl w:val="false"/>
              <w:numPr>
                <w:ilvl w:val="0"/>
                <w:numId w:val="80"/>
              </w:numPr>
              <w:suppressAutoHyphens w:val="true"/>
              <w:bidi w:val="0"/>
              <w:ind w:left="720" w:right="0" w:hanging="360"/>
              <w:jc w:val="both"/>
              <w:textAlignment w:val="auto"/>
              <w:rPr/>
            </w:pPr>
            <w:r>
              <w:rPr>
                <w:rFonts w:cs="Times New Roman CE" w:ascii="Times New Roman CE" w:hAnsi="Times New Roman CE"/>
                <w:sz w:val="22"/>
                <w:szCs w:val="22"/>
                <w:lang w:val="ro-RO"/>
              </w:rPr>
              <w:t>CUZNEŢOV E., CEALBASH O.</w:t>
            </w:r>
            <w:r>
              <w:rPr>
                <w:b/>
                <w:sz w:val="22"/>
                <w:szCs w:val="22"/>
                <w:lang w:val="ro-RO"/>
              </w:rPr>
              <w:tab/>
            </w:r>
            <w:hyperlink r:id="rId14">
              <w:r>
                <w:rPr>
                  <w:webHidden/>
                  <w:rStyle w:val="Style5"/>
                  <w:sz w:val="22"/>
                  <w:szCs w:val="22"/>
                  <w:lang w:val="ro-RO"/>
                </w:rPr>
                <w:t>Solar photovoltaic and thermocollectory stations on mobile platforms (tracking system), placed on a limited area</w:t>
              </w:r>
            </w:hyperlink>
            <w:r>
              <w:rPr>
                <w:i/>
                <w:sz w:val="22"/>
                <w:szCs w:val="22"/>
                <w:lang w:val="ro-RO"/>
              </w:rPr>
              <w:t>.</w:t>
            </w:r>
            <w:r>
              <w:rPr>
                <w:sz w:val="22"/>
                <w:szCs w:val="22"/>
                <w:lang w:val="ro-RO"/>
              </w:rPr>
              <w:t xml:space="preserve"> </w:t>
            </w:r>
            <w:r>
              <w:rPr>
                <w:i/>
                <w:sz w:val="22"/>
                <w:szCs w:val="22"/>
                <w:lang w:val="ro-RO"/>
              </w:rPr>
              <w:t>In: Proceedings of the International conference “Energy of Moldova – 2016”</w:t>
            </w:r>
            <w:r>
              <w:rPr>
                <w:sz w:val="22"/>
                <w:szCs w:val="22"/>
                <w:lang w:val="ro-RO"/>
              </w:rPr>
              <w:t>, 3d edition, September 29 – October 1, Chisinau, 2016, 572-576</w:t>
            </w:r>
            <w:r>
              <w:rPr>
                <w:b/>
                <w:sz w:val="22"/>
                <w:szCs w:val="22"/>
                <w:lang w:val="ro-RO"/>
              </w:rPr>
              <w:tab/>
              <w:t>.</w:t>
            </w:r>
          </w:p>
          <w:p>
            <w:pPr>
              <w:pStyle w:val="Normal"/>
              <w:widowControl w:val="false"/>
              <w:numPr>
                <w:ilvl w:val="0"/>
                <w:numId w:val="80"/>
              </w:numPr>
              <w:suppressAutoHyphens w:val="true"/>
              <w:bidi w:val="0"/>
              <w:ind w:left="720" w:right="0" w:hanging="360"/>
              <w:jc w:val="both"/>
              <w:textAlignment w:val="auto"/>
              <w:rPr>
                <w:lang w:val="ro-RO"/>
              </w:rPr>
            </w:pPr>
            <w:r>
              <w:rPr>
                <w:color w:val="333333"/>
                <w:sz w:val="22"/>
                <w:szCs w:val="22"/>
                <w:shd w:fill="FFFFFF" w:val="clear"/>
                <w:lang w:val="ro-RO"/>
              </w:rPr>
              <w:t xml:space="preserve">DRUGUS, I. An Extensional Model of Natural Languages. </w:t>
            </w:r>
            <w:r>
              <w:rPr>
                <w:i/>
                <w:color w:val="333333"/>
                <w:sz w:val="22"/>
                <w:szCs w:val="22"/>
                <w:shd w:fill="FFFFFF" w:val="clear"/>
                <w:lang w:val="ro-RO"/>
              </w:rPr>
              <w:t xml:space="preserve"> In: Proceeding. of the Conference on Mathematical Foundations of Informatics</w:t>
            </w:r>
            <w:r>
              <w:rPr>
                <w:color w:val="333333"/>
                <w:sz w:val="22"/>
                <w:szCs w:val="22"/>
                <w:shd w:fill="FFFFFF" w:val="clear"/>
                <w:lang w:val="ro-RO"/>
              </w:rPr>
              <w:t>, July 25-29, 2016, Chisinau, Republic of Moldova,</w:t>
            </w:r>
            <w:r>
              <w:rPr/>
              <w:br/>
            </w:r>
            <w:r>
              <w:rPr>
                <w:color w:val="333333"/>
                <w:sz w:val="22"/>
                <w:szCs w:val="22"/>
                <w:shd w:fill="FFFFFF" w:val="clear"/>
                <w:lang w:val="ro-RO"/>
              </w:rPr>
              <w:t>191 - 205.</w:t>
            </w:r>
          </w:p>
          <w:p>
            <w:pPr>
              <w:pStyle w:val="Normal"/>
              <w:widowControl w:val="false"/>
              <w:numPr>
                <w:ilvl w:val="0"/>
                <w:numId w:val="80"/>
              </w:numPr>
              <w:suppressAutoHyphens w:val="true"/>
              <w:bidi w:val="0"/>
              <w:ind w:left="720" w:right="0" w:hanging="360"/>
              <w:jc w:val="both"/>
              <w:textAlignment w:val="auto"/>
              <w:rPr>
                <w:lang w:val="ro-RO"/>
              </w:rPr>
            </w:pPr>
            <w:r>
              <w:rPr>
                <w:sz w:val="22"/>
                <w:szCs w:val="22"/>
                <w:lang w:val="ro-RO"/>
              </w:rPr>
              <w:t xml:space="preserve">SCERBACOVA, A.V.; SHCHERBACOV, V.A.. About spectrum of T_2-quasigroups, </w:t>
            </w:r>
            <w:r>
              <w:rPr>
                <w:i/>
                <w:color w:val="333333"/>
                <w:sz w:val="22"/>
                <w:szCs w:val="22"/>
                <w:shd w:fill="FFFFFF" w:val="clear"/>
                <w:lang w:val="ro-RO"/>
              </w:rPr>
              <w:t>In: Proceeding. of the Conference on Mathematical Foundations of Informatics</w:t>
            </w:r>
            <w:r>
              <w:rPr>
                <w:color w:val="333333"/>
                <w:sz w:val="22"/>
                <w:szCs w:val="22"/>
                <w:shd w:fill="FFFFFF" w:val="clear"/>
                <w:lang w:val="ro-RO"/>
              </w:rPr>
              <w:t xml:space="preserve">, </w:t>
            </w:r>
            <w:r>
              <w:rPr>
                <w:sz w:val="22"/>
                <w:szCs w:val="22"/>
                <w:lang w:val="ro-RO"/>
              </w:rPr>
              <w:t>IM &amp;CS, July 25-30, 2016, Chisinau, Moldova,2016, 307-320.</w:t>
            </w:r>
          </w:p>
          <w:p>
            <w:pPr>
              <w:pStyle w:val="Normal"/>
              <w:widowControl w:val="false"/>
              <w:suppressAutoHyphens w:val="true"/>
              <w:bidi w:val="0"/>
              <w:ind w:left="0" w:right="0" w:hanging="0"/>
              <w:jc w:val="both"/>
              <w:textAlignment w:val="auto"/>
              <w:rPr>
                <w:lang w:val="ro-RO"/>
              </w:rPr>
            </w:pPr>
            <w:r>
              <w:rPr>
                <w:rFonts w:cs="Times New Roman CE" w:ascii="Times New Roman CE" w:hAnsi="Times New Roman CE"/>
                <w:b/>
                <w:sz w:val="22"/>
                <w:szCs w:val="22"/>
                <w:lang w:val="ro-RO"/>
              </w:rPr>
              <w:t xml:space="preserve">Rapoarte publicate / Teze ale comunicărilor la congrese, conferinţe, simpozioane, în culegeri (naţionale / internaţionale)  </w:t>
            </w:r>
            <w:r>
              <w:rPr>
                <w:b/>
                <w:sz w:val="22"/>
                <w:szCs w:val="22"/>
                <w:lang w:val="ro-RO"/>
              </w:rPr>
              <w:t xml:space="preserve">                                                                 </w:t>
            </w:r>
          </w:p>
          <w:p>
            <w:pPr>
              <w:pStyle w:val="Normal"/>
              <w:widowControl w:val="false"/>
              <w:suppressAutoHyphens w:val="true"/>
              <w:bidi w:val="0"/>
              <w:ind w:left="928" w:right="0" w:hanging="0"/>
              <w:jc w:val="both"/>
              <w:textAlignment w:val="auto"/>
              <w:rPr>
                <w:lang w:val="ro-RO"/>
              </w:rPr>
            </w:pPr>
            <w:r>
              <w:rPr>
                <w:b/>
                <w:lang w:val="ro-RO"/>
              </w:rPr>
              <w:t xml:space="preserve">                                                                     </w:t>
            </w:r>
          </w:p>
          <w:p>
            <w:pPr>
              <w:pStyle w:val="ListParagraph"/>
              <w:widowControl/>
              <w:numPr>
                <w:ilvl w:val="0"/>
                <w:numId w:val="82"/>
              </w:numPr>
              <w:bidi w:val="0"/>
              <w:spacing w:before="0" w:after="0"/>
              <w:ind w:left="720" w:right="0" w:hanging="360"/>
              <w:contextualSpacing/>
              <w:jc w:val="both"/>
              <w:textAlignment w:val="auto"/>
              <w:rPr>
                <w:lang w:val="ro-RO"/>
              </w:rPr>
            </w:pPr>
            <w:r>
              <w:rPr>
                <w:sz w:val="22"/>
                <w:szCs w:val="22"/>
                <w:lang w:val="ro-RO"/>
              </w:rPr>
              <w:t xml:space="preserve">ARNAUTOV, V.I.; ERMAKOVA, G.N. Lattice of all topologies of countable module over countable rings. </w:t>
            </w:r>
            <w:r>
              <w:rPr>
                <w:i/>
                <w:sz w:val="22"/>
                <w:szCs w:val="22"/>
                <w:lang w:val="ro-RO"/>
              </w:rPr>
              <w:t>In:</w:t>
            </w:r>
            <w:r>
              <w:rPr>
                <w:sz w:val="22"/>
                <w:szCs w:val="22"/>
                <w:lang w:val="ro-RO"/>
              </w:rPr>
              <w:t xml:space="preserve"> </w:t>
            </w:r>
            <w:r>
              <w:rPr>
                <w:i/>
                <w:sz w:val="22"/>
                <w:szCs w:val="22"/>
                <w:lang w:val="ro-RO"/>
              </w:rPr>
              <w:t>Abstracts of the  International conference Mathematics &amp; Information Technologies: Research and Education (MITRE-2016)</w:t>
            </w:r>
            <w:r>
              <w:rPr>
                <w:sz w:val="22"/>
                <w:szCs w:val="22"/>
                <w:lang w:val="ro-RO"/>
              </w:rPr>
              <w:t>, June 23-26, 2016, Chisinau, 4-5.</w:t>
            </w:r>
          </w:p>
          <w:p>
            <w:pPr>
              <w:pStyle w:val="ListParagraph"/>
              <w:widowControl/>
              <w:numPr>
                <w:ilvl w:val="0"/>
                <w:numId w:val="82"/>
              </w:numPr>
              <w:bidi w:val="0"/>
              <w:spacing w:before="0" w:after="0"/>
              <w:ind w:left="720" w:right="0" w:hanging="360"/>
              <w:contextualSpacing/>
              <w:jc w:val="both"/>
              <w:textAlignment w:val="auto"/>
              <w:rPr/>
            </w:pPr>
            <w:r>
              <w:rPr>
                <w:sz w:val="22"/>
                <w:szCs w:val="22"/>
                <w:lang w:val="ro-RO"/>
              </w:rPr>
              <w:t>COJUHARI, E.  On generalized monoid  rings.</w:t>
            </w:r>
            <w:r>
              <w:rPr>
                <w:rFonts w:cs="Times New Roman CE" w:ascii="Times New Roman CE" w:hAnsi="Times New Roman CE"/>
                <w:sz w:val="22"/>
                <w:szCs w:val="22"/>
                <w:lang w:val="ro-RO"/>
              </w:rPr>
              <w:t xml:space="preserve"> În: Materialele</w:t>
            </w:r>
            <w:r>
              <w:rPr>
                <w:sz w:val="22"/>
                <w:szCs w:val="22"/>
                <w:lang w:val="ro-RO"/>
              </w:rPr>
              <w:t xml:space="preserve"> </w:t>
            </w:r>
            <w:r>
              <w:rPr>
                <w:rFonts w:cs="Times New Roman CE" w:ascii="Times New Roman CE" w:hAnsi="Times New Roman CE"/>
                <w:sz w:val="22"/>
                <w:szCs w:val="22"/>
                <w:lang w:val="ro-RO"/>
              </w:rPr>
              <w:t>Conferinţ</w:t>
            </w:r>
            <w:r>
              <w:rPr>
                <w:sz w:val="22"/>
                <w:szCs w:val="22"/>
                <w:lang w:val="ro-RO"/>
              </w:rPr>
              <w:t>ei</w:t>
            </w:r>
            <w:r>
              <w:rPr>
                <w:rFonts w:cs="Times New Roman CE" w:ascii="Times New Roman CE" w:hAnsi="Times New Roman CE"/>
                <w:sz w:val="22"/>
                <w:szCs w:val="22"/>
                <w:lang w:val="ro-RO"/>
              </w:rPr>
              <w:t xml:space="preserve"> tehnico-stiinţific</w:t>
            </w:r>
            <w:r>
              <w:rPr>
                <w:sz w:val="22"/>
                <w:szCs w:val="22"/>
                <w:lang w:val="ro-RO"/>
              </w:rPr>
              <w:t>e</w:t>
            </w:r>
            <w:r>
              <w:rPr>
                <w:rFonts w:cs="Times New Roman CE" w:ascii="Times New Roman CE" w:hAnsi="Times New Roman CE"/>
                <w:sz w:val="22"/>
                <w:szCs w:val="22"/>
                <w:lang w:val="ro-RO"/>
              </w:rPr>
              <w:t xml:space="preserve"> a colaboratorilor, doctoranzilor şi studenţilor, noiembrie 201</w:t>
            </w:r>
            <w:r>
              <w:rPr>
                <w:sz w:val="22"/>
                <w:szCs w:val="22"/>
                <w:lang w:val="ro-RO"/>
              </w:rPr>
              <w:t>6</w:t>
            </w:r>
            <w:r>
              <w:rPr>
                <w:rFonts w:cs="Times New Roman CE" w:ascii="Times New Roman CE" w:hAnsi="Times New Roman CE"/>
                <w:sz w:val="22"/>
                <w:szCs w:val="22"/>
                <w:lang w:val="ro-RO"/>
              </w:rPr>
              <w:t xml:space="preserve">, Universitatea Tehnică a Moldovei, Chişinău, v.III,208-209. </w:t>
            </w:r>
          </w:p>
          <w:p>
            <w:pPr>
              <w:pStyle w:val="ListParagraph"/>
              <w:widowControl/>
              <w:numPr>
                <w:ilvl w:val="0"/>
                <w:numId w:val="82"/>
              </w:numPr>
              <w:bidi w:val="0"/>
              <w:spacing w:before="0" w:after="0"/>
              <w:ind w:left="720" w:right="0" w:hanging="360"/>
              <w:contextualSpacing/>
              <w:jc w:val="both"/>
              <w:textAlignment w:val="auto"/>
              <w:rPr>
                <w:lang w:val="ro-RO"/>
              </w:rPr>
            </w:pPr>
            <w:r>
              <w:rPr>
                <w:sz w:val="22"/>
                <w:szCs w:val="22"/>
                <w:lang w:val="ro-RO"/>
              </w:rPr>
              <w:t xml:space="preserve">COJUHARI, E. GARDNER, B. A comparison of three types of ring extensions. </w:t>
            </w:r>
            <w:r>
              <w:rPr>
                <w:i/>
                <w:sz w:val="22"/>
                <w:szCs w:val="22"/>
                <w:lang w:val="ro-RO"/>
              </w:rPr>
              <w:t>In: Abstracta of the Thirty-Fourth Annual Victorian Algebra Conference,</w:t>
            </w:r>
            <w:r>
              <w:rPr>
                <w:sz w:val="22"/>
                <w:szCs w:val="22"/>
                <w:lang w:val="ro-RO"/>
              </w:rPr>
              <w:t xml:space="preserve"> November 22 - 23, 2016, La Trobe University, Melbourne, Australia, 23.</w:t>
            </w:r>
          </w:p>
          <w:p>
            <w:pPr>
              <w:pStyle w:val="Style10"/>
              <w:widowControl w:val="false"/>
              <w:numPr>
                <w:ilvl w:val="0"/>
                <w:numId w:val="82"/>
              </w:numPr>
              <w:suppressAutoHyphens w:val="true"/>
              <w:bidi w:val="0"/>
              <w:ind w:left="720" w:right="0" w:hanging="360"/>
              <w:jc w:val="both"/>
              <w:textAlignment w:val="auto"/>
              <w:rPr>
                <w:lang w:val="ro-RO"/>
              </w:rPr>
            </w:pPr>
            <w:r>
              <w:rPr>
                <w:rFonts w:cs="Times New Roman CE" w:ascii="Times New Roman CE" w:hAnsi="Times New Roman CE"/>
                <w:sz w:val="22"/>
                <w:szCs w:val="22"/>
                <w:lang w:val="ro-RO" w:eastAsia="en-US"/>
              </w:rPr>
              <w:t xml:space="preserve">CUZNEŢOV E. </w:t>
            </w:r>
            <w:r>
              <w:rPr>
                <w:sz w:val="22"/>
                <w:szCs w:val="22"/>
                <w:lang w:val="ro-RO" w:eastAsia="en-US"/>
              </w:rPr>
              <w:t xml:space="preserve">About group and loop transversals in the infinite sharply 2-transitive permutation group. </w:t>
            </w:r>
            <w:r>
              <w:rPr>
                <w:i/>
                <w:sz w:val="22"/>
                <w:szCs w:val="22"/>
                <w:lang w:val="ro-RO" w:eastAsia="en-US"/>
              </w:rPr>
              <w:t>In:  Book of Abstracts CAIM 2016</w:t>
            </w:r>
            <w:r>
              <w:rPr>
                <w:sz w:val="22"/>
                <w:szCs w:val="22"/>
                <w:lang w:val="ro-RO" w:eastAsia="en-US"/>
              </w:rPr>
              <w:t>, Craiova, September 15-18, 2016, 68-69.</w:t>
            </w:r>
          </w:p>
          <w:p>
            <w:pPr>
              <w:pStyle w:val="ListParagraph"/>
              <w:widowControl/>
              <w:numPr>
                <w:ilvl w:val="0"/>
                <w:numId w:val="82"/>
              </w:numPr>
              <w:bidi w:val="0"/>
              <w:spacing w:before="0" w:after="0"/>
              <w:ind w:left="720" w:right="0" w:hanging="360"/>
              <w:contextualSpacing/>
              <w:jc w:val="both"/>
              <w:textAlignment w:val="auto"/>
              <w:rPr>
                <w:lang w:val="ro-RO"/>
              </w:rPr>
            </w:pPr>
            <w:r>
              <w:rPr>
                <w:sz w:val="22"/>
                <w:szCs w:val="22"/>
                <w:lang w:val="ro-RO"/>
              </w:rPr>
              <w:t xml:space="preserve">DAMIAN, F. Involutions without fixed points on manifolds.  In: </w:t>
            </w:r>
            <w:r>
              <w:rPr>
                <w:i/>
                <w:sz w:val="22"/>
                <w:szCs w:val="22"/>
                <w:lang w:val="ro-RO"/>
              </w:rPr>
              <w:t>Abstracts of the  International conference Mathematics &amp; Information Technologies: Research and Education (MITRE-2016),</w:t>
            </w:r>
            <w:r>
              <w:rPr>
                <w:sz w:val="22"/>
                <w:szCs w:val="22"/>
                <w:lang w:val="ro-RO"/>
              </w:rPr>
              <w:t xml:space="preserve"> June 23-26, 2016, Chisinau, 27.</w:t>
            </w:r>
          </w:p>
          <w:p>
            <w:pPr>
              <w:pStyle w:val="Normal"/>
              <w:widowControl w:val="false"/>
              <w:numPr>
                <w:ilvl w:val="0"/>
                <w:numId w:val="82"/>
              </w:numPr>
              <w:suppressAutoHyphens w:val="true"/>
              <w:bidi w:val="0"/>
              <w:ind w:left="720" w:right="0" w:hanging="360"/>
              <w:jc w:val="both"/>
              <w:textAlignment w:val="auto"/>
              <w:rPr>
                <w:lang w:val="ro-RO"/>
              </w:rPr>
            </w:pPr>
            <w:r>
              <w:rPr>
                <w:sz w:val="22"/>
                <w:szCs w:val="22"/>
                <w:lang w:val="ro-RO" w:eastAsia="en-US"/>
              </w:rPr>
              <w:t xml:space="preserve">F.DAMIAN, V.MAKAROV, P.MAKAROV. Hyperbolic manifold given by equidistant polyhedron over compact basis. </w:t>
            </w:r>
            <w:r>
              <w:rPr>
                <w:i/>
                <w:sz w:val="22"/>
                <w:szCs w:val="22"/>
                <w:lang w:val="ro-RO" w:eastAsia="en-US"/>
              </w:rPr>
              <w:t>In: Book of Abstracts of the 7Th European Congress of Mathematics,</w:t>
            </w:r>
            <w:r>
              <w:rPr>
                <w:sz w:val="22"/>
                <w:szCs w:val="22"/>
                <w:lang w:val="ro-RO" w:eastAsia="en-US"/>
              </w:rPr>
              <w:t xml:space="preserve"> Juli 18-22, 2016, Technische Universitet Berlin, 374.</w:t>
            </w:r>
          </w:p>
          <w:p>
            <w:pPr>
              <w:pStyle w:val="ListParagraph"/>
              <w:widowControl/>
              <w:numPr>
                <w:ilvl w:val="0"/>
                <w:numId w:val="82"/>
              </w:numPr>
              <w:bidi w:val="0"/>
              <w:spacing w:before="0" w:after="0"/>
              <w:ind w:left="720" w:right="0" w:hanging="360"/>
              <w:contextualSpacing/>
              <w:jc w:val="both"/>
              <w:textAlignment w:val="auto"/>
              <w:rPr>
                <w:lang w:val="ro-RO"/>
              </w:rPr>
            </w:pPr>
            <w:r>
              <w:rPr>
                <w:sz w:val="22"/>
                <w:szCs w:val="22"/>
                <w:lang w:val="ro-RO"/>
              </w:rPr>
              <w:t>GUTSUL, I. On octahedral manifolds and their completions</w:t>
            </w:r>
            <w:r>
              <w:rPr>
                <w:i/>
                <w:sz w:val="22"/>
                <w:szCs w:val="22"/>
                <w:lang w:val="ro-RO"/>
              </w:rPr>
              <w:t>.</w:t>
            </w:r>
            <w:r>
              <w:rPr>
                <w:sz w:val="22"/>
                <w:szCs w:val="22"/>
                <w:lang w:val="ro-RO"/>
              </w:rPr>
              <w:t xml:space="preserve"> </w:t>
            </w:r>
            <w:r>
              <w:rPr>
                <w:i/>
                <w:sz w:val="22"/>
                <w:szCs w:val="22"/>
                <w:lang w:val="ro-RO"/>
              </w:rPr>
              <w:t>In:</w:t>
            </w:r>
            <w:r>
              <w:rPr>
                <w:sz w:val="22"/>
                <w:szCs w:val="22"/>
                <w:lang w:val="ro-RO"/>
              </w:rPr>
              <w:t xml:space="preserve"> </w:t>
            </w:r>
            <w:r>
              <w:rPr>
                <w:i/>
                <w:sz w:val="22"/>
                <w:szCs w:val="22"/>
                <w:lang w:val="ro-RO"/>
              </w:rPr>
              <w:t>Abstracts of the  International conference Mathematics &amp; Information Technologies: Research and Education (MITRE-2016),</w:t>
            </w:r>
            <w:r>
              <w:rPr>
                <w:sz w:val="22"/>
                <w:szCs w:val="22"/>
                <w:lang w:val="ro-RO"/>
              </w:rPr>
              <w:t xml:space="preserve"> June 23-26, 2016, Chisinau, 32-33.</w:t>
            </w:r>
          </w:p>
          <w:p>
            <w:pPr>
              <w:pStyle w:val="ListParagraph"/>
              <w:widowControl/>
              <w:numPr>
                <w:ilvl w:val="0"/>
                <w:numId w:val="82"/>
              </w:numPr>
              <w:bidi w:val="0"/>
              <w:spacing w:before="0" w:after="0"/>
              <w:ind w:left="720" w:right="0" w:hanging="360"/>
              <w:contextualSpacing/>
              <w:jc w:val="both"/>
              <w:textAlignment w:val="auto"/>
              <w:rPr/>
            </w:pPr>
            <w:r>
              <w:rPr>
                <w:sz w:val="22"/>
                <w:szCs w:val="22"/>
                <w:lang w:val="ro-RO"/>
              </w:rPr>
              <w:t xml:space="preserve">IZBASH, V.; LUCHIAN M. </w:t>
            </w:r>
            <w:r>
              <w:rPr>
                <w:rFonts w:cs="Times New Roman CE" w:ascii="Times New Roman CE" w:hAnsi="Times New Roman CE"/>
                <w:i/>
                <w:sz w:val="22"/>
                <w:szCs w:val="22"/>
                <w:lang w:val="ro-RO"/>
              </w:rPr>
              <w:t xml:space="preserve">Generalizing Sierpi ´ nski’s theorem to multisorted </w:t>
            </w:r>
            <w:r>
              <w:rPr>
                <w:i/>
                <w:sz w:val="22"/>
                <w:szCs w:val="22"/>
                <w:lang w:val="ro-RO"/>
              </w:rPr>
              <w:t>operations</w:t>
            </w:r>
            <w:r>
              <w:rPr>
                <w:sz w:val="22"/>
                <w:szCs w:val="22"/>
                <w:lang w:val="ro-RO"/>
              </w:rPr>
              <w:t>. International conference Mathematics &amp; Information Technologies: Research and Education (MITRE-2016), June 23-26, 2016, Chisinau, Abstracts,  p. 37-38.</w:t>
            </w:r>
          </w:p>
          <w:p>
            <w:pPr>
              <w:pStyle w:val="ListParagraph"/>
              <w:widowControl/>
              <w:numPr>
                <w:ilvl w:val="0"/>
                <w:numId w:val="82"/>
              </w:numPr>
              <w:bidi w:val="0"/>
              <w:spacing w:before="0" w:after="0"/>
              <w:ind w:left="720" w:right="0" w:hanging="360"/>
              <w:contextualSpacing/>
              <w:jc w:val="both"/>
              <w:textAlignment w:val="auto"/>
              <w:rPr/>
            </w:pPr>
            <w:r>
              <w:rPr>
                <w:sz w:val="22"/>
                <w:szCs w:val="22"/>
                <w:lang w:val="ro-RO"/>
              </w:rPr>
              <w:t>JARDAN, I. On a new operation in the class of preradicals of module</w:t>
            </w:r>
            <w:r>
              <w:rPr>
                <w:i/>
                <w:sz w:val="22"/>
                <w:szCs w:val="22"/>
                <w:lang w:val="ro-RO"/>
              </w:rPr>
              <w:t>s</w:t>
            </w:r>
            <w:r>
              <w:rPr>
                <w:sz w:val="22"/>
                <w:szCs w:val="22"/>
                <w:lang w:val="ro-RO"/>
              </w:rPr>
              <w:t xml:space="preserve">. </w:t>
            </w:r>
            <w:r>
              <w:rPr>
                <w:i/>
                <w:sz w:val="22"/>
                <w:szCs w:val="22"/>
                <w:lang w:val="ro-RO"/>
              </w:rPr>
              <w:t>In:</w:t>
            </w:r>
            <w:r>
              <w:rPr>
                <w:sz w:val="22"/>
                <w:szCs w:val="22"/>
                <w:lang w:val="ro-RO"/>
              </w:rPr>
              <w:t xml:space="preserve"> </w:t>
            </w:r>
            <w:r>
              <w:rPr>
                <w:i/>
                <w:sz w:val="22"/>
                <w:szCs w:val="22"/>
                <w:lang w:val="ro-RO"/>
              </w:rPr>
              <w:t>Abstracts of the  International conference Mathematics &amp; Information Technologies: Research and Education (MITRE-2016)</w:t>
            </w:r>
            <w:r>
              <w:rPr>
                <w:sz w:val="22"/>
                <w:szCs w:val="22"/>
                <w:lang w:val="ro-RO"/>
              </w:rPr>
              <w:t>, June 23-26, 2016, Chisinau,38-39.</w:t>
            </w:r>
          </w:p>
          <w:p>
            <w:pPr>
              <w:pStyle w:val="ListParagraph"/>
              <w:widowControl/>
              <w:numPr>
                <w:ilvl w:val="0"/>
                <w:numId w:val="82"/>
              </w:numPr>
              <w:bidi w:val="0"/>
              <w:spacing w:before="0" w:after="0"/>
              <w:ind w:left="720" w:right="0" w:hanging="360"/>
              <w:contextualSpacing/>
              <w:jc w:val="both"/>
              <w:textAlignment w:val="auto"/>
              <w:rPr/>
            </w:pPr>
            <w:r>
              <w:rPr>
                <w:sz w:val="22"/>
                <w:szCs w:val="22"/>
                <w:lang w:val="ro-RO"/>
              </w:rPr>
              <w:t xml:space="preserve">KASHU, A.I. On closure operators in categories of modules ( an overview ). In: </w:t>
            </w:r>
            <w:r>
              <w:rPr>
                <w:i/>
                <w:sz w:val="22"/>
                <w:szCs w:val="22"/>
                <w:lang w:val="ro-RO"/>
              </w:rPr>
              <w:t>Abstracts of the  International conference Mathematics &amp; Information Technologies: Research and Education (MITRE-2016),</w:t>
            </w:r>
            <w:r>
              <w:rPr>
                <w:sz w:val="22"/>
                <w:szCs w:val="22"/>
                <w:lang w:val="ro-RO"/>
              </w:rPr>
              <w:t xml:space="preserve"> June 23-26, 2016, Chisinau, 39-40.</w:t>
            </w:r>
          </w:p>
          <w:p>
            <w:pPr>
              <w:pStyle w:val="ListParagraph"/>
              <w:widowControl/>
              <w:numPr>
                <w:ilvl w:val="0"/>
                <w:numId w:val="82"/>
              </w:numPr>
              <w:bidi w:val="0"/>
              <w:spacing w:before="0" w:after="0"/>
              <w:ind w:left="720" w:right="0" w:hanging="360"/>
              <w:contextualSpacing/>
              <w:jc w:val="both"/>
              <w:textAlignment w:val="auto"/>
              <w:rPr/>
            </w:pPr>
            <w:r>
              <w:rPr>
                <w:sz w:val="22"/>
                <w:szCs w:val="22"/>
                <w:lang w:val="ro-RO"/>
              </w:rPr>
              <w:t>LUCHIAN, M. Sigma Algebre S-ordonat sortate</w:t>
            </w:r>
            <w:r>
              <w:rPr>
                <w:i/>
                <w:sz w:val="22"/>
                <w:szCs w:val="22"/>
                <w:lang w:val="ro-RO"/>
              </w:rPr>
              <w:t>.</w:t>
            </w:r>
            <w:r>
              <w:rPr>
                <w:rFonts w:cs="Times New Roman CE" w:ascii="Times New Roman CE" w:hAnsi="Times New Roman CE"/>
                <w:i/>
                <w:sz w:val="22"/>
                <w:szCs w:val="22"/>
                <w:lang w:val="ro-RO"/>
              </w:rPr>
              <w:t xml:space="preserve"> În: Materialele Atelierului Matematică şi Ştinţa Informaţiei, Conferinţa Ştiinţifică Internaţională a studenţilor şi masteranzilor “Viitorul ne aparţine”</w:t>
            </w:r>
            <w:r>
              <w:rPr>
                <w:rFonts w:cs="Times New Roman CE" w:ascii="Times New Roman CE" w:hAnsi="Times New Roman CE"/>
                <w:sz w:val="22"/>
                <w:szCs w:val="22"/>
                <w:lang w:val="ro-RO"/>
              </w:rPr>
              <w:t>, Ediţia a VI-a dedicată aniversării a 70-a de la crearea primelor instituţii de cercetare şi a 55-a de la fondarea Academiei de Ştiinţe a Moldovei, Culegere de teze. Chişinău 2016,  78.</w:t>
            </w:r>
          </w:p>
          <w:p>
            <w:pPr>
              <w:pStyle w:val="ListParagraph"/>
              <w:widowControl/>
              <w:numPr>
                <w:ilvl w:val="0"/>
                <w:numId w:val="82"/>
              </w:numPr>
              <w:bidi w:val="0"/>
              <w:spacing w:before="0" w:after="0"/>
              <w:ind w:left="720" w:right="0" w:hanging="360"/>
              <w:contextualSpacing/>
              <w:jc w:val="both"/>
              <w:textAlignment w:val="auto"/>
              <w:rPr>
                <w:lang w:val="ro-RO"/>
              </w:rPr>
            </w:pPr>
            <w:r>
              <w:rPr>
                <w:sz w:val="22"/>
                <w:szCs w:val="22"/>
                <w:lang w:val="ro-RO"/>
              </w:rPr>
              <w:t xml:space="preserve">SHCERBACOVA,  A.; SHCHERBACOV, V. About spectrum of </w:t>
            </w:r>
            <w:r>
              <w:rPr>
                <w:iCs/>
                <w:sz w:val="22"/>
                <w:szCs w:val="22"/>
                <w:lang w:val="ro-RO"/>
              </w:rPr>
              <w:t>T</w:t>
            </w:r>
            <w:r>
              <w:rPr>
                <w:sz w:val="22"/>
                <w:szCs w:val="22"/>
                <w:lang w:val="ro-RO"/>
              </w:rPr>
              <w:t xml:space="preserve">2-quasigroups. </w:t>
            </w:r>
            <w:r>
              <w:rPr>
                <w:i/>
                <w:sz w:val="22"/>
                <w:szCs w:val="22"/>
                <w:lang w:val="ro-RO"/>
              </w:rPr>
              <w:t>In:</w:t>
            </w:r>
            <w:r>
              <w:rPr>
                <w:sz w:val="22"/>
                <w:szCs w:val="22"/>
                <w:lang w:val="ro-RO"/>
              </w:rPr>
              <w:t xml:space="preserve"> </w:t>
            </w:r>
            <w:r>
              <w:rPr>
                <w:i/>
                <w:sz w:val="22"/>
                <w:szCs w:val="22"/>
                <w:lang w:val="ro-RO"/>
              </w:rPr>
              <w:t>Abstracts of the  International conference Mathematics &amp; Information Technologies: Research and Education (MITRE-2016</w:t>
            </w:r>
            <w:r>
              <w:rPr>
                <w:sz w:val="22"/>
                <w:szCs w:val="22"/>
                <w:lang w:val="ro-RO"/>
              </w:rPr>
              <w:t>), June 23-26, 2016, Chisinau, 64.</w:t>
            </w:r>
          </w:p>
          <w:p>
            <w:pPr>
              <w:pStyle w:val="ListParagraph"/>
              <w:widowControl/>
              <w:numPr>
                <w:ilvl w:val="0"/>
                <w:numId w:val="82"/>
              </w:numPr>
              <w:bidi w:val="0"/>
              <w:spacing w:before="0" w:after="0"/>
              <w:ind w:left="720" w:right="0" w:hanging="360"/>
              <w:contextualSpacing/>
              <w:jc w:val="both"/>
              <w:textAlignment w:val="auto"/>
              <w:rPr/>
            </w:pPr>
            <w:r>
              <w:rPr>
                <w:sz w:val="22"/>
                <w:szCs w:val="22"/>
                <w:lang w:val="ro-RO"/>
              </w:rPr>
              <w:t xml:space="preserve">SHCHERBACOV, V.; TCACENCO, A. On prolongations of a quasigroup. </w:t>
            </w:r>
            <w:r>
              <w:rPr>
                <w:i/>
                <w:sz w:val="22"/>
                <w:szCs w:val="22"/>
                <w:lang w:val="ro-RO"/>
              </w:rPr>
              <w:t>In: Abstracts of the  International conference Mathematics &amp; Information Technologies: Research and Education (MITRE-2016</w:t>
            </w:r>
            <w:r>
              <w:rPr>
                <w:sz w:val="22"/>
                <w:szCs w:val="22"/>
                <w:lang w:val="ro-RO"/>
              </w:rPr>
              <w:t>), June 23-26, 2016, Chisinau, 61.</w:t>
            </w:r>
          </w:p>
          <w:p>
            <w:pPr>
              <w:pStyle w:val="ListParagraph"/>
              <w:widowControl/>
              <w:numPr>
                <w:ilvl w:val="0"/>
                <w:numId w:val="82"/>
              </w:numPr>
              <w:bidi w:val="0"/>
              <w:spacing w:before="0" w:after="0"/>
              <w:ind w:left="720" w:right="0" w:hanging="360"/>
              <w:contextualSpacing/>
              <w:jc w:val="both"/>
              <w:textAlignment w:val="auto"/>
              <w:rPr>
                <w:lang w:val="ro-RO"/>
              </w:rPr>
            </w:pPr>
            <w:r>
              <w:rPr>
                <w:rFonts w:cs="Times New Roman CE" w:ascii="Times New Roman CE" w:hAnsi="Times New Roman CE"/>
                <w:sz w:val="22"/>
                <w:szCs w:val="22"/>
                <w:lang w:val="ro-RO"/>
              </w:rPr>
              <w:t>ŢĂRNĂ T. Problema de completitudine relativ la expresibilitate în logica modală EM4</w:t>
            </w:r>
            <w:r>
              <w:rPr>
                <w:i/>
                <w:sz w:val="22"/>
                <w:szCs w:val="22"/>
                <w:lang w:val="ro-RO"/>
              </w:rPr>
              <w:t xml:space="preserve">. </w:t>
            </w:r>
            <w:r>
              <w:rPr>
                <w:rFonts w:cs="Times New Roman CE" w:ascii="Times New Roman CE" w:hAnsi="Times New Roman CE"/>
                <w:i/>
                <w:sz w:val="22"/>
                <w:szCs w:val="22"/>
                <w:lang w:val="ro-RO"/>
              </w:rPr>
              <w:t>În: Materialele Atelierului Matematică şi Ştinţa Informaţiei, Conferinţa Ştiinţifică Internaţională a studenţilor şi masteranzilor “Viitorul ne aparţine”,</w:t>
            </w:r>
            <w:r>
              <w:rPr>
                <w:rFonts w:cs="Times New Roman CE" w:ascii="Times New Roman CE" w:hAnsi="Times New Roman CE"/>
                <w:sz w:val="22"/>
                <w:szCs w:val="22"/>
                <w:lang w:val="ro-RO"/>
              </w:rPr>
              <w:t xml:space="preserve"> Ediţia a VI-a dedicată aniversării a 70-a de la crearea primelor instituţii de cercetare şi a 55-a de la fondarea Academiei de Ştiinţe a Moldovei, Culegere de teze. Chişinău 2016,82.</w:t>
            </w:r>
          </w:p>
          <w:p>
            <w:pPr>
              <w:pStyle w:val="ListParagraph"/>
              <w:widowControl/>
              <w:numPr>
                <w:ilvl w:val="0"/>
                <w:numId w:val="82"/>
              </w:numPr>
              <w:bidi w:val="0"/>
              <w:spacing w:before="0" w:after="0"/>
              <w:ind w:left="720" w:right="0" w:hanging="360"/>
              <w:contextualSpacing/>
              <w:jc w:val="both"/>
              <w:textAlignment w:val="auto"/>
              <w:rPr>
                <w:lang w:val="ro-RO"/>
              </w:rPr>
            </w:pPr>
            <w:r>
              <w:rPr>
                <w:sz w:val="22"/>
                <w:szCs w:val="22"/>
                <w:lang w:val="ro-RO"/>
              </w:rPr>
              <w:t xml:space="preserve">ZAMORZAEVA, E.  On tilings of hyperbolic plane by 14-gons and 16-gons for translation group of genus 2. </w:t>
            </w:r>
            <w:r>
              <w:rPr>
                <w:i/>
                <w:sz w:val="22"/>
                <w:szCs w:val="22"/>
                <w:lang w:val="ro-RO"/>
              </w:rPr>
              <w:t>In:</w:t>
            </w:r>
            <w:r>
              <w:rPr>
                <w:sz w:val="22"/>
                <w:szCs w:val="22"/>
                <w:lang w:val="ro-RO"/>
              </w:rPr>
              <w:t xml:space="preserve"> </w:t>
            </w:r>
            <w:r>
              <w:rPr>
                <w:i/>
                <w:sz w:val="22"/>
                <w:szCs w:val="22"/>
                <w:lang w:val="ro-RO"/>
              </w:rPr>
              <w:t>Abstracts of the  International conference Mathematics &amp; Information Technologies: Research and Education (MITRE-2016),</w:t>
            </w:r>
            <w:r>
              <w:rPr>
                <w:sz w:val="22"/>
                <w:szCs w:val="22"/>
                <w:lang w:val="ro-RO"/>
              </w:rPr>
              <w:t xml:space="preserve"> June 23-26, 2016, Chisinau, 72.</w:t>
            </w:r>
          </w:p>
          <w:p>
            <w:pPr>
              <w:pStyle w:val="ListParagraph"/>
              <w:widowControl/>
              <w:numPr>
                <w:ilvl w:val="0"/>
                <w:numId w:val="82"/>
              </w:numPr>
              <w:bidi w:val="0"/>
              <w:spacing w:before="0" w:after="0"/>
              <w:ind w:left="720" w:right="0" w:hanging="360"/>
              <w:contextualSpacing/>
              <w:jc w:val="both"/>
              <w:textAlignment w:val="auto"/>
              <w:rPr/>
            </w:pPr>
            <w:r>
              <w:rPr>
                <w:sz w:val="22"/>
                <w:szCs w:val="22"/>
              </w:rPr>
              <w:t xml:space="preserve">АРНАУТОВ В.И., ЕРМАКОВА Г.Н. Совершенствование математического образования – 2016: состояние и перспективы развития. </w:t>
            </w:r>
            <w:r>
              <w:rPr>
                <w:i/>
                <w:sz w:val="22"/>
                <w:szCs w:val="22"/>
                <w:lang w:val="ro-RO"/>
              </w:rPr>
              <w:t xml:space="preserve">In: </w:t>
            </w:r>
            <w:r>
              <w:rPr>
                <w:i/>
                <w:sz w:val="22"/>
                <w:szCs w:val="22"/>
              </w:rPr>
              <w:t>Материалы  международной научно- методической конференции,</w:t>
            </w:r>
            <w:r>
              <w:rPr>
                <w:sz w:val="22"/>
                <w:szCs w:val="22"/>
              </w:rPr>
              <w:t xml:space="preserve"> 29-30 сентября, 2016, Тирасполь, 41-42.</w:t>
            </w:r>
          </w:p>
          <w:p>
            <w:pPr>
              <w:pStyle w:val="Style10"/>
              <w:widowControl w:val="false"/>
              <w:numPr>
                <w:ilvl w:val="0"/>
                <w:numId w:val="82"/>
              </w:numPr>
              <w:suppressAutoHyphens w:val="true"/>
              <w:bidi w:val="0"/>
              <w:spacing w:before="0" w:after="120"/>
              <w:ind w:left="720" w:right="0" w:hanging="360"/>
              <w:jc w:val="both"/>
              <w:textAlignment w:val="auto"/>
              <w:rPr>
                <w:lang w:val="ro-RO"/>
              </w:rPr>
            </w:pPr>
            <w:r>
              <w:rPr>
                <w:sz w:val="22"/>
                <w:szCs w:val="22"/>
                <w:lang w:val="ro-RO" w:eastAsia="en-US"/>
              </w:rPr>
              <w:t xml:space="preserve">Ф.Л.ДАМИАН, В.С.МАКАРОВ, П.В.МАКАРОВ. Гиперболические линзовые 3-многообразия над платоновой поверхностью {5,5} рода 4. </w:t>
            </w:r>
            <w:r>
              <w:rPr>
                <w:i/>
                <w:sz w:val="22"/>
                <w:szCs w:val="22"/>
                <w:lang w:val="ro-RO" w:eastAsia="en-US"/>
              </w:rPr>
              <w:t>Материалы 12 Международного семинара “Дискретная математика и её приложения “ имени академика О.Б.Лупанова</w:t>
            </w:r>
            <w:r>
              <w:rPr>
                <w:sz w:val="22"/>
                <w:szCs w:val="22"/>
                <w:lang w:val="ro-RO" w:eastAsia="en-US"/>
              </w:rPr>
              <w:t>, 20-25 июня 2016, МГУ, 351-354.</w:t>
            </w:r>
          </w:p>
        </w:tc>
      </w:tr>
    </w:tbl>
    <w:p>
      <w:pPr>
        <w:pStyle w:val="Normal"/>
        <w:widowControl/>
        <w:bidi w:val="0"/>
        <w:ind w:left="641" w:right="0" w:hanging="0"/>
        <w:jc w:val="left"/>
        <w:textAlignment w:val="auto"/>
        <w:rPr>
          <w:rFonts w:ascii="Times New Roman" w:hAnsi="Times New Roman"/>
          <w:bCs/>
          <w:lang w:val="ro-RO"/>
        </w:rPr>
      </w:pPr>
      <w:r>
        <w:rPr>
          <w:bCs/>
          <w:lang w:val="ro-RO"/>
        </w:rPr>
      </w:r>
    </w:p>
    <w:p>
      <w:pPr>
        <w:pStyle w:val="Normal"/>
        <w:widowControl/>
        <w:numPr>
          <w:ilvl w:val="0"/>
          <w:numId w:val="25"/>
        </w:numPr>
        <w:tabs>
          <w:tab w:val="left" w:pos="180" w:leader="none"/>
        </w:tabs>
        <w:bidi w:val="0"/>
        <w:ind w:left="641" w:right="0" w:hanging="0"/>
        <w:jc w:val="left"/>
        <w:textAlignment w:val="auto"/>
        <w:rPr>
          <w:lang w:val="ro-RO"/>
        </w:rPr>
      </w:pPr>
      <w:r>
        <w:rPr>
          <w:rFonts w:cs="Times New Roman CE" w:ascii="Times New Roman CE" w:hAnsi="Times New Roman CE"/>
          <w:lang w:val="ro-RO"/>
        </w:rPr>
        <w:t xml:space="preserve">Relevanţa rezultatelor ştiinţifice </w:t>
      </w:r>
      <w:r>
        <w:rPr>
          <w:lang w:val="ro-RO"/>
        </w:rPr>
        <w:t>teoretice</w:t>
      </w:r>
      <w:r>
        <w:rPr>
          <w:rFonts w:cs="Times New Roman CE" w:ascii="Times New Roman CE" w:hAnsi="Times New Roman CE"/>
          <w:lang w:val="ro-RO"/>
        </w:rPr>
        <w:t xml:space="preserve"> obţinute în anul </w:t>
      </w:r>
      <w:r>
        <w:rPr>
          <w:lang w:val="ro-RO"/>
        </w:rPr>
        <w:t>2016</w:t>
      </w:r>
    </w:p>
    <w:tbl>
      <w:tblPr>
        <w:tblW w:w="9638"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638"/>
      </w:tblGrid>
      <w:tr>
        <w:trPr/>
        <w:tc>
          <w:tcPr>
            <w:tcW w:w="9638"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Style22"/>
              <w:widowControl/>
              <w:suppressAutoHyphens w:val="true"/>
              <w:bidi w:val="0"/>
              <w:spacing w:lineRule="atLeast" w:line="100"/>
              <w:ind w:left="0" w:right="0" w:hanging="0"/>
              <w:jc w:val="both"/>
              <w:textAlignment w:val="auto"/>
              <w:rPr>
                <w:lang w:val="ro-RO"/>
              </w:rPr>
            </w:pPr>
            <w:r>
              <w:rPr>
                <w:rFonts w:cs="Times New Roman CE" w:ascii="Times New Roman CE" w:hAnsi="Times New Roman CE"/>
                <w:b w:val="false"/>
                <w:bCs/>
                <w:color w:val="000000"/>
                <w:sz w:val="22"/>
                <w:szCs w:val="22"/>
                <w:lang w:val="ro-RO" w:eastAsia="ar-SA"/>
              </w:rPr>
              <w:t xml:space="preserve">Rezultatele ştiinţifice, obţinute în acest an, au un caracter teoretic şi reprezintă rezolvarea unor probleme actuale din domeniul algebrei, geometriei şi topologiei. Ele sunt </w:t>
            </w:r>
            <w:r>
              <w:rPr>
                <w:rFonts w:cs="Times New Roman CE" w:ascii="Times New Roman CE" w:hAnsi="Times New Roman CE"/>
                <w:b w:val="false"/>
                <w:bCs/>
                <w:sz w:val="22"/>
                <w:szCs w:val="22"/>
                <w:lang w:val="ro-RO" w:eastAsia="ar-SA"/>
              </w:rPr>
              <w:t>noi, originale, constituie un pas înainte în aceste domenii ale matematicii moderne şi formează un suport trainic pentru cercetări viitoare în domeniu.</w:t>
            </w:r>
          </w:p>
          <w:p>
            <w:pPr>
              <w:pStyle w:val="Style22"/>
              <w:widowControl/>
              <w:suppressAutoHyphens w:val="true"/>
              <w:bidi w:val="0"/>
              <w:spacing w:lineRule="atLeast" w:line="100"/>
              <w:ind w:left="0" w:right="0" w:hanging="0"/>
              <w:jc w:val="both"/>
              <w:textAlignment w:val="auto"/>
              <w:rPr>
                <w:lang w:val="ro-RO"/>
              </w:rPr>
            </w:pPr>
            <w:r>
              <w:rPr>
                <w:rFonts w:cs="Times New Roman CE" w:ascii="Times New Roman CE" w:hAnsi="Times New Roman CE"/>
                <w:b w:val="false"/>
                <w:bCs/>
                <w:sz w:val="22"/>
                <w:szCs w:val="22"/>
                <w:lang w:val="ro-RO" w:eastAsia="ar-SA"/>
              </w:rPr>
              <w:t>Se recomandă pregătirea unor cursuri (speciale, opţionale) de lecţii cu includerea selectivă a unor rezultate noi, obţinute în cadrul acestui proiect, cu scopul informării şi familiarizării studenţilor şi masteranzilor cu cele mai noi performanţe în domeniu. Rezultatele obţinute pot avea un efect pozitiv nu numai în algebră, geometrie şi topologie, dar şi în multe alte ramuri ale matematicii. Ele vor găsi aplicaţii şi în aşa domenii ca criptologia, fizica relativistă, energetica, cristalografia. Beneficiari ai rezultatelor pot fi facultăţile şi catedrele de matematică din universităţile din Moldova (USM, Un AŞM, UST, ASEM, UTM, etc.). În economie rezultatele pot fi aplicate la construirea unor noi coduri şi cifruri bazate pe sistemele algebrice cercetate, beneficiari ai cărora sunt  băncile comerciale, ministerele economiei,  energeticii, etc.</w:t>
            </w:r>
          </w:p>
        </w:tc>
      </w:tr>
    </w:tbl>
    <w:p>
      <w:pPr>
        <w:pStyle w:val="5"/>
        <w:keepNext/>
        <w:widowControl/>
        <w:numPr>
          <w:ilvl w:val="0"/>
          <w:numId w:val="0"/>
        </w:numPr>
        <w:bidi w:val="0"/>
        <w:ind w:left="0" w:right="0" w:hanging="0"/>
        <w:jc w:val="right"/>
        <w:textAlignment w:val="auto"/>
        <w:outlineLvl w:val="4"/>
        <w:rPr>
          <w:rFonts w:ascii="Times New Roman" w:hAnsi="Times New Roman"/>
          <w:b w:val="false"/>
          <w:b w:val="false"/>
          <w:bCs w:val="false"/>
          <w:i/>
          <w:i/>
          <w:iCs/>
          <w:sz w:val="24"/>
          <w:szCs w:val="24"/>
          <w:lang w:val="ro-RO"/>
        </w:rPr>
      </w:pPr>
      <w:r>
        <w:rPr>
          <w:b w:val="false"/>
          <w:bCs w:val="false"/>
          <w:i/>
          <w:iCs/>
          <w:sz w:val="24"/>
          <w:szCs w:val="24"/>
          <w:lang w:val="ro-RO"/>
        </w:rPr>
      </w:r>
    </w:p>
    <w:p>
      <w:pPr>
        <w:pStyle w:val="Normal"/>
        <w:widowControl/>
        <w:numPr>
          <w:ilvl w:val="0"/>
          <w:numId w:val="25"/>
        </w:numPr>
        <w:tabs>
          <w:tab w:val="left" w:pos="142" w:leader="none"/>
        </w:tabs>
        <w:bidi w:val="0"/>
        <w:ind w:left="180" w:right="0" w:hanging="0"/>
        <w:jc w:val="left"/>
        <w:textAlignment w:val="auto"/>
        <w:rPr>
          <w:lang w:val="ro-RO"/>
        </w:rPr>
      </w:pPr>
      <w:r>
        <w:rPr>
          <w:rFonts w:cs="Times New Roman CE" w:ascii="Times New Roman CE" w:hAnsi="Times New Roman CE"/>
          <w:sz w:val="22"/>
          <w:szCs w:val="22"/>
          <w:lang w:val="ro-RO"/>
        </w:rPr>
        <w:t>Rezumatul celor mai semnificative rezultate ştiinţifice teoretice / aplicative obţinute în cadrul proiectului în anul 201</w:t>
      </w:r>
      <w:r>
        <w:rPr>
          <w:sz w:val="22"/>
          <w:szCs w:val="22"/>
          <w:lang w:val="ro-RO"/>
        </w:rPr>
        <w:t>6</w:t>
      </w:r>
    </w:p>
    <w:p>
      <w:pPr>
        <w:pStyle w:val="Normal"/>
        <w:widowControl/>
        <w:bidi w:val="0"/>
        <w:ind w:left="180" w:right="0" w:hanging="0"/>
        <w:jc w:val="both"/>
        <w:textAlignment w:val="auto"/>
        <w:rPr>
          <w:lang w:val="ro-RO"/>
        </w:rPr>
      </w:pPr>
      <w:r>
        <w:rPr>
          <w:rFonts w:cs="Times New Roman CE" w:ascii="Times New Roman CE" w:hAnsi="Times New Roman CE"/>
          <w:sz w:val="22"/>
          <w:szCs w:val="22"/>
          <w:lang w:val="ro-RO"/>
        </w:rPr>
        <w:t xml:space="preserve">Se descrie în mod efectiv construirea unor inele monoidale asociate structurilor diferenţiale date. Se  arată metode noi de reprezentare a inelelor dotate cu operaţii de diferenţiere. În clasa preradicalilor unei categorii de module se defineşte şi se cercetează o operaţie nouă – câtul stâng  al produsului în raport cu reuniunea.  </w:t>
      </w:r>
    </w:p>
    <w:p>
      <w:pPr>
        <w:pStyle w:val="Normal"/>
        <w:widowControl/>
        <w:bidi w:val="0"/>
        <w:ind w:left="180" w:right="0" w:hanging="0"/>
        <w:jc w:val="both"/>
        <w:textAlignment w:val="auto"/>
        <w:rPr>
          <w:lang w:val="ro-RO"/>
        </w:rPr>
      </w:pPr>
      <w:r>
        <w:rPr>
          <w:rFonts w:cs="Times New Roman CE" w:ascii="Times New Roman CE" w:hAnsi="Times New Roman CE"/>
          <w:sz w:val="22"/>
          <w:szCs w:val="22"/>
          <w:lang w:val="ro-RO"/>
        </w:rPr>
        <w:t>Se arată proprietăţile principale ale ei şi relaţiile ei cu operaţiile laticeale. Se arată metode noi de descriere a pretorsiunilor în categorii de module, utilizând operatori de închidere. Se demonstrează că laticea topologiilor unui modul numărabil peste un inel numărabil şi discret conţine o sublatice izomorfă cu laticea numerelor reale  cu ordinea naturală,  cât  şi  doi la puterea continuum coatomi. Au fost arătate condiţii  ca inelul de endomorfisme continui ale unui grup abelian compact  să fie local compact.</w:t>
      </w:r>
    </w:p>
    <w:p>
      <w:pPr>
        <w:pStyle w:val="Normal"/>
        <w:widowControl/>
        <w:bidi w:val="0"/>
        <w:ind w:left="180" w:right="0" w:hanging="0"/>
        <w:jc w:val="both"/>
        <w:textAlignment w:val="auto"/>
        <w:rPr>
          <w:lang w:val="ro-RO"/>
        </w:rPr>
      </w:pPr>
      <w:r>
        <w:rPr>
          <w:rFonts w:cs="Times New Roman CE" w:ascii="Times New Roman CE" w:hAnsi="Times New Roman CE"/>
          <w:sz w:val="22"/>
          <w:szCs w:val="22"/>
          <w:lang w:val="ro-RO"/>
        </w:rPr>
        <w:t xml:space="preserve"> </w:t>
      </w:r>
      <w:r>
        <w:rPr>
          <w:rFonts w:cs="Times New Roman CE" w:ascii="Times New Roman CE" w:hAnsi="Times New Roman CE"/>
          <w:sz w:val="22"/>
          <w:szCs w:val="22"/>
          <w:lang w:val="ro-RO"/>
        </w:rPr>
        <w:t>A fost arătat că grupul elementelor inversabile  ale unui inel topologic cu unitate admite o topologie de grup. Au fost arătate spectrele şi ordinele  T</w:t>
      </w:r>
      <w:r>
        <w:rPr>
          <w:sz w:val="22"/>
          <w:szCs w:val="22"/>
          <w:vertAlign w:val="subscript"/>
          <w:lang w:val="ro-RO"/>
        </w:rPr>
        <w:t>2</w:t>
      </w:r>
      <w:r>
        <w:rPr>
          <w:rFonts w:cs="Times New Roman CE" w:ascii="Times New Roman CE" w:hAnsi="Times New Roman CE"/>
          <w:sz w:val="22"/>
          <w:szCs w:val="22"/>
          <w:lang w:val="ro-RO"/>
        </w:rPr>
        <w:t>-cuasigrupurilor  mediale şi ale T</w:t>
      </w:r>
      <w:r>
        <w:rPr>
          <w:sz w:val="22"/>
          <w:szCs w:val="22"/>
          <w:vertAlign w:val="subscript"/>
          <w:lang w:val="ro-RO"/>
        </w:rPr>
        <w:t>2</w:t>
      </w:r>
      <w:r>
        <w:rPr>
          <w:sz w:val="22"/>
          <w:szCs w:val="22"/>
          <w:lang w:val="ro-RO"/>
        </w:rPr>
        <w:t xml:space="preserve">-cuasigrupurilor mediale idempotente.  </w:t>
      </w:r>
    </w:p>
    <w:p>
      <w:pPr>
        <w:pStyle w:val="Normal"/>
        <w:widowControl/>
        <w:bidi w:val="0"/>
        <w:ind w:left="180" w:right="0" w:hanging="0"/>
        <w:jc w:val="both"/>
        <w:textAlignment w:val="auto"/>
        <w:rPr>
          <w:lang w:val="ro-RO"/>
        </w:rPr>
      </w:pPr>
      <w:r>
        <w:rPr>
          <w:rFonts w:cs="Times New Roman CE" w:ascii="Times New Roman CE" w:hAnsi="Times New Roman CE"/>
          <w:sz w:val="22"/>
          <w:szCs w:val="22"/>
          <w:lang w:val="ro-RO"/>
        </w:rPr>
        <w:t xml:space="preserve">A fost elaborat şi cercetat un criptocod , care se bazează pe cuasigrupuri ortogonale. A fost demonstrat că mulţimile de derivaţii ale două transversale de grup în raport cu transversala de buclă studiată  sunt conjugate între ele. </w:t>
      </w:r>
    </w:p>
    <w:p>
      <w:pPr>
        <w:pStyle w:val="Normal"/>
        <w:widowControl/>
        <w:bidi w:val="0"/>
        <w:ind w:left="180" w:right="0" w:hanging="0"/>
        <w:jc w:val="both"/>
        <w:textAlignment w:val="auto"/>
        <w:rPr>
          <w:lang w:val="ro-RO"/>
        </w:rPr>
      </w:pPr>
      <w:r>
        <w:rPr>
          <w:rFonts w:cs="Times New Roman CE" w:ascii="Times New Roman CE" w:hAnsi="Times New Roman CE"/>
          <w:sz w:val="22"/>
          <w:szCs w:val="22"/>
          <w:lang w:val="ro-RO"/>
        </w:rPr>
        <w:t xml:space="preserve">A fost găsit un criteriu  de existenţă  a transversalei de tip general într-un grup pe subgrupul său. S-au studiat funcţii şi algebre multisortate şi s-a generalizat   teorema lui W. Sierpinski despre reprezentarea unei funcţii , definite pe o mulţime, prin superpoziţie de  funcţii binare. Au fost  obţinute noi clase  pre-complete  de formule în extensia 16-valentă ale logicii modale EM4. </w:t>
      </w:r>
    </w:p>
    <w:p>
      <w:pPr>
        <w:pStyle w:val="Normal"/>
        <w:widowControl/>
        <w:bidi w:val="0"/>
        <w:ind w:left="180" w:right="0" w:hanging="0"/>
        <w:jc w:val="both"/>
        <w:textAlignment w:val="auto"/>
        <w:rPr>
          <w:lang w:val="ro-RO"/>
        </w:rPr>
      </w:pPr>
      <w:r>
        <w:rPr>
          <w:rFonts w:cs="Times New Roman CE" w:ascii="Times New Roman CE" w:hAnsi="Times New Roman CE"/>
          <w:sz w:val="22"/>
          <w:szCs w:val="22"/>
          <w:lang w:val="ro-RO"/>
        </w:rPr>
        <w:t xml:space="preserve">Au fost determinate grupurile discrete  ce corespund completărilor ale două varietăţi hiperbolice  octaedrice  necompacte şi incomplete  cu unul sau două capsuri. Au fost construite serii numerabile de poliedre,  care reprezintă poliedre fundamentale pentru   grupurile obţinute. Au  fost construite două serii de 3-varietăţi  hiperbolice  cu ajutorul subvarietăţii  total geodezice cu frontieră. </w:t>
      </w:r>
    </w:p>
    <w:p>
      <w:pPr>
        <w:pStyle w:val="Normal"/>
        <w:widowControl/>
        <w:bidi w:val="0"/>
        <w:ind w:left="180" w:right="0" w:hanging="0"/>
        <w:jc w:val="both"/>
        <w:textAlignment w:val="auto"/>
        <w:rPr>
          <w:lang w:val="ro-RO"/>
        </w:rPr>
      </w:pPr>
      <w:r>
        <w:rPr>
          <w:rFonts w:cs="Times New Roman CE" w:ascii="Times New Roman CE" w:hAnsi="Times New Roman CE"/>
          <w:sz w:val="22"/>
          <w:szCs w:val="22"/>
          <w:lang w:val="ro-RO"/>
        </w:rPr>
        <w:t xml:space="preserve">Metoda desecării  discurilor  a fost aplicată pentru 2-partiţii izoedrice, ce corespund  unei serii infinite  de grupuri discrete de mişcări. Au fost găsite 105 serii infinite de clase Delone  de descompuneri 3-izoedrice  pentru sfera în discuri cu cel puţin  trei laturi. </w:t>
      </w:r>
    </w:p>
    <w:p>
      <w:pPr>
        <w:pStyle w:val="Normal"/>
        <w:widowControl/>
        <w:numPr>
          <w:ilvl w:val="0"/>
          <w:numId w:val="25"/>
        </w:numPr>
        <w:tabs>
          <w:tab w:val="left" w:pos="180" w:leader="none"/>
        </w:tabs>
        <w:bidi w:val="0"/>
        <w:ind w:left="180" w:right="0" w:hanging="0"/>
        <w:jc w:val="left"/>
        <w:textAlignment w:val="auto"/>
        <w:rPr>
          <w:lang w:val="ro-RO"/>
        </w:rPr>
      </w:pPr>
      <w:r>
        <w:rPr>
          <w:rFonts w:cs="Times New Roman CE" w:ascii="Times New Roman CE" w:hAnsi="Times New Roman CE"/>
          <w:sz w:val="22"/>
          <w:szCs w:val="22"/>
          <w:lang w:val="ro-RO"/>
        </w:rPr>
        <w:t>Beneficiarul (ministere, instituţii de stat sau private, întreprinderi, etc.)</w:t>
      </w:r>
    </w:p>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 xml:space="preserve">Ministerul Educaţiei, Ministerul Economiei, universităţile din Moldova: USM, Un AŞM, UST, ASEM, UTM; </w:t>
      </w:r>
      <w:r>
        <w:rPr>
          <w:color w:val="FF0000"/>
          <w:sz w:val="22"/>
          <w:szCs w:val="22"/>
          <w:lang w:val="ro-RO"/>
        </w:rPr>
        <w:t xml:space="preserve"> </w:t>
      </w:r>
      <w:r>
        <w:rPr>
          <w:rFonts w:cs="Times New Roman CE" w:ascii="Times New Roman CE" w:hAnsi="Times New Roman CE"/>
          <w:sz w:val="22"/>
          <w:szCs w:val="22"/>
          <w:lang w:val="ro-RO"/>
        </w:rPr>
        <w:t>băncile comercial</w:t>
      </w:r>
      <w:r>
        <w:rPr>
          <w:sz w:val="22"/>
          <w:szCs w:val="22"/>
          <w:lang w:val="ro-RO"/>
        </w:rPr>
        <w:t xml:space="preserve">e, etc. </w:t>
      </w:r>
    </w:p>
    <w:p>
      <w:pPr>
        <w:pStyle w:val="Normal"/>
        <w:widowControl/>
        <w:bidi w:val="0"/>
        <w:ind w:left="0" w:right="0" w:hanging="0"/>
        <w:jc w:val="left"/>
        <w:textAlignment w:val="auto"/>
        <w:rPr>
          <w:rFonts w:ascii="Times New Roman" w:hAnsi="Times New Roman"/>
          <w:color w:val="FF0000"/>
          <w:lang w:val="ro-RO"/>
        </w:rPr>
      </w:pPr>
      <w:r>
        <w:rPr>
          <w:color w:val="FF0000"/>
          <w:lang w:val="ro-RO"/>
        </w:rPr>
      </w:r>
    </w:p>
    <w:p>
      <w:pPr>
        <w:pStyle w:val="5"/>
        <w:keepNext/>
        <w:widowControl/>
        <w:numPr>
          <w:ilvl w:val="0"/>
          <w:numId w:val="0"/>
        </w:numPr>
        <w:bidi w:val="0"/>
        <w:ind w:left="0" w:right="0" w:hanging="0"/>
        <w:jc w:val="left"/>
        <w:textAlignment w:val="auto"/>
        <w:outlineLvl w:val="4"/>
        <w:rPr>
          <w:b w:val="false"/>
          <w:b w:val="false"/>
          <w:lang w:val="ro-RO"/>
        </w:rPr>
      </w:pPr>
      <w:r>
        <w:rPr>
          <w:rFonts w:cs="Times New Roman CE" w:ascii="Times New Roman CE" w:hAnsi="Times New Roman CE"/>
          <w:b w:val="false"/>
          <w:bCs w:val="false"/>
          <w:spacing w:val="0"/>
          <w:sz w:val="24"/>
          <w:szCs w:val="24"/>
          <w:lang w:val="ro-RO"/>
        </w:rPr>
        <w:t>Conducătorul proiectului</w:t>
      </w:r>
      <w:r>
        <w:rPr>
          <w:b w:val="false"/>
          <w:sz w:val="24"/>
          <w:szCs w:val="24"/>
        </w:rPr>
        <w:t xml:space="preserve"> </w:t>
      </w:r>
      <w:r>
        <w:rPr>
          <w:b w:val="false"/>
          <w:bCs w:val="false"/>
          <w:i/>
          <w:iCs/>
          <w:spacing w:val="0"/>
          <w:sz w:val="24"/>
          <w:szCs w:val="24"/>
          <w:lang w:val="ro-RO"/>
        </w:rPr>
        <w:t xml:space="preserve"> _________________________________________ </w:t>
      </w:r>
      <w:r>
        <w:rPr>
          <w:b w:val="false"/>
          <w:sz w:val="24"/>
          <w:szCs w:val="24"/>
        </w:rPr>
        <w:t>dr.h.</w:t>
      </w:r>
      <w:r>
        <w:rPr>
          <w:rFonts w:cs="Times New Roman CE" w:ascii="Times New Roman CE" w:hAnsi="Times New Roman CE"/>
          <w:b w:val="false"/>
          <w:sz w:val="24"/>
          <w:szCs w:val="24"/>
        </w:rPr>
        <w:t>CAŞU Alexei</w:t>
      </w:r>
    </w:p>
    <w:p>
      <w:pPr>
        <w:pStyle w:val="1"/>
        <w:keepNext/>
        <w:widowControl/>
        <w:numPr>
          <w:ilvl w:val="0"/>
          <w:numId w:val="0"/>
        </w:numPr>
        <w:bidi w:val="0"/>
        <w:spacing w:before="240" w:after="60"/>
        <w:ind w:left="0" w:right="0" w:hanging="0"/>
        <w:jc w:val="left"/>
        <w:textAlignment w:val="auto"/>
        <w:outlineLvl w:val="0"/>
        <w:rPr>
          <w:b w:val="false"/>
          <w:b w:val="false"/>
          <w:lang w:val="ro-RO"/>
        </w:rPr>
      </w:pPr>
      <w:r>
        <w:rPr>
          <w:b w:val="false"/>
          <w:lang w:val="ro-RO"/>
        </w:rPr>
      </w:r>
      <w:r>
        <w:br w:type="page"/>
      </w:r>
    </w:p>
    <w:p>
      <w:pPr>
        <w:pStyle w:val="1"/>
        <w:keepNext/>
        <w:widowControl/>
        <w:numPr>
          <w:ilvl w:val="0"/>
          <w:numId w:val="0"/>
        </w:numPr>
        <w:bidi w:val="0"/>
        <w:spacing w:before="240" w:after="60"/>
        <w:ind w:left="0" w:right="0" w:hanging="0"/>
        <w:jc w:val="left"/>
        <w:textAlignment w:val="auto"/>
        <w:outlineLvl w:val="0"/>
        <w:rPr>
          <w:b w:val="false"/>
          <w:b w:val="false"/>
          <w:lang w:val="fr-FR"/>
        </w:rPr>
      </w:pPr>
      <w:bookmarkStart w:id="17" w:name="_Toc311818425"/>
      <w:bookmarkStart w:id="18" w:name="_Toc469651876"/>
      <w:bookmarkStart w:id="19" w:name="_Toc375219563"/>
      <w:bookmarkStart w:id="20" w:name="_Toc311820775"/>
      <w:bookmarkStart w:id="21" w:name="_Toc311820451"/>
      <w:bookmarkStart w:id="22" w:name="_Toc311819972"/>
      <w:bookmarkStart w:id="23" w:name="_Toc311819701"/>
      <w:bookmarkStart w:id="24" w:name="_Toc311818757"/>
      <w:bookmarkEnd w:id="17"/>
      <w:bookmarkEnd w:id="18"/>
      <w:bookmarkEnd w:id="19"/>
      <w:bookmarkEnd w:id="20"/>
      <w:bookmarkEnd w:id="21"/>
      <w:bookmarkEnd w:id="22"/>
      <w:bookmarkEnd w:id="23"/>
      <w:bookmarkEnd w:id="24"/>
      <w:r>
        <w:rPr>
          <w:rFonts w:cs="Times New Roman CE" w:ascii="Times New Roman CE" w:hAnsi="Times New Roman CE"/>
          <w:b w:val="false"/>
          <w:lang w:val="fr-FR"/>
        </w:rPr>
        <w:t>Fişele proiectelor de cercetări aplicative (I-II)</w:t>
      </w:r>
    </w:p>
    <w:p>
      <w:pPr>
        <w:pStyle w:val="2"/>
        <w:keepNext/>
        <w:widowControl/>
        <w:numPr>
          <w:ilvl w:val="0"/>
          <w:numId w:val="0"/>
        </w:numPr>
        <w:bidi w:val="0"/>
        <w:ind w:left="0" w:right="0" w:hanging="0"/>
        <w:jc w:val="left"/>
        <w:textAlignment w:val="auto"/>
        <w:outlineLvl w:val="1"/>
        <w:rPr>
          <w:lang w:val="it-IT"/>
        </w:rPr>
      </w:pPr>
      <w:bookmarkStart w:id="25" w:name="_Toc311818426"/>
      <w:bookmarkStart w:id="26" w:name="_Toc469651877"/>
      <w:bookmarkStart w:id="27" w:name="_Toc375219564"/>
      <w:bookmarkStart w:id="28" w:name="_Toc311820776"/>
      <w:bookmarkStart w:id="29" w:name="_Toc311820452"/>
      <w:bookmarkStart w:id="30" w:name="_Toc311819973"/>
      <w:bookmarkStart w:id="31" w:name="_Toc311819702"/>
      <w:bookmarkStart w:id="32" w:name="_Toc311818758"/>
      <w:r>
        <w:rPr>
          <w:rFonts w:cs="Times New Roman CE" w:ascii="Times New Roman CE" w:hAnsi="Times New Roman CE"/>
          <w:i/>
          <w:sz w:val="26"/>
          <w:lang w:val="it-IT" w:eastAsia="ru-RU"/>
        </w:rPr>
        <w:t xml:space="preserve">Fişa proiectului de cercetări aplicative </w:t>
      </w:r>
      <w:bookmarkEnd w:id="25"/>
      <w:bookmarkEnd w:id="26"/>
      <w:bookmarkEnd w:id="27"/>
      <w:bookmarkEnd w:id="28"/>
      <w:bookmarkEnd w:id="29"/>
      <w:bookmarkEnd w:id="30"/>
      <w:bookmarkEnd w:id="31"/>
      <w:bookmarkEnd w:id="32"/>
      <w:r>
        <w:rPr>
          <w:i/>
          <w:sz w:val="26"/>
          <w:lang w:val="it-IT" w:eastAsia="ru-RU"/>
        </w:rPr>
        <w:t>I</w:t>
      </w:r>
    </w:p>
    <w:p>
      <w:pPr>
        <w:pStyle w:val="Normal"/>
        <w:widowControl/>
        <w:numPr>
          <w:ilvl w:val="0"/>
          <w:numId w:val="26"/>
        </w:numPr>
        <w:tabs>
          <w:tab w:val="left" w:pos="180" w:leader="none"/>
        </w:tabs>
        <w:bidi w:val="0"/>
        <w:ind w:left="180" w:right="0" w:hanging="0"/>
        <w:jc w:val="left"/>
        <w:textAlignment w:val="auto"/>
        <w:rPr>
          <w:lang w:val="ro-MD"/>
        </w:rPr>
      </w:pPr>
      <w:r>
        <w:rPr>
          <w:bCs/>
          <w:sz w:val="22"/>
          <w:szCs w:val="22"/>
          <w:lang w:val="ro-MD"/>
        </w:rPr>
        <w:t>Denumirea direc</w:t>
      </w:r>
      <w:r>
        <w:rPr>
          <w:rFonts w:cs="Cambria Math" w:ascii="Cambria Math" w:hAnsi="Cambria Math"/>
          <w:bCs/>
          <w:sz w:val="22"/>
          <w:szCs w:val="22"/>
          <w:lang w:val="ro-MD"/>
        </w:rPr>
        <w:t>ț</w:t>
      </w:r>
      <w:r>
        <w:rPr>
          <w:bCs/>
          <w:sz w:val="22"/>
          <w:szCs w:val="22"/>
          <w:lang w:val="ro-MD"/>
        </w:rPr>
        <w:t>iei strategice,</w:t>
      </w:r>
      <w:r>
        <w:rPr>
          <w:sz w:val="22"/>
          <w:szCs w:val="22"/>
          <w:lang w:val="ro-MD"/>
        </w:rPr>
        <w:t xml:space="preserve"> </w:t>
      </w:r>
      <w:r>
        <w:rPr>
          <w:bCs/>
          <w:sz w:val="22"/>
          <w:szCs w:val="22"/>
          <w:lang w:val="ro-MD"/>
        </w:rPr>
        <w:t xml:space="preserve">codul </w:t>
      </w:r>
      <w:r>
        <w:rPr>
          <w:rFonts w:cs="Cambria Math" w:ascii="Cambria Math" w:hAnsi="Cambria Math"/>
          <w:bCs/>
          <w:sz w:val="22"/>
          <w:szCs w:val="22"/>
          <w:lang w:val="ro-MD"/>
        </w:rPr>
        <w:t>ș</w:t>
      </w:r>
      <w:r>
        <w:rPr>
          <w:bCs/>
          <w:sz w:val="22"/>
          <w:szCs w:val="22"/>
          <w:lang w:val="ro-MD"/>
        </w:rPr>
        <w:t xml:space="preserve">i </w:t>
      </w:r>
      <w:r>
        <w:rPr>
          <w:bCs/>
          <w:color w:val="000000"/>
          <w:sz w:val="22"/>
          <w:szCs w:val="22"/>
          <w:lang w:val="ro-MD"/>
        </w:rPr>
        <w:t xml:space="preserve">denumirea </w:t>
      </w:r>
      <w:r>
        <w:rPr>
          <w:color w:val="000000"/>
          <w:sz w:val="22"/>
          <w:szCs w:val="22"/>
          <w:lang w:val="ro-MD"/>
        </w:rPr>
        <w:t>proiectului</w:t>
      </w:r>
      <w:r>
        <w:rPr>
          <w:bCs/>
          <w:color w:val="000000"/>
          <w:sz w:val="22"/>
          <w:szCs w:val="22"/>
          <w:lang w:val="ro-MD"/>
        </w:rPr>
        <w:t xml:space="preserve"> </w:t>
      </w:r>
    </w:p>
    <w:tbl>
      <w:tblPr>
        <w:tblW w:w="10065"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10065"/>
      </w:tblGrid>
      <w:tr>
        <w:trPr/>
        <w:tc>
          <w:tcPr>
            <w:tcW w:w="10065"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MD"/>
              </w:rPr>
            </w:pPr>
            <w:r>
              <w:rPr>
                <w:i/>
                <w:sz w:val="22"/>
                <w:szCs w:val="22"/>
                <w:lang w:val="ro-MD"/>
              </w:rPr>
              <w:t xml:space="preserve">18.02 </w:t>
            </w:r>
            <w:r>
              <w:rPr>
                <w:rFonts w:cs="Times New Roman CE" w:ascii="Times New Roman CE" w:hAnsi="Times New Roman CE"/>
                <w:i/>
                <w:sz w:val="22"/>
                <w:szCs w:val="22"/>
                <w:lang w:val="ro-MD"/>
              </w:rPr>
              <w:t>Cercetări ştiinţifice  aplicative „Materiale, tehnologii şi produse inovative</w:t>
            </w:r>
            <w:r>
              <w:rPr>
                <w:i/>
                <w:sz w:val="22"/>
                <w:szCs w:val="22"/>
                <w:lang w:val="ro-MD"/>
              </w:rPr>
              <w:t>”</w:t>
            </w:r>
          </w:p>
          <w:p>
            <w:pPr>
              <w:pStyle w:val="Normal"/>
              <w:widowControl/>
              <w:bidi w:val="0"/>
              <w:ind w:left="0" w:right="0" w:hanging="0"/>
              <w:jc w:val="left"/>
              <w:textAlignment w:val="auto"/>
              <w:rPr>
                <w:lang w:val="en-US"/>
              </w:rPr>
            </w:pPr>
            <w:r>
              <w:rPr>
                <w:i/>
                <w:sz w:val="22"/>
                <w:szCs w:val="22"/>
                <w:lang w:val="en-US"/>
              </w:rPr>
              <w:t>15.817.02.01A</w:t>
            </w:r>
            <w:r>
              <w:rPr>
                <w:i/>
                <w:sz w:val="22"/>
                <w:szCs w:val="22"/>
                <w:lang w:val="ro-RO"/>
              </w:rPr>
              <w:t xml:space="preserve">   Metode analitice </w:t>
            </w:r>
            <w:r>
              <w:rPr>
                <w:rFonts w:cs="Cambria Math" w:ascii="Cambria Math" w:hAnsi="Cambria Math"/>
                <w:i/>
                <w:sz w:val="22"/>
                <w:szCs w:val="22"/>
                <w:lang w:val="ro-RO"/>
              </w:rPr>
              <w:t>ș</w:t>
            </w:r>
            <w:r>
              <w:rPr>
                <w:i/>
                <w:sz w:val="22"/>
                <w:szCs w:val="22"/>
                <w:lang w:val="ro-RO"/>
              </w:rPr>
              <w:t>i numerice de solu</w:t>
            </w:r>
            <w:r>
              <w:rPr>
                <w:rFonts w:cs="Cambria Math" w:ascii="Cambria Math" w:hAnsi="Cambria Math"/>
                <w:i/>
                <w:sz w:val="22"/>
                <w:szCs w:val="22"/>
                <w:lang w:val="ro-RO"/>
              </w:rPr>
              <w:t>ț</w:t>
            </w:r>
            <w:r>
              <w:rPr>
                <w:i/>
                <w:sz w:val="22"/>
                <w:szCs w:val="22"/>
                <w:lang w:val="ro-RO"/>
              </w:rPr>
              <w:t>ionare a problemelor de evolu</w:t>
            </w:r>
            <w:r>
              <w:rPr>
                <w:rFonts w:cs="Cambria Math" w:ascii="Cambria Math" w:hAnsi="Cambria Math"/>
                <w:i/>
                <w:sz w:val="22"/>
                <w:szCs w:val="22"/>
                <w:lang w:val="ro-RO"/>
              </w:rPr>
              <w:t>ț</w:t>
            </w:r>
            <w:r>
              <w:rPr>
                <w:i/>
                <w:sz w:val="22"/>
                <w:szCs w:val="22"/>
                <w:lang w:val="ro-RO"/>
              </w:rPr>
              <w:t xml:space="preserve">ie, optimizare </w:t>
            </w:r>
            <w:r>
              <w:rPr>
                <w:rFonts w:cs="Cambria Math" w:ascii="Cambria Math" w:hAnsi="Cambria Math"/>
                <w:i/>
                <w:sz w:val="22"/>
                <w:szCs w:val="22"/>
                <w:lang w:val="ro-RO"/>
              </w:rPr>
              <w:t>ș</w:t>
            </w:r>
            <w:r>
              <w:rPr>
                <w:i/>
                <w:sz w:val="22"/>
                <w:szCs w:val="22"/>
                <w:lang w:val="ro-RO"/>
              </w:rPr>
              <w:t>i teoria a</w:t>
            </w:r>
            <w:r>
              <w:rPr>
                <w:rFonts w:cs="Cambria Math" w:ascii="Cambria Math" w:hAnsi="Cambria Math"/>
                <w:i/>
                <w:sz w:val="22"/>
                <w:szCs w:val="22"/>
                <w:lang w:val="ro-RO"/>
              </w:rPr>
              <w:t>ș</w:t>
            </w:r>
            <w:r>
              <w:rPr>
                <w:rFonts w:cs="Times New Roman CE" w:ascii="Times New Roman CE" w:hAnsi="Times New Roman CE"/>
                <w:i/>
                <w:sz w:val="22"/>
                <w:szCs w:val="22"/>
                <w:lang w:val="ro-RO"/>
              </w:rPr>
              <w:t>teptării</w:t>
            </w:r>
          </w:p>
        </w:tc>
      </w:tr>
    </w:tbl>
    <w:p>
      <w:pPr>
        <w:pStyle w:val="Normal"/>
        <w:widowControl/>
        <w:numPr>
          <w:ilvl w:val="0"/>
          <w:numId w:val="26"/>
        </w:numPr>
        <w:tabs>
          <w:tab w:val="left" w:pos="180" w:leader="none"/>
        </w:tabs>
        <w:bidi w:val="0"/>
        <w:ind w:left="925" w:right="0" w:hanging="0"/>
        <w:jc w:val="left"/>
        <w:textAlignment w:val="auto"/>
        <w:rPr>
          <w:lang w:val="ro-MD"/>
        </w:rPr>
      </w:pPr>
      <w:r>
        <w:rPr>
          <w:bCs/>
          <w:sz w:val="22"/>
          <w:szCs w:val="22"/>
          <w:lang w:val="ro-MD"/>
        </w:rPr>
        <w:t xml:space="preserve">Obiectivele proiectului </w:t>
      </w:r>
    </w:p>
    <w:tbl>
      <w:tblPr>
        <w:tblW w:w="10065"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10065"/>
      </w:tblGrid>
      <w:tr>
        <w:trPr/>
        <w:tc>
          <w:tcPr>
            <w:tcW w:w="10065"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Aacaonienea"/>
              <w:widowControl/>
              <w:bidi w:val="0"/>
              <w:spacing w:before="0" w:after="200"/>
              <w:ind w:left="0" w:right="0" w:hanging="0"/>
              <w:contextualSpacing/>
              <w:jc w:val="both"/>
              <w:textAlignment w:val="auto"/>
              <w:rPr>
                <w:lang w:val="ro-RO"/>
              </w:rPr>
            </w:pPr>
            <w:r>
              <w:rPr>
                <w:rFonts w:ascii="Times New Roman" w:hAnsi="Times New Roman"/>
                <w:color w:val="000000"/>
                <w:sz w:val="22"/>
                <w:szCs w:val="22"/>
                <w:lang w:val="ro-RO" w:eastAsia="en-US"/>
              </w:rPr>
              <w:t>Obiectivele proiectului se re</w:t>
            </w:r>
            <w:r>
              <w:rPr>
                <w:rFonts w:cs="Times New Roman CE" w:ascii="Times New Roman CE" w:hAnsi="Times New Roman CE"/>
                <w:color w:val="000000"/>
                <w:sz w:val="22"/>
                <w:szCs w:val="22"/>
                <w:lang w:val="ro-RO" w:eastAsia="en-US"/>
              </w:rPr>
              <w:t xml:space="preserve">feră la </w:t>
            </w:r>
            <w:r>
              <w:rPr>
                <w:rFonts w:ascii="Times New Roman" w:hAnsi="Times New Roman"/>
                <w:color w:val="000000"/>
                <w:sz w:val="22"/>
                <w:szCs w:val="22"/>
                <w:lang w:val="ro-RO" w:eastAsia="en-US"/>
              </w:rPr>
              <w:t>crearea  noului aparat matematic pentru cercetarea problemelor de evolu</w:t>
            </w:r>
            <w:r>
              <w:rPr>
                <w:rFonts w:ascii="Cambria Math" w:hAnsi="Cambria Math"/>
                <w:color w:val="000000"/>
                <w:sz w:val="22"/>
                <w:szCs w:val="22"/>
                <w:lang w:val="ro-RO" w:eastAsia="en-US"/>
              </w:rPr>
              <w:t>ț</w:t>
            </w:r>
            <w:r>
              <w:rPr>
                <w:rFonts w:cs="Times New Roman CE" w:ascii="Times New Roman CE" w:hAnsi="Times New Roman CE"/>
                <w:color w:val="000000"/>
                <w:sz w:val="22"/>
                <w:szCs w:val="22"/>
                <w:lang w:val="ro-RO" w:eastAsia="en-US"/>
              </w:rPr>
              <w:t>ie, optimizare şi teoria aşteptării în scopul elaborării metodelor analitice şi algoritmilor numerici eficien</w:t>
            </w:r>
            <w:r>
              <w:rPr>
                <w:rFonts w:ascii="Cambria Math" w:hAnsi="Cambria Math"/>
                <w:color w:val="000000"/>
                <w:sz w:val="22"/>
                <w:szCs w:val="22"/>
                <w:lang w:val="ro-RO" w:eastAsia="en-US"/>
              </w:rPr>
              <w:t>ț</w:t>
            </w:r>
            <w:r>
              <w:rPr>
                <w:rFonts w:ascii="Times New Roman" w:hAnsi="Times New Roman"/>
                <w:color w:val="000000"/>
                <w:sz w:val="22"/>
                <w:szCs w:val="22"/>
                <w:lang w:val="ro-RO" w:eastAsia="en-US"/>
              </w:rPr>
              <w:t>i  de solu</w:t>
            </w:r>
            <w:r>
              <w:rPr>
                <w:rFonts w:ascii="Cambria Math" w:hAnsi="Cambria Math"/>
                <w:color w:val="000000"/>
                <w:sz w:val="22"/>
                <w:szCs w:val="22"/>
                <w:lang w:val="ro-RO" w:eastAsia="en-US"/>
              </w:rPr>
              <w:t>ț</w:t>
            </w:r>
            <w:r>
              <w:rPr>
                <w:rFonts w:ascii="Times New Roman" w:hAnsi="Times New Roman"/>
                <w:color w:val="000000"/>
                <w:sz w:val="22"/>
                <w:szCs w:val="22"/>
                <w:lang w:val="ro-RO" w:eastAsia="en-US"/>
              </w:rPr>
              <w:t xml:space="preserve">ionare a acestor </w:t>
            </w:r>
            <w:r>
              <w:rPr>
                <w:rFonts w:ascii="Times New Roman" w:hAnsi="Times New Roman"/>
                <w:sz w:val="22"/>
                <w:szCs w:val="22"/>
                <w:lang w:val="ro-RO" w:eastAsia="en-US"/>
              </w:rPr>
              <w:t>probleme cu aplicarea calculului performant.</w:t>
            </w:r>
            <w:r>
              <w:rPr>
                <w:rFonts w:cs="Times New Roman CE" w:ascii="Times New Roman CE" w:hAnsi="Times New Roman CE"/>
                <w:color w:val="000000"/>
                <w:sz w:val="22"/>
                <w:szCs w:val="22"/>
                <w:lang w:val="ro-RO" w:eastAsia="en-US"/>
              </w:rPr>
              <w:t xml:space="preserve"> Metodele şi algoritmii numerici elaboraţi se preconizează a fi utilizaţi la modelarea proceselor economice (în special la modelarea creşterii economice),  modelarea sistemelor de servire cu priorităţi şi la modelarea unor probleme ce se referă</w:t>
            </w:r>
            <w:r>
              <w:rPr>
                <w:rFonts w:ascii="Times New Roman" w:hAnsi="Times New Roman"/>
                <w:color w:val="000000"/>
                <w:sz w:val="22"/>
                <w:szCs w:val="22"/>
                <w:lang w:val="es-ES" w:eastAsia="en-US"/>
              </w:rPr>
              <w:t xml:space="preserve"> la </w:t>
            </w:r>
            <w:r>
              <w:rPr>
                <w:rFonts w:ascii="Times New Roman" w:hAnsi="Times New Roman"/>
                <w:color w:val="000000"/>
                <w:sz w:val="22"/>
                <w:szCs w:val="22"/>
                <w:lang w:val="ro-RO" w:eastAsia="en-US"/>
              </w:rPr>
              <w:t>st</w:t>
            </w:r>
            <w:r>
              <w:rPr>
                <w:rFonts w:cs="Times New Roman CE" w:ascii="Times New Roman CE" w:hAnsi="Times New Roman CE"/>
                <w:color w:val="000000"/>
                <w:sz w:val="22"/>
                <w:szCs w:val="22"/>
                <w:lang w:val="ro-RO" w:eastAsia="en-US"/>
              </w:rPr>
              <w:t>udiul procesului de încărcare intensivă a construcţiilor.  Vor fi eviden</w:t>
            </w:r>
            <w:r>
              <w:rPr>
                <w:rFonts w:ascii="Cambria Math" w:hAnsi="Cambria Math"/>
                <w:color w:val="000000"/>
                <w:sz w:val="22"/>
                <w:szCs w:val="22"/>
                <w:lang w:val="ro-RO" w:eastAsia="en-US"/>
              </w:rPr>
              <w:t>ț</w:t>
            </w:r>
            <w:r>
              <w:rPr>
                <w:rFonts w:cs="Times New Roman CE" w:ascii="Times New Roman CE" w:hAnsi="Times New Roman CE"/>
                <w:color w:val="000000"/>
                <w:sz w:val="22"/>
                <w:szCs w:val="22"/>
                <w:lang w:val="ro-RO" w:eastAsia="en-US"/>
              </w:rPr>
              <w:t>iate posibilităţile de realizare a metodelor şi algoritmilor elabora</w:t>
            </w:r>
            <w:r>
              <w:rPr>
                <w:rFonts w:ascii="Cambria Math" w:hAnsi="Cambria Math"/>
                <w:color w:val="000000"/>
                <w:sz w:val="22"/>
                <w:szCs w:val="22"/>
                <w:lang w:val="ro-RO" w:eastAsia="en-US"/>
              </w:rPr>
              <w:t>ț</w:t>
            </w:r>
            <w:r>
              <w:rPr>
                <w:rFonts w:cs="Times New Roman CE" w:ascii="Times New Roman CE" w:hAnsi="Times New Roman CE"/>
                <w:color w:val="000000"/>
                <w:sz w:val="22"/>
                <w:szCs w:val="22"/>
                <w:lang w:val="ro-RO" w:eastAsia="en-US"/>
              </w:rPr>
              <w:t xml:space="preserve">i în baza  calculului paralel cu utilizarea clusterilor cu multe procesoare. </w:t>
            </w:r>
          </w:p>
          <w:p>
            <w:pPr>
              <w:pStyle w:val="Normal"/>
              <w:widowControl w:val="false"/>
              <w:tabs>
                <w:tab w:val="left" w:pos="720" w:leader="none"/>
              </w:tabs>
              <w:suppressAutoHyphens w:val="true"/>
              <w:bidi w:val="0"/>
              <w:ind w:left="0" w:right="0" w:hanging="0"/>
              <w:jc w:val="both"/>
              <w:textAlignment w:val="auto"/>
              <w:rPr>
                <w:lang w:val="ro-RO"/>
              </w:rPr>
            </w:pPr>
            <w:r>
              <w:rPr>
                <w:rFonts w:cs="Times New Roman CE" w:ascii="Times New Roman CE" w:hAnsi="Times New Roman CE"/>
                <w:iCs/>
                <w:sz w:val="22"/>
                <w:szCs w:val="22"/>
                <w:lang w:val="ro-RO"/>
              </w:rPr>
              <w:t>Elaborările de bază preconizate pent</w:t>
            </w:r>
            <w:r>
              <w:rPr>
                <w:iCs/>
                <w:sz w:val="22"/>
                <w:szCs w:val="22"/>
                <w:lang w:val="ro-RO"/>
              </w:rPr>
              <w:t>ru realizare sunt</w:t>
            </w:r>
            <w:r>
              <w:rPr>
                <w:iCs/>
                <w:sz w:val="22"/>
                <w:szCs w:val="22"/>
                <w:lang w:val="es-ES"/>
              </w:rPr>
              <w:t xml:space="preserve">: </w:t>
            </w:r>
          </w:p>
          <w:p>
            <w:pPr>
              <w:pStyle w:val="Normal"/>
              <w:widowControl w:val="false"/>
              <w:numPr>
                <w:ilvl w:val="0"/>
                <w:numId w:val="22"/>
              </w:numPr>
              <w:tabs>
                <w:tab w:val="left" w:pos="720" w:leader="none"/>
              </w:tabs>
              <w:suppressAutoHyphens w:val="true"/>
              <w:bidi w:val="0"/>
              <w:ind w:left="720" w:right="0" w:hanging="0"/>
              <w:jc w:val="both"/>
              <w:textAlignment w:val="auto"/>
              <w:rPr>
                <w:lang w:val="ro-RO"/>
              </w:rPr>
            </w:pPr>
            <w:r>
              <w:rPr>
                <w:iCs/>
                <w:sz w:val="22"/>
                <w:szCs w:val="22"/>
                <w:lang w:val="ro-RO"/>
              </w:rPr>
              <w:t>Ob</w:t>
            </w:r>
            <w:r>
              <w:rPr>
                <w:rFonts w:ascii="Cambria Math" w:hAnsi="Cambria Math"/>
                <w:iCs/>
                <w:sz w:val="22"/>
                <w:szCs w:val="22"/>
                <w:lang w:val="ro-RO"/>
              </w:rPr>
              <w:t>ț</w:t>
            </w:r>
            <w:r>
              <w:rPr>
                <w:rFonts w:cs="Times New Roman CE" w:ascii="Times New Roman CE" w:hAnsi="Times New Roman CE"/>
                <w:iCs/>
                <w:sz w:val="22"/>
                <w:szCs w:val="22"/>
                <w:lang w:val="ro-RO"/>
              </w:rPr>
              <w:t xml:space="preserve">inerea condiţiilor necesare şi suficiente de existenţă a soluţiilor pentru problemele de optimizare stocastică, problemele teoriei aşteptării de </w:t>
            </w:r>
            <w:r>
              <w:rPr>
                <w:sz w:val="22"/>
                <w:szCs w:val="22"/>
                <w:lang w:val="ro-RO"/>
              </w:rPr>
              <w:t>tip semi-Markov, problemele mecanicii</w:t>
            </w:r>
            <w:r>
              <w:rPr>
                <w:rFonts w:cs="Times New Roman CE" w:ascii="Times New Roman CE" w:hAnsi="Times New Roman CE"/>
                <w:sz w:val="22"/>
                <w:szCs w:val="22"/>
                <w:lang w:val="ro-RO"/>
              </w:rPr>
              <w:t xml:space="preserve"> şi teoriei termoelasticităţii; </w:t>
            </w:r>
          </w:p>
          <w:p>
            <w:pPr>
              <w:pStyle w:val="Normal"/>
              <w:widowControl w:val="false"/>
              <w:numPr>
                <w:ilvl w:val="0"/>
                <w:numId w:val="22"/>
              </w:numPr>
              <w:tabs>
                <w:tab w:val="left" w:pos="720" w:leader="none"/>
              </w:tabs>
              <w:suppressAutoHyphens w:val="true"/>
              <w:bidi w:val="0"/>
              <w:ind w:left="720" w:right="0" w:hanging="0"/>
              <w:jc w:val="both"/>
              <w:textAlignment w:val="auto"/>
              <w:rPr>
                <w:lang w:val="ro-RO"/>
              </w:rPr>
            </w:pPr>
            <w:r>
              <w:rPr>
                <w:rFonts w:cs="Times New Roman CE" w:ascii="Times New Roman CE" w:hAnsi="Times New Roman CE"/>
                <w:sz w:val="22"/>
                <w:szCs w:val="22"/>
                <w:lang w:val="ro-RO"/>
              </w:rPr>
              <w:t xml:space="preserve">Elaborarea şi argumentarea teoretică a metodelor şi algoritmilor numerici pentru soluţionarea problemelor stocastice decizionale de tip Markov, problemelor din teoria aşteptării şi  mecanică; </w:t>
            </w:r>
          </w:p>
          <w:p>
            <w:pPr>
              <w:pStyle w:val="Normal"/>
              <w:widowControl w:val="false"/>
              <w:numPr>
                <w:ilvl w:val="0"/>
                <w:numId w:val="22"/>
              </w:numPr>
              <w:tabs>
                <w:tab w:val="left" w:pos="720" w:leader="none"/>
              </w:tabs>
              <w:suppressAutoHyphens w:val="true"/>
              <w:bidi w:val="0"/>
              <w:ind w:left="720" w:right="0" w:hanging="0"/>
              <w:jc w:val="both"/>
              <w:textAlignment w:val="auto"/>
              <w:rPr>
                <w:lang w:val="ro-RO"/>
              </w:rPr>
            </w:pPr>
            <w:r>
              <w:rPr>
                <w:rFonts w:cs="Times New Roman CE" w:ascii="Times New Roman CE" w:hAnsi="Times New Roman CE"/>
                <w:sz w:val="22"/>
                <w:szCs w:val="22"/>
                <w:lang w:val="ro-RO"/>
              </w:rPr>
              <w:t>Extinderea conceptului teoriei jocurilor şi principiilor multicriteriale pentru p</w:t>
            </w:r>
            <w:r>
              <w:rPr>
                <w:sz w:val="22"/>
                <w:szCs w:val="22"/>
                <w:lang w:val="ro-RO"/>
              </w:rPr>
              <w:t xml:space="preserve">rocesele stocastice decizionale; </w:t>
            </w:r>
          </w:p>
          <w:p>
            <w:pPr>
              <w:pStyle w:val="Normal"/>
              <w:widowControl w:val="false"/>
              <w:numPr>
                <w:ilvl w:val="0"/>
                <w:numId w:val="22"/>
              </w:numPr>
              <w:tabs>
                <w:tab w:val="left" w:pos="720" w:leader="none"/>
              </w:tabs>
              <w:suppressAutoHyphens w:val="true"/>
              <w:bidi w:val="0"/>
              <w:ind w:left="720" w:right="0" w:hanging="0"/>
              <w:jc w:val="both"/>
              <w:textAlignment w:val="auto"/>
              <w:rPr>
                <w:lang w:val="ro-RO"/>
              </w:rPr>
            </w:pPr>
            <w:r>
              <w:rPr>
                <w:sz w:val="22"/>
                <w:szCs w:val="22"/>
                <w:lang w:val="ro-RO"/>
              </w:rPr>
              <w:t>Studiul formelor liniare ale</w:t>
            </w:r>
            <w:r>
              <w:rPr>
                <w:rFonts w:cs="Times New Roman CE" w:ascii="Times New Roman CE" w:hAnsi="Times New Roman CE"/>
                <w:sz w:val="22"/>
                <w:szCs w:val="22"/>
                <w:lang w:val="ro-RO"/>
              </w:rPr>
              <w:t xml:space="preserve"> evoluţiilor aleatoare Markov în spa</w:t>
            </w:r>
            <w:r>
              <w:rPr>
                <w:rFonts w:ascii="Cambria Math" w:hAnsi="Cambria Math"/>
                <w:sz w:val="22"/>
                <w:szCs w:val="22"/>
                <w:lang w:val="ro-RO"/>
              </w:rPr>
              <w:t>ț</w:t>
            </w:r>
            <w:r>
              <w:rPr>
                <w:rFonts w:cs="Times New Roman CE" w:ascii="Times New Roman CE" w:hAnsi="Times New Roman CE"/>
                <w:sz w:val="22"/>
                <w:szCs w:val="22"/>
                <w:lang w:val="ro-RO"/>
              </w:rPr>
              <w:t xml:space="preserve">ii Euclid, obţinerea repartiţiei explicite pentru suma a două procese telegraf independente şi obţinerea ecuaţiei în derivate parţiale pentru densitatea de tranziţie; </w:t>
            </w:r>
          </w:p>
          <w:p>
            <w:pPr>
              <w:pStyle w:val="Normal"/>
              <w:widowControl w:val="false"/>
              <w:numPr>
                <w:ilvl w:val="0"/>
                <w:numId w:val="22"/>
              </w:numPr>
              <w:tabs>
                <w:tab w:val="left" w:pos="720" w:leader="none"/>
              </w:tabs>
              <w:suppressAutoHyphens w:val="true"/>
              <w:bidi w:val="0"/>
              <w:ind w:left="720" w:right="0" w:hanging="0"/>
              <w:jc w:val="both"/>
              <w:textAlignment w:val="auto"/>
              <w:rPr>
                <w:lang w:val="ro-RO"/>
              </w:rPr>
            </w:pPr>
            <w:r>
              <w:rPr>
                <w:rFonts w:cs="Times New Roman CE" w:ascii="Times New Roman CE" w:hAnsi="Times New Roman CE"/>
                <w:sz w:val="22"/>
                <w:szCs w:val="22"/>
                <w:lang w:val="ro-RO"/>
              </w:rPr>
              <w:t>Aplicarea rezultatelor obţinute la modelarea creşterii economice, problemelor din mecanică şi sistemelor de servire.</w:t>
            </w:r>
          </w:p>
        </w:tc>
      </w:tr>
    </w:tbl>
    <w:p>
      <w:pPr>
        <w:pStyle w:val="Normal"/>
        <w:widowControl/>
        <w:numPr>
          <w:ilvl w:val="0"/>
          <w:numId w:val="26"/>
        </w:numPr>
        <w:tabs>
          <w:tab w:val="left" w:pos="180" w:leader="none"/>
        </w:tabs>
        <w:bidi w:val="0"/>
        <w:spacing w:lineRule="exact" w:line="360"/>
        <w:ind w:left="180" w:right="0" w:hanging="0"/>
        <w:jc w:val="left"/>
        <w:textAlignment w:val="auto"/>
        <w:rPr>
          <w:lang w:val="ro-MD"/>
        </w:rPr>
      </w:pPr>
      <w:r>
        <w:rPr>
          <w:bCs/>
          <w:sz w:val="22"/>
          <w:szCs w:val="22"/>
          <w:lang w:val="ro-MD"/>
        </w:rPr>
        <w:t>Termenul execut</w:t>
      </w:r>
      <w:r>
        <w:rPr>
          <w:rFonts w:cs="Times New Roman CE" w:ascii="Times New Roman CE" w:hAnsi="Times New Roman CE"/>
          <w:bCs/>
          <w:sz w:val="22"/>
          <w:szCs w:val="22"/>
          <w:lang w:val="ro-MD"/>
        </w:rPr>
        <w:t>ă</w:t>
      </w:r>
      <w:r>
        <w:rPr>
          <w:bCs/>
          <w:sz w:val="22"/>
          <w:szCs w:val="22"/>
          <w:lang w:val="ro-MD"/>
        </w:rPr>
        <w:t>rii</w:t>
      </w:r>
      <w:r>
        <w:rPr>
          <w:color w:val="800000"/>
          <w:sz w:val="22"/>
          <w:szCs w:val="22"/>
          <w:lang w:val="ro-MD"/>
        </w:rPr>
        <w:t xml:space="preserve"> </w:t>
      </w:r>
    </w:p>
    <w:tbl>
      <w:tblPr>
        <w:tblW w:w="9638"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638"/>
      </w:tblGrid>
      <w:tr>
        <w:trPr/>
        <w:tc>
          <w:tcPr>
            <w:tcW w:w="9638"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MD"/>
              </w:rPr>
            </w:pPr>
            <w:r>
              <w:rPr>
                <w:bCs/>
                <w:i/>
                <w:sz w:val="22"/>
                <w:szCs w:val="22"/>
                <w:lang w:val="ro-MD"/>
              </w:rPr>
              <w:t>01.01.2015-31.12.2018</w:t>
            </w:r>
          </w:p>
        </w:tc>
      </w:tr>
    </w:tbl>
    <w:p>
      <w:pPr>
        <w:pStyle w:val="Normal"/>
        <w:widowControl/>
        <w:numPr>
          <w:ilvl w:val="0"/>
          <w:numId w:val="26"/>
        </w:numPr>
        <w:tabs>
          <w:tab w:val="left" w:pos="180" w:leader="none"/>
        </w:tabs>
        <w:bidi w:val="0"/>
        <w:spacing w:lineRule="exact" w:line="360"/>
        <w:ind w:left="180" w:right="0" w:hanging="0"/>
        <w:jc w:val="left"/>
        <w:textAlignment w:val="auto"/>
        <w:rPr>
          <w:lang w:val="ro-MD"/>
        </w:rPr>
      </w:pPr>
      <w:r>
        <w:rPr>
          <w:sz w:val="22"/>
          <w:szCs w:val="22"/>
          <w:lang w:val="ro-MD"/>
        </w:rPr>
        <w:t>Volumul total planificat al finan</w:t>
      </w:r>
      <w:r>
        <w:rPr>
          <w:rFonts w:cs="Cambria Math" w:ascii="Cambria Math" w:hAnsi="Cambria Math"/>
          <w:sz w:val="22"/>
          <w:szCs w:val="22"/>
          <w:lang w:val="ro-MD"/>
        </w:rPr>
        <w:t>ț</w:t>
      </w:r>
      <w:r>
        <w:rPr>
          <w:rFonts w:cs="Times New Roman CE" w:ascii="Times New Roman CE" w:hAnsi="Times New Roman CE"/>
          <w:sz w:val="22"/>
          <w:szCs w:val="22"/>
          <w:lang w:val="ro-MD"/>
        </w:rPr>
        <w:t>ă</w:t>
      </w:r>
      <w:r>
        <w:rPr>
          <w:sz w:val="22"/>
          <w:szCs w:val="22"/>
          <w:lang w:val="ro-MD"/>
        </w:rPr>
        <w:t>rii</w:t>
      </w:r>
    </w:p>
    <w:tbl>
      <w:tblPr>
        <w:tblW w:w="9638"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638"/>
      </w:tblGrid>
      <w:tr>
        <w:trPr/>
        <w:tc>
          <w:tcPr>
            <w:tcW w:w="9638"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MD"/>
              </w:rPr>
            </w:pPr>
            <w:r>
              <w:rPr>
                <w:i/>
                <w:sz w:val="22"/>
                <w:szCs w:val="22"/>
                <w:lang w:val="ro-MD"/>
              </w:rPr>
              <w:t>4983,8  mii lei</w:t>
            </w:r>
          </w:p>
        </w:tc>
      </w:tr>
    </w:tbl>
    <w:p>
      <w:pPr>
        <w:pStyle w:val="Normal"/>
        <w:widowControl/>
        <w:numPr>
          <w:ilvl w:val="0"/>
          <w:numId w:val="26"/>
        </w:numPr>
        <w:tabs>
          <w:tab w:val="left" w:pos="180" w:leader="none"/>
        </w:tabs>
        <w:bidi w:val="0"/>
        <w:spacing w:lineRule="exact" w:line="360"/>
        <w:ind w:left="180" w:right="0" w:hanging="0"/>
        <w:jc w:val="left"/>
        <w:textAlignment w:val="auto"/>
        <w:rPr>
          <w:lang w:val="ro-MD"/>
        </w:rPr>
      </w:pPr>
      <w:r>
        <w:rPr>
          <w:sz w:val="22"/>
          <w:szCs w:val="22"/>
          <w:lang w:val="ro-MD"/>
        </w:rPr>
        <w:t>Volumul finan</w:t>
      </w:r>
      <w:r>
        <w:rPr>
          <w:rFonts w:cs="Cambria Math" w:ascii="Cambria Math" w:hAnsi="Cambria Math"/>
          <w:sz w:val="22"/>
          <w:szCs w:val="22"/>
          <w:lang w:val="ro-MD"/>
        </w:rPr>
        <w:t>ț</w:t>
      </w:r>
      <w:r>
        <w:rPr>
          <w:rFonts w:cs="Times New Roman CE" w:ascii="Times New Roman CE" w:hAnsi="Times New Roman CE"/>
          <w:sz w:val="22"/>
          <w:szCs w:val="22"/>
          <w:lang w:val="ro-MD"/>
        </w:rPr>
        <w:t>ă</w:t>
      </w:r>
      <w:r>
        <w:rPr>
          <w:sz w:val="22"/>
          <w:szCs w:val="22"/>
          <w:lang w:val="ro-MD"/>
        </w:rPr>
        <w:t>rii pe perioada evaluat</w:t>
      </w:r>
      <w:r>
        <w:rPr>
          <w:rFonts w:cs="Times New Roman CE" w:ascii="Times New Roman CE" w:hAnsi="Times New Roman CE"/>
          <w:sz w:val="22"/>
          <w:szCs w:val="22"/>
          <w:lang w:val="ro-RO"/>
        </w:rPr>
        <w:t>ă (mii lei)</w:t>
      </w:r>
    </w:p>
    <w:tbl>
      <w:tblPr>
        <w:tblW w:w="9638"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4736"/>
        <w:gridCol w:w="4901"/>
      </w:tblGrid>
      <w:tr>
        <w:trPr/>
        <w:tc>
          <w:tcPr>
            <w:tcW w:w="4736"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MD"/>
              </w:rPr>
            </w:pPr>
            <w:r>
              <w:rPr>
                <w:i/>
                <w:sz w:val="22"/>
                <w:szCs w:val="22"/>
                <w:lang w:val="ro-MD"/>
              </w:rPr>
              <w:t>851,7 mii lei</w:t>
            </w:r>
          </w:p>
        </w:tc>
        <w:tc>
          <w:tcPr>
            <w:tcW w:w="4901"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MD"/>
              </w:rPr>
            </w:pPr>
            <w:r>
              <w:rPr>
                <w:i/>
                <w:sz w:val="22"/>
                <w:szCs w:val="22"/>
                <w:lang w:val="ro-MD"/>
              </w:rPr>
              <w:t>851,7 mii lei</w:t>
            </w:r>
          </w:p>
        </w:tc>
      </w:tr>
    </w:tbl>
    <w:p>
      <w:pPr>
        <w:pStyle w:val="Normal"/>
        <w:widowControl/>
        <w:numPr>
          <w:ilvl w:val="0"/>
          <w:numId w:val="26"/>
        </w:numPr>
        <w:tabs>
          <w:tab w:val="left" w:pos="180" w:leader="none"/>
        </w:tabs>
        <w:bidi w:val="0"/>
        <w:ind w:left="180" w:right="0" w:hanging="0"/>
        <w:jc w:val="left"/>
        <w:textAlignment w:val="auto"/>
        <w:rPr>
          <w:lang w:val="ro-MD"/>
        </w:rPr>
      </w:pPr>
      <w:r>
        <w:rPr>
          <w:sz w:val="22"/>
          <w:szCs w:val="22"/>
          <w:lang w:val="ro-MD"/>
        </w:rPr>
        <w:t>Subdiviziunile organiza</w:t>
      </w:r>
      <w:r>
        <w:rPr>
          <w:rFonts w:cs="Cambria Math" w:ascii="Cambria Math" w:hAnsi="Cambria Math"/>
          <w:sz w:val="22"/>
          <w:szCs w:val="22"/>
          <w:lang w:val="ro-MD"/>
        </w:rPr>
        <w:t>ț</w:t>
      </w:r>
      <w:r>
        <w:rPr>
          <w:sz w:val="22"/>
          <w:szCs w:val="22"/>
          <w:lang w:val="ro-MD"/>
        </w:rPr>
        <w:t>iei executoare (laborator, sec</w:t>
      </w:r>
      <w:r>
        <w:rPr>
          <w:rFonts w:cs="Cambria Math" w:ascii="Cambria Math" w:hAnsi="Cambria Math"/>
          <w:sz w:val="22"/>
          <w:szCs w:val="22"/>
          <w:lang w:val="ro-MD"/>
        </w:rPr>
        <w:t>ț</w:t>
      </w:r>
      <w:r>
        <w:rPr>
          <w:sz w:val="22"/>
          <w:szCs w:val="22"/>
          <w:lang w:val="ro-MD"/>
        </w:rPr>
        <w:t>ie, sector etc.)</w:t>
      </w:r>
    </w:p>
    <w:tbl>
      <w:tblPr>
        <w:tblW w:w="9585"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585"/>
      </w:tblGrid>
      <w:tr>
        <w:trPr>
          <w:trHeight w:val="339" w:hRule="atLeast"/>
        </w:trPr>
        <w:tc>
          <w:tcPr>
            <w:tcW w:w="9585"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MD"/>
              </w:rPr>
            </w:pPr>
            <w:r>
              <w:rPr>
                <w:bCs/>
                <w:i/>
                <w:sz w:val="22"/>
                <w:szCs w:val="22"/>
                <w:lang w:val="ro-MD"/>
              </w:rPr>
              <w:t>Laboratorul  Modelare Matematic</w:t>
            </w:r>
            <w:r>
              <w:rPr>
                <w:rFonts w:cs="Times New Roman CE" w:ascii="Times New Roman CE" w:hAnsi="Times New Roman CE"/>
                <w:bCs/>
                <w:i/>
                <w:sz w:val="22"/>
                <w:szCs w:val="22"/>
                <w:lang w:val="ro-MD"/>
              </w:rPr>
              <w:t>ă</w:t>
            </w:r>
          </w:p>
        </w:tc>
      </w:tr>
    </w:tbl>
    <w:p>
      <w:pPr>
        <w:pStyle w:val="Normal"/>
        <w:widowControl/>
        <w:numPr>
          <w:ilvl w:val="0"/>
          <w:numId w:val="26"/>
        </w:numPr>
        <w:tabs>
          <w:tab w:val="left" w:pos="180" w:leader="none"/>
        </w:tabs>
        <w:bidi w:val="0"/>
        <w:spacing w:lineRule="exact" w:line="360"/>
        <w:ind w:left="180" w:right="0" w:hanging="0"/>
        <w:jc w:val="left"/>
        <w:textAlignment w:val="auto"/>
        <w:rPr>
          <w:lang w:val="ro-MD"/>
        </w:rPr>
      </w:pPr>
      <w:r>
        <w:rPr>
          <w:sz w:val="22"/>
          <w:szCs w:val="22"/>
          <w:lang w:val="ro-MD"/>
        </w:rPr>
        <w:t xml:space="preserve">Executorii  </w:t>
      </w:r>
    </w:p>
    <w:tbl>
      <w:tblPr>
        <w:tblW w:w="8973" w:type="dxa"/>
        <w:jc w:val="left"/>
        <w:tblInd w:w="56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3" w:type="dxa"/>
          <w:bottom w:w="0" w:type="dxa"/>
          <w:right w:w="108" w:type="dxa"/>
        </w:tblCellMar>
      </w:tblPr>
      <w:tblGrid>
        <w:gridCol w:w="1065"/>
        <w:gridCol w:w="2002"/>
        <w:gridCol w:w="3066"/>
        <w:gridCol w:w="2839"/>
      </w:tblGrid>
      <w:tr>
        <w:trPr/>
        <w:tc>
          <w:tcPr>
            <w:tcW w:w="10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Nr./ ord.</w:t>
            </w:r>
          </w:p>
        </w:tc>
        <w:tc>
          <w:tcPr>
            <w:tcW w:w="20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sz w:val="22"/>
                <w:szCs w:val="22"/>
                <w:lang w:val="ro-MD"/>
              </w:rPr>
              <w:t xml:space="preserve">Nume, prenume </w:t>
            </w:r>
          </w:p>
        </w:tc>
        <w:tc>
          <w:tcPr>
            <w:tcW w:w="590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sz w:val="22"/>
                <w:szCs w:val="22"/>
                <w:lang w:val="ro-MD"/>
              </w:rPr>
              <w:t xml:space="preserve"> </w:t>
            </w:r>
            <w:r>
              <w:rPr>
                <w:bCs/>
                <w:i/>
                <w:sz w:val="22"/>
                <w:szCs w:val="22"/>
                <w:lang w:val="ro-MD"/>
              </w:rPr>
              <w:t>F</w:t>
            </w:r>
            <w:r>
              <w:rPr>
                <w:rFonts w:cs="Times New Roman CE" w:ascii="Times New Roman CE" w:hAnsi="Times New Roman CE"/>
                <w:bCs/>
                <w:i/>
                <w:sz w:val="22"/>
                <w:szCs w:val="22"/>
                <w:lang w:val="ro-MD"/>
              </w:rPr>
              <w:t>uncţia în cadrul proiectului</w:t>
            </w:r>
          </w:p>
        </w:tc>
      </w:tr>
      <w:tr>
        <w:trPr/>
        <w:tc>
          <w:tcPr>
            <w:tcW w:w="10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1.</w:t>
            </w:r>
          </w:p>
        </w:tc>
        <w:tc>
          <w:tcPr>
            <w:tcW w:w="20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Style w:val="Strong"/>
                <w:rFonts w:cs="Calibri"/>
                <w:i/>
                <w:sz w:val="22"/>
                <w:szCs w:val="22"/>
                <w:lang w:val="ro-MD"/>
              </w:rPr>
              <w:t>Lozovanu</w:t>
            </w:r>
            <w:r>
              <w:rPr>
                <w:i/>
                <w:sz w:val="22"/>
                <w:szCs w:val="22"/>
                <w:lang w:val="ro-RO"/>
              </w:rPr>
              <w:t xml:space="preserve">  Dmitrii        </w:t>
            </w:r>
          </w:p>
        </w:tc>
        <w:tc>
          <w:tcPr>
            <w:tcW w:w="30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
                <w:sz w:val="22"/>
                <w:szCs w:val="22"/>
                <w:lang w:val="ro-RO"/>
              </w:rPr>
              <w:t>conducătorul proiectului</w:t>
            </w:r>
          </w:p>
        </w:tc>
        <w:tc>
          <w:tcPr>
            <w:tcW w:w="283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iCs/>
                <w:sz w:val="22"/>
                <w:szCs w:val="22"/>
                <w:lang w:val="ro-MD"/>
              </w:rPr>
              <w:t>doctor habilitat</w:t>
            </w:r>
          </w:p>
        </w:tc>
      </w:tr>
      <w:tr>
        <w:trPr/>
        <w:tc>
          <w:tcPr>
            <w:tcW w:w="10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2.</w:t>
            </w:r>
          </w:p>
        </w:tc>
        <w:tc>
          <w:tcPr>
            <w:tcW w:w="20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
                <w:sz w:val="22"/>
                <w:szCs w:val="22"/>
                <w:lang w:val="ro-RO"/>
              </w:rPr>
              <w:t xml:space="preserve">Kolesnik Alexander                                      </w:t>
            </w:r>
          </w:p>
        </w:tc>
        <w:tc>
          <w:tcPr>
            <w:tcW w:w="30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bCs/>
                <w:i/>
                <w:iCs/>
                <w:sz w:val="22"/>
                <w:szCs w:val="22"/>
                <w:lang w:val="ro-MD"/>
              </w:rPr>
              <w:t xml:space="preserve">cercetător ştiinţific  </w:t>
            </w:r>
            <w:r>
              <w:rPr>
                <w:bCs/>
                <w:i/>
                <w:iCs/>
                <w:sz w:val="22"/>
                <w:szCs w:val="22"/>
                <w:lang w:val="ro-MD"/>
              </w:rPr>
              <w:t>coordonator</w:t>
            </w:r>
          </w:p>
        </w:tc>
        <w:tc>
          <w:tcPr>
            <w:tcW w:w="283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iCs/>
                <w:sz w:val="22"/>
                <w:szCs w:val="22"/>
                <w:lang w:val="ro-MD"/>
              </w:rPr>
              <w:t>doctor habilitat</w:t>
            </w:r>
          </w:p>
        </w:tc>
      </w:tr>
      <w:tr>
        <w:trPr/>
        <w:tc>
          <w:tcPr>
            <w:tcW w:w="10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3.</w:t>
            </w:r>
          </w:p>
        </w:tc>
        <w:tc>
          <w:tcPr>
            <w:tcW w:w="20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
                <w:sz w:val="22"/>
                <w:szCs w:val="22"/>
                <w:lang w:val="ro-RO"/>
              </w:rPr>
              <w:t>Mişcoi Gheorghe</w:t>
            </w:r>
            <w:r>
              <w:rPr>
                <w:i/>
                <w:sz w:val="22"/>
                <w:szCs w:val="22"/>
                <w:lang w:val="ro-RO"/>
              </w:rPr>
              <w:t xml:space="preserve">                </w:t>
            </w:r>
          </w:p>
        </w:tc>
        <w:tc>
          <w:tcPr>
            <w:tcW w:w="30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bCs/>
                <w:i/>
                <w:iCs/>
                <w:sz w:val="22"/>
                <w:szCs w:val="22"/>
                <w:lang w:val="ro-MD"/>
              </w:rPr>
              <w:t>cercetător ştiinţific  principal</w:t>
            </w:r>
          </w:p>
        </w:tc>
        <w:tc>
          <w:tcPr>
            <w:tcW w:w="283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iCs/>
                <w:sz w:val="22"/>
                <w:szCs w:val="22"/>
                <w:lang w:val="ro-MD"/>
              </w:rPr>
              <w:t>academician, doctor habilitat</w:t>
            </w:r>
          </w:p>
        </w:tc>
      </w:tr>
      <w:tr>
        <w:trPr/>
        <w:tc>
          <w:tcPr>
            <w:tcW w:w="10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4.</w:t>
            </w:r>
          </w:p>
        </w:tc>
        <w:tc>
          <w:tcPr>
            <w:tcW w:w="20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bCs/>
                <w:i/>
                <w:iCs/>
                <w:sz w:val="22"/>
                <w:szCs w:val="22"/>
                <w:lang w:val="ro-MD"/>
              </w:rPr>
              <w:t>Şeremet Victor</w:t>
            </w:r>
          </w:p>
        </w:tc>
        <w:tc>
          <w:tcPr>
            <w:tcW w:w="30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
                <w:sz w:val="22"/>
                <w:szCs w:val="22"/>
                <w:lang w:val="ro-RO"/>
              </w:rPr>
              <w:t>cercetător ştiinţific coordonator</w:t>
            </w:r>
          </w:p>
        </w:tc>
        <w:tc>
          <w:tcPr>
            <w:tcW w:w="283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iCs/>
                <w:sz w:val="22"/>
                <w:szCs w:val="22"/>
                <w:lang w:val="ro-MD"/>
              </w:rPr>
              <w:t>doctor habilitat</w:t>
            </w:r>
          </w:p>
        </w:tc>
      </w:tr>
      <w:tr>
        <w:trPr/>
        <w:tc>
          <w:tcPr>
            <w:tcW w:w="10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5.</w:t>
            </w:r>
          </w:p>
        </w:tc>
        <w:tc>
          <w:tcPr>
            <w:tcW w:w="20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iCs/>
                <w:sz w:val="22"/>
                <w:szCs w:val="22"/>
                <w:lang w:val="ro-MD"/>
              </w:rPr>
              <w:t>Secrieru Grigore</w:t>
            </w:r>
          </w:p>
        </w:tc>
        <w:tc>
          <w:tcPr>
            <w:tcW w:w="30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
                <w:sz w:val="22"/>
                <w:szCs w:val="22"/>
                <w:lang w:val="ro-RO"/>
              </w:rPr>
              <w:t>cercetător ştiinţific coordonator</w:t>
            </w:r>
          </w:p>
        </w:tc>
        <w:tc>
          <w:tcPr>
            <w:tcW w:w="283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
                <w:sz w:val="22"/>
                <w:szCs w:val="22"/>
                <w:lang w:val="ro-RO"/>
              </w:rPr>
              <w:t>doctor</w:t>
            </w:r>
          </w:p>
        </w:tc>
      </w:tr>
      <w:tr>
        <w:trPr/>
        <w:tc>
          <w:tcPr>
            <w:tcW w:w="10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6.</w:t>
            </w:r>
          </w:p>
        </w:tc>
        <w:tc>
          <w:tcPr>
            <w:tcW w:w="20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iCs/>
                <w:sz w:val="22"/>
                <w:szCs w:val="22"/>
                <w:lang w:val="ro-MD"/>
              </w:rPr>
              <w:t>Naval Elvira</w:t>
            </w:r>
          </w:p>
        </w:tc>
        <w:tc>
          <w:tcPr>
            <w:tcW w:w="30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i/>
                <w:sz w:val="22"/>
                <w:szCs w:val="22"/>
                <w:lang w:val="ro-MD"/>
              </w:rPr>
              <w:t xml:space="preserve">cercetător ştiinţific </w:t>
            </w:r>
            <w:r>
              <w:rPr>
                <w:i/>
                <w:sz w:val="22"/>
                <w:szCs w:val="22"/>
                <w:lang w:val="ro-RO"/>
              </w:rPr>
              <w:t>coordonator</w:t>
            </w:r>
          </w:p>
        </w:tc>
        <w:tc>
          <w:tcPr>
            <w:tcW w:w="283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
                <w:sz w:val="22"/>
                <w:szCs w:val="22"/>
                <w:lang w:val="ro-RO"/>
              </w:rPr>
              <w:t>doctor</w:t>
            </w:r>
          </w:p>
        </w:tc>
      </w:tr>
      <w:tr>
        <w:trPr/>
        <w:tc>
          <w:tcPr>
            <w:tcW w:w="10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 xml:space="preserve">7. </w:t>
            </w:r>
          </w:p>
        </w:tc>
        <w:tc>
          <w:tcPr>
            <w:tcW w:w="20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
                <w:sz w:val="22"/>
                <w:szCs w:val="22"/>
                <w:lang w:val="ro-RO"/>
              </w:rPr>
              <w:t>Guţuleac Elena</w:t>
            </w:r>
            <w:r>
              <w:rPr>
                <w:i/>
                <w:sz w:val="22"/>
                <w:szCs w:val="22"/>
                <w:lang w:val="ro-RO"/>
              </w:rPr>
              <w:t xml:space="preserve">                   </w:t>
            </w:r>
          </w:p>
        </w:tc>
        <w:tc>
          <w:tcPr>
            <w:tcW w:w="30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
                <w:sz w:val="22"/>
                <w:szCs w:val="22"/>
                <w:lang w:val="ro-RO"/>
              </w:rPr>
              <w:t>cercetător ştiinţif</w:t>
            </w:r>
            <w:r>
              <w:rPr>
                <w:i/>
                <w:sz w:val="22"/>
                <w:szCs w:val="22"/>
                <w:lang w:val="ro-RO"/>
              </w:rPr>
              <w:t>ic superior</w:t>
            </w:r>
          </w:p>
        </w:tc>
        <w:tc>
          <w:tcPr>
            <w:tcW w:w="283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
                <w:sz w:val="22"/>
                <w:szCs w:val="22"/>
                <w:lang w:val="ro-RO"/>
              </w:rPr>
              <w:t>doctor</w:t>
            </w:r>
          </w:p>
        </w:tc>
      </w:tr>
      <w:tr>
        <w:trPr/>
        <w:tc>
          <w:tcPr>
            <w:tcW w:w="10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8.</w:t>
            </w:r>
          </w:p>
        </w:tc>
        <w:tc>
          <w:tcPr>
            <w:tcW w:w="20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
                <w:sz w:val="22"/>
                <w:szCs w:val="22"/>
                <w:lang w:val="ro-RO"/>
              </w:rPr>
              <w:t>Mitev Lilia</w:t>
            </w:r>
          </w:p>
        </w:tc>
        <w:tc>
          <w:tcPr>
            <w:tcW w:w="30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i/>
                <w:sz w:val="22"/>
                <w:szCs w:val="22"/>
                <w:lang w:val="ro-MD"/>
              </w:rPr>
              <w:t>cercetător ştiinţific</w:t>
            </w:r>
            <w:r>
              <w:rPr>
                <w:i/>
                <w:sz w:val="22"/>
                <w:szCs w:val="22"/>
                <w:lang w:val="ro-MD"/>
              </w:rPr>
              <w:t xml:space="preserve"> stagiar</w:t>
            </w:r>
          </w:p>
        </w:tc>
        <w:tc>
          <w:tcPr>
            <w:tcW w:w="283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rFonts w:ascii="Times New Roman" w:hAnsi="Times New Roman"/>
                <w:i/>
                <w:i/>
                <w:sz w:val="22"/>
                <w:szCs w:val="22"/>
                <w:lang w:val="ro-RO"/>
              </w:rPr>
            </w:pPr>
            <w:r>
              <w:rPr>
                <w:i/>
                <w:sz w:val="22"/>
                <w:szCs w:val="22"/>
                <w:lang w:val="ro-RO"/>
              </w:rPr>
            </w:r>
          </w:p>
        </w:tc>
      </w:tr>
      <w:tr>
        <w:trPr/>
        <w:tc>
          <w:tcPr>
            <w:tcW w:w="10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9.</w:t>
            </w:r>
          </w:p>
        </w:tc>
        <w:tc>
          <w:tcPr>
            <w:tcW w:w="20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
                <w:sz w:val="22"/>
                <w:szCs w:val="22"/>
                <w:lang w:val="ro-RO"/>
              </w:rPr>
              <w:t>Burcă Fevronia</w:t>
            </w:r>
          </w:p>
        </w:tc>
        <w:tc>
          <w:tcPr>
            <w:tcW w:w="30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Style w:val="Strong"/>
                <w:rFonts w:cs="Calibri"/>
                <w:i/>
                <w:sz w:val="22"/>
                <w:szCs w:val="22"/>
                <w:lang w:val="ro-MD"/>
              </w:rPr>
              <w:t>inginer coordonator</w:t>
            </w:r>
          </w:p>
        </w:tc>
        <w:tc>
          <w:tcPr>
            <w:tcW w:w="283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rFonts w:ascii="Times New Roman" w:hAnsi="Times New Roman"/>
                <w:i/>
                <w:i/>
                <w:sz w:val="22"/>
                <w:szCs w:val="22"/>
                <w:lang w:val="ro-RO"/>
              </w:rPr>
            </w:pPr>
            <w:r>
              <w:rPr>
                <w:i/>
                <w:sz w:val="22"/>
                <w:szCs w:val="22"/>
                <w:lang w:val="ro-RO"/>
              </w:rPr>
            </w:r>
          </w:p>
        </w:tc>
      </w:tr>
      <w:tr>
        <w:trPr/>
        <w:tc>
          <w:tcPr>
            <w:tcW w:w="10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10.</w:t>
            </w:r>
          </w:p>
        </w:tc>
        <w:tc>
          <w:tcPr>
            <w:tcW w:w="20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sz w:val="22"/>
                <w:szCs w:val="22"/>
                <w:lang w:val="ro-MD"/>
              </w:rPr>
              <w:t>Smolina Liudmila</w:t>
            </w:r>
          </w:p>
        </w:tc>
        <w:tc>
          <w:tcPr>
            <w:tcW w:w="30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MD"/>
              </w:rPr>
            </w:pPr>
            <w:r>
              <w:rPr>
                <w:rStyle w:val="Strong"/>
                <w:rFonts w:cs="Calibri"/>
                <w:i/>
                <w:sz w:val="22"/>
                <w:szCs w:val="22"/>
                <w:lang w:val="ro-MD"/>
              </w:rPr>
              <w:t>inginer coordonator</w:t>
            </w:r>
          </w:p>
        </w:tc>
        <w:tc>
          <w:tcPr>
            <w:tcW w:w="283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rFonts w:ascii="Times New Roman" w:hAnsi="Times New Roman"/>
                <w:i/>
                <w:i/>
                <w:sz w:val="22"/>
                <w:szCs w:val="22"/>
                <w:lang w:val="ro-RO"/>
              </w:rPr>
            </w:pPr>
            <w:r>
              <w:rPr>
                <w:i/>
                <w:sz w:val="22"/>
                <w:szCs w:val="22"/>
                <w:lang w:val="ro-RO"/>
              </w:rPr>
            </w:r>
          </w:p>
        </w:tc>
      </w:tr>
      <w:tr>
        <w:trPr/>
        <w:tc>
          <w:tcPr>
            <w:tcW w:w="10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11.</w:t>
            </w:r>
          </w:p>
        </w:tc>
        <w:tc>
          <w:tcPr>
            <w:tcW w:w="20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sz w:val="22"/>
                <w:szCs w:val="22"/>
                <w:lang w:val="ro-MD"/>
              </w:rPr>
              <w:t>Cuzne</w:t>
            </w:r>
            <w:r>
              <w:rPr>
                <w:rFonts w:cs="Times New Roman CE" w:ascii="Times New Roman CE" w:hAnsi="Times New Roman CE"/>
                <w:bCs/>
                <w:i/>
                <w:sz w:val="22"/>
                <w:szCs w:val="22"/>
                <w:lang w:val="ro-MD"/>
              </w:rPr>
              <w:t>ţ</w:t>
            </w:r>
            <w:r>
              <w:rPr>
                <w:bCs/>
                <w:i/>
                <w:sz w:val="22"/>
                <w:szCs w:val="22"/>
                <w:lang w:val="ro-MD"/>
              </w:rPr>
              <w:t xml:space="preserve">ova Elena                                           </w:t>
            </w:r>
          </w:p>
        </w:tc>
        <w:tc>
          <w:tcPr>
            <w:tcW w:w="30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MD"/>
              </w:rPr>
            </w:pPr>
            <w:r>
              <w:rPr>
                <w:rStyle w:val="Strong"/>
                <w:rFonts w:cs="Calibri"/>
                <w:i/>
                <w:sz w:val="22"/>
                <w:szCs w:val="22"/>
                <w:lang w:val="ro-MD"/>
              </w:rPr>
              <w:t>inginer programator cat .III</w:t>
            </w:r>
          </w:p>
        </w:tc>
        <w:tc>
          <w:tcPr>
            <w:tcW w:w="283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rFonts w:ascii="Times New Roman" w:hAnsi="Times New Roman"/>
                <w:i/>
                <w:i/>
                <w:sz w:val="22"/>
                <w:szCs w:val="22"/>
                <w:lang w:val="ro-RO"/>
              </w:rPr>
            </w:pPr>
            <w:r>
              <w:rPr>
                <w:i/>
                <w:sz w:val="22"/>
                <w:szCs w:val="22"/>
                <w:lang w:val="ro-RO"/>
              </w:rPr>
            </w:r>
          </w:p>
        </w:tc>
      </w:tr>
      <w:tr>
        <w:trPr/>
        <w:tc>
          <w:tcPr>
            <w:tcW w:w="10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12.</w:t>
            </w:r>
          </w:p>
        </w:tc>
        <w:tc>
          <w:tcPr>
            <w:tcW w:w="20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sz w:val="22"/>
                <w:szCs w:val="22"/>
                <w:lang w:val="ro-MD"/>
              </w:rPr>
              <w:t>Ghereg Veronica</w:t>
            </w:r>
          </w:p>
        </w:tc>
        <w:tc>
          <w:tcPr>
            <w:tcW w:w="30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MD"/>
              </w:rPr>
            </w:pPr>
            <w:r>
              <w:rPr>
                <w:rStyle w:val="Strong"/>
                <w:rFonts w:cs="Calibri"/>
                <w:i/>
                <w:sz w:val="22"/>
                <w:szCs w:val="22"/>
                <w:lang w:val="ro-MD"/>
              </w:rPr>
              <w:t>inginer programator cat .III</w:t>
            </w:r>
          </w:p>
        </w:tc>
        <w:tc>
          <w:tcPr>
            <w:tcW w:w="283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rFonts w:ascii="Times New Roman" w:hAnsi="Times New Roman"/>
                <w:i/>
                <w:i/>
                <w:sz w:val="22"/>
                <w:szCs w:val="22"/>
                <w:lang w:val="ro-RO"/>
              </w:rPr>
            </w:pPr>
            <w:r>
              <w:rPr>
                <w:i/>
                <w:sz w:val="22"/>
                <w:szCs w:val="22"/>
                <w:lang w:val="ro-RO"/>
              </w:rPr>
            </w:r>
          </w:p>
        </w:tc>
      </w:tr>
      <w:tr>
        <w:trPr/>
        <w:tc>
          <w:tcPr>
            <w:tcW w:w="10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13.</w:t>
            </w:r>
          </w:p>
        </w:tc>
        <w:tc>
          <w:tcPr>
            <w:tcW w:w="20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sz w:val="22"/>
                <w:szCs w:val="22"/>
                <w:lang w:val="ro-MD"/>
              </w:rPr>
              <w:t>Nani Andrei</w:t>
            </w:r>
          </w:p>
        </w:tc>
        <w:tc>
          <w:tcPr>
            <w:tcW w:w="30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MD"/>
              </w:rPr>
            </w:pPr>
            <w:r>
              <w:rPr>
                <w:rStyle w:val="Strong"/>
                <w:rFonts w:cs="Calibri"/>
                <w:i/>
                <w:sz w:val="22"/>
                <w:szCs w:val="22"/>
                <w:lang w:val="ro-MD"/>
              </w:rPr>
              <w:t>inginer programator cat .III</w:t>
            </w:r>
          </w:p>
        </w:tc>
        <w:tc>
          <w:tcPr>
            <w:tcW w:w="283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rFonts w:ascii="Times New Roman" w:hAnsi="Times New Roman"/>
                <w:i/>
                <w:i/>
                <w:sz w:val="22"/>
                <w:szCs w:val="22"/>
                <w:lang w:val="ro-RO"/>
              </w:rPr>
            </w:pPr>
            <w:r>
              <w:rPr>
                <w:i/>
                <w:sz w:val="22"/>
                <w:szCs w:val="22"/>
                <w:lang w:val="ro-RO"/>
              </w:rPr>
            </w:r>
          </w:p>
        </w:tc>
      </w:tr>
      <w:tr>
        <w:trPr/>
        <w:tc>
          <w:tcPr>
            <w:tcW w:w="10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14.</w:t>
            </w:r>
          </w:p>
        </w:tc>
        <w:tc>
          <w:tcPr>
            <w:tcW w:w="20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sz w:val="22"/>
                <w:szCs w:val="22"/>
                <w:lang w:val="ro-MD"/>
              </w:rPr>
              <w:t>Ivanov Andrei</w:t>
            </w:r>
          </w:p>
        </w:tc>
        <w:tc>
          <w:tcPr>
            <w:tcW w:w="30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MD"/>
              </w:rPr>
            </w:pPr>
            <w:r>
              <w:rPr>
                <w:rStyle w:val="Strong"/>
                <w:rFonts w:cs="Calibri"/>
                <w:i/>
                <w:sz w:val="22"/>
                <w:szCs w:val="22"/>
                <w:lang w:val="ro-MD"/>
              </w:rPr>
              <w:t>inginer programator cat .III</w:t>
            </w:r>
          </w:p>
        </w:tc>
        <w:tc>
          <w:tcPr>
            <w:tcW w:w="283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rFonts w:ascii="Times New Roman" w:hAnsi="Times New Roman"/>
                <w:i/>
                <w:i/>
                <w:sz w:val="22"/>
                <w:szCs w:val="22"/>
                <w:lang w:val="ro-RO"/>
              </w:rPr>
            </w:pPr>
            <w:r>
              <w:rPr>
                <w:i/>
                <w:sz w:val="22"/>
                <w:szCs w:val="22"/>
                <w:lang w:val="ro-RO"/>
              </w:rPr>
            </w:r>
          </w:p>
        </w:tc>
      </w:tr>
      <w:tr>
        <w:trPr/>
        <w:tc>
          <w:tcPr>
            <w:tcW w:w="10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15.</w:t>
            </w:r>
          </w:p>
        </w:tc>
        <w:tc>
          <w:tcPr>
            <w:tcW w:w="20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sz w:val="22"/>
                <w:szCs w:val="22"/>
                <w:lang w:val="ro-MD"/>
              </w:rPr>
              <w:t>Bodag Dumitru</w:t>
            </w:r>
          </w:p>
        </w:tc>
        <w:tc>
          <w:tcPr>
            <w:tcW w:w="30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MD"/>
              </w:rPr>
            </w:pPr>
            <w:r>
              <w:rPr>
                <w:rStyle w:val="Strong"/>
                <w:rFonts w:cs="Calibri"/>
                <w:i/>
                <w:sz w:val="22"/>
                <w:szCs w:val="22"/>
                <w:lang w:val="ro-MD"/>
              </w:rPr>
              <w:t>inginer programator cat .III</w:t>
            </w:r>
          </w:p>
        </w:tc>
        <w:tc>
          <w:tcPr>
            <w:tcW w:w="283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rFonts w:ascii="Times New Roman" w:hAnsi="Times New Roman"/>
                <w:i/>
                <w:i/>
                <w:sz w:val="22"/>
                <w:szCs w:val="22"/>
                <w:lang w:val="ro-RO"/>
              </w:rPr>
            </w:pPr>
            <w:r>
              <w:rPr>
                <w:i/>
                <w:sz w:val="22"/>
                <w:szCs w:val="22"/>
                <w:lang w:val="ro-RO"/>
              </w:rPr>
            </w:r>
          </w:p>
        </w:tc>
      </w:tr>
    </w:tbl>
    <w:p>
      <w:pPr>
        <w:pStyle w:val="Normal"/>
        <w:widowControl/>
        <w:numPr>
          <w:ilvl w:val="0"/>
          <w:numId w:val="26"/>
        </w:numPr>
        <w:tabs>
          <w:tab w:val="left" w:pos="180" w:leader="none"/>
        </w:tabs>
        <w:bidi w:val="0"/>
        <w:ind w:left="180" w:right="0" w:hanging="0"/>
        <w:jc w:val="left"/>
        <w:textAlignment w:val="auto"/>
        <w:rPr>
          <w:lang w:val="ro-RO"/>
        </w:rPr>
      </w:pPr>
      <w:r>
        <w:rPr>
          <w:sz w:val="22"/>
          <w:szCs w:val="22"/>
          <w:lang w:val="ro-RO"/>
        </w:rPr>
        <w:t>Sumarul activit</w:t>
      </w:r>
      <w:r>
        <w:rPr>
          <w:rFonts w:cs="Times New Roman CE" w:ascii="Times New Roman CE" w:hAnsi="Times New Roman CE"/>
          <w:sz w:val="22"/>
          <w:szCs w:val="22"/>
          <w:lang w:val="ro-RO"/>
        </w:rPr>
        <w:t>ă</w:t>
      </w:r>
      <w:r>
        <w:rPr>
          <w:rFonts w:cs="Cambria Math" w:ascii="Cambria Math" w:hAnsi="Cambria Math"/>
          <w:sz w:val="22"/>
          <w:szCs w:val="22"/>
          <w:lang w:val="ro-RO"/>
        </w:rPr>
        <w:t>ț</w:t>
      </w:r>
      <w:r>
        <w:rPr>
          <w:sz w:val="22"/>
          <w:szCs w:val="22"/>
          <w:lang w:val="ro-RO"/>
        </w:rPr>
        <w:t xml:space="preserve">ilor proiectului realizate </w:t>
      </w:r>
      <w:r>
        <w:rPr>
          <w:rFonts w:cs="Times New Roman CE" w:ascii="Times New Roman CE" w:hAnsi="Times New Roman CE"/>
          <w:sz w:val="22"/>
          <w:szCs w:val="22"/>
          <w:lang w:val="ro-RO"/>
        </w:rPr>
        <w:t>î</w:t>
      </w:r>
      <w:r>
        <w:rPr>
          <w:sz w:val="22"/>
          <w:szCs w:val="22"/>
          <w:lang w:val="ro-RO"/>
        </w:rPr>
        <w:t>n perioada evaluat</w:t>
      </w:r>
      <w:r>
        <w:rPr>
          <w:rFonts w:cs="Times New Roman CE" w:ascii="Times New Roman CE" w:hAnsi="Times New Roman CE"/>
          <w:sz w:val="22"/>
          <w:szCs w:val="22"/>
          <w:lang w:val="ro-RO"/>
        </w:rPr>
        <w:t>ă</w:t>
      </w:r>
    </w:p>
    <w:tbl>
      <w:tblPr>
        <w:tblW w:w="9632"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1020"/>
        <w:gridCol w:w="2832"/>
        <w:gridCol w:w="5780"/>
      </w:tblGrid>
      <w:tr>
        <w:trPr/>
        <w:tc>
          <w:tcPr>
            <w:tcW w:w="1020"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rFonts w:ascii="Times New Roman" w:hAnsi="Times New Roman"/>
                <w:bCs/>
                <w:color w:val="000000"/>
                <w:sz w:val="22"/>
                <w:szCs w:val="22"/>
                <w:lang w:val="ro-MD"/>
              </w:rPr>
            </w:pPr>
            <w:r>
              <w:rPr>
                <w:bCs/>
                <w:color w:val="000000"/>
                <w:sz w:val="22"/>
                <w:szCs w:val="22"/>
                <w:lang w:val="ro-MD"/>
              </w:rPr>
            </w:r>
          </w:p>
        </w:tc>
        <w:tc>
          <w:tcPr>
            <w:tcW w:w="2832"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MD"/>
              </w:rPr>
            </w:pPr>
            <w:r>
              <w:rPr>
                <w:bCs/>
                <w:i/>
                <w:color w:val="000000"/>
                <w:sz w:val="22"/>
                <w:szCs w:val="22"/>
                <w:lang w:val="ro-MD"/>
              </w:rPr>
              <w:t>Activit</w:t>
            </w:r>
            <w:r>
              <w:rPr>
                <w:rFonts w:cs="Times New Roman CE" w:ascii="Times New Roman CE" w:hAnsi="Times New Roman CE"/>
                <w:bCs/>
                <w:i/>
                <w:color w:val="000000"/>
                <w:sz w:val="22"/>
                <w:szCs w:val="22"/>
                <w:lang w:val="ro-MD"/>
              </w:rPr>
              <w:t>ă</w:t>
            </w:r>
            <w:r>
              <w:rPr>
                <w:rFonts w:cs="Cambria Math" w:ascii="Cambria Math" w:hAnsi="Cambria Math"/>
                <w:bCs/>
                <w:i/>
                <w:color w:val="000000"/>
                <w:sz w:val="22"/>
                <w:szCs w:val="22"/>
                <w:lang w:val="ro-MD"/>
              </w:rPr>
              <w:t>ț</w:t>
            </w:r>
            <w:r>
              <w:rPr>
                <w:bCs/>
                <w:i/>
                <w:color w:val="000000"/>
                <w:sz w:val="22"/>
                <w:szCs w:val="22"/>
                <w:lang w:val="ro-MD"/>
              </w:rPr>
              <w:t>i planificate</w:t>
            </w:r>
          </w:p>
        </w:tc>
        <w:tc>
          <w:tcPr>
            <w:tcW w:w="5780"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pPr>
            <w:r>
              <w:rPr>
                <w:bCs/>
                <w:i/>
                <w:color w:val="000000"/>
                <w:sz w:val="22"/>
                <w:szCs w:val="22"/>
                <w:lang w:val="ro-MD"/>
              </w:rPr>
              <w:t>Activit</w:t>
            </w:r>
            <w:r>
              <w:rPr>
                <w:rFonts w:cs="Times New Roman CE" w:ascii="Times New Roman CE" w:hAnsi="Times New Roman CE"/>
                <w:bCs/>
                <w:i/>
                <w:color w:val="000000"/>
                <w:sz w:val="22"/>
                <w:szCs w:val="22"/>
                <w:lang w:val="ro-MD"/>
              </w:rPr>
              <w:t>ă</w:t>
            </w:r>
            <w:r>
              <w:rPr>
                <w:rFonts w:cs="Cambria Math" w:ascii="Cambria Math" w:hAnsi="Cambria Math"/>
                <w:bCs/>
                <w:i/>
                <w:color w:val="000000"/>
                <w:sz w:val="22"/>
                <w:szCs w:val="22"/>
                <w:lang w:val="ro-MD"/>
              </w:rPr>
              <w:t>ț</w:t>
            </w:r>
            <w:r>
              <w:rPr>
                <w:bCs/>
                <w:i/>
                <w:color w:val="000000"/>
                <w:sz w:val="22"/>
                <w:szCs w:val="22"/>
                <w:lang w:val="ro-MD"/>
              </w:rPr>
              <w:t xml:space="preserve">i realizate </w:t>
            </w:r>
            <w:r>
              <w:rPr>
                <w:rFonts w:cs="Cambria Math" w:ascii="Cambria Math" w:hAnsi="Cambria Math"/>
                <w:bCs/>
                <w:i/>
                <w:color w:val="000000"/>
                <w:sz w:val="22"/>
                <w:szCs w:val="22"/>
                <w:lang w:val="ro-MD"/>
              </w:rPr>
              <w:t>ș</w:t>
            </w:r>
            <w:r>
              <w:rPr>
                <w:bCs/>
                <w:i/>
                <w:color w:val="000000"/>
                <w:sz w:val="22"/>
                <w:szCs w:val="22"/>
                <w:lang w:val="ro-MD"/>
              </w:rPr>
              <w:t>i rezultate noi ob</w:t>
            </w:r>
            <w:r>
              <w:rPr>
                <w:rFonts w:cs="Times New Roman CE" w:ascii="Times New Roman CE" w:hAnsi="Times New Roman CE"/>
                <w:bCs/>
                <w:i/>
                <w:color w:val="000000"/>
                <w:sz w:val="22"/>
                <w:szCs w:val="22"/>
                <w:lang w:val="ro-MD"/>
              </w:rPr>
              <w:t>ţ</w:t>
            </w:r>
            <w:r>
              <w:rPr>
                <w:bCs/>
                <w:i/>
                <w:color w:val="000000"/>
                <w:sz w:val="22"/>
                <w:szCs w:val="22"/>
                <w:lang w:val="ro-MD"/>
              </w:rPr>
              <w:t xml:space="preserve">inute </w:t>
            </w:r>
            <w:r>
              <w:rPr>
                <w:rFonts w:cs="Times New Roman CE" w:ascii="Times New Roman CE" w:hAnsi="Times New Roman CE"/>
                <w:bCs/>
                <w:i/>
                <w:color w:val="000000"/>
                <w:sz w:val="22"/>
                <w:szCs w:val="22"/>
                <w:lang w:val="ro-MD"/>
              </w:rPr>
              <w:t>î</w:t>
            </w:r>
            <w:r>
              <w:rPr>
                <w:bCs/>
                <w:i/>
                <w:color w:val="000000"/>
                <w:sz w:val="22"/>
                <w:szCs w:val="22"/>
                <w:lang w:val="ro-MD"/>
              </w:rPr>
              <w:t xml:space="preserve">n cadrul proiectului </w:t>
            </w:r>
          </w:p>
        </w:tc>
      </w:tr>
      <w:tr>
        <w:trPr/>
        <w:tc>
          <w:tcPr>
            <w:tcW w:w="1020"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both"/>
              <w:textAlignment w:val="auto"/>
              <w:rPr>
                <w:lang w:val="ro-MD"/>
              </w:rPr>
            </w:pPr>
            <w:r>
              <w:rPr>
                <w:i/>
                <w:color w:val="000000"/>
                <w:sz w:val="22"/>
                <w:szCs w:val="22"/>
                <w:lang w:val="ro-MD"/>
              </w:rPr>
              <w:t>1.</w:t>
            </w:r>
          </w:p>
        </w:tc>
        <w:tc>
          <w:tcPr>
            <w:tcW w:w="2832"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val="false"/>
              <w:tabs>
                <w:tab w:val="left" w:pos="720" w:leader="none"/>
              </w:tabs>
              <w:suppressAutoHyphens w:val="true"/>
              <w:bidi w:val="0"/>
              <w:ind w:left="0" w:right="0" w:hanging="0"/>
              <w:jc w:val="left"/>
              <w:textAlignment w:val="auto"/>
              <w:rPr>
                <w:lang w:val="ro-MD"/>
              </w:rPr>
            </w:pPr>
            <w:r>
              <w:rPr>
                <w:rFonts w:cs="Times New Roman CE" w:ascii="Times New Roman CE" w:hAnsi="Times New Roman CE"/>
                <w:i/>
                <w:sz w:val="22"/>
                <w:szCs w:val="22"/>
                <w:lang w:val="ro-MD"/>
              </w:rPr>
              <w:t>Elaborarea şi argumentarea teoretică a  algoritmilor pentru soluţionarea problemelor stocastice de control, problemelor  decizionale de tip Markov şi  problemelor din mecanică şi economie.</w:t>
            </w:r>
          </w:p>
          <w:p>
            <w:pPr>
              <w:pStyle w:val="Normal"/>
              <w:widowControl/>
              <w:bidi w:val="0"/>
              <w:ind w:left="0" w:right="0" w:hanging="0"/>
              <w:jc w:val="left"/>
              <w:textAlignment w:val="auto"/>
              <w:rPr>
                <w:rFonts w:ascii="Times New Roman" w:hAnsi="Times New Roman"/>
                <w:i/>
                <w:i/>
                <w:sz w:val="22"/>
                <w:szCs w:val="22"/>
                <w:lang w:val="es-ES"/>
              </w:rPr>
            </w:pPr>
            <w:r>
              <w:rPr>
                <w:i/>
                <w:sz w:val="22"/>
                <w:szCs w:val="22"/>
                <w:lang w:val="es-ES"/>
              </w:rPr>
            </w:r>
          </w:p>
          <w:p>
            <w:pPr>
              <w:pStyle w:val="Normal"/>
              <w:widowControl/>
              <w:bidi w:val="0"/>
              <w:ind w:left="0" w:right="0" w:hanging="0"/>
              <w:jc w:val="left"/>
              <w:textAlignment w:val="auto"/>
              <w:rPr>
                <w:lang w:val="es-ES"/>
              </w:rPr>
            </w:pPr>
            <w:r>
              <w:rPr>
                <w:rFonts w:cs="Times New Roman CE" w:ascii="Times New Roman CE" w:hAnsi="Times New Roman CE"/>
                <w:i/>
                <w:sz w:val="22"/>
                <w:szCs w:val="22"/>
                <w:lang w:val="es-ES"/>
              </w:rPr>
              <w:t xml:space="preserve">a) Argumentarea teoretică a algoritmilor numerici pentru soluţionarea problemelor stocastice dinamice  </w:t>
            </w:r>
            <w:r>
              <w:rPr>
                <w:rFonts w:cs="Times New Roman CE" w:ascii="Times New Roman CE" w:hAnsi="Times New Roman CE"/>
                <w:i/>
                <w:sz w:val="22"/>
                <w:szCs w:val="22"/>
                <w:lang w:val="ro-MD"/>
              </w:rPr>
              <w:t>ş</w:t>
            </w:r>
            <w:r>
              <w:rPr>
                <w:i/>
                <w:sz w:val="22"/>
                <w:szCs w:val="22"/>
                <w:lang w:val="es-ES"/>
              </w:rPr>
              <w:t>i  problemelor decizionale de tip Markov.</w:t>
            </w:r>
          </w:p>
          <w:p>
            <w:pPr>
              <w:pStyle w:val="Normal"/>
              <w:widowControl/>
              <w:bidi w:val="0"/>
              <w:ind w:left="0" w:right="0" w:hanging="0"/>
              <w:jc w:val="left"/>
              <w:textAlignment w:val="auto"/>
              <w:rPr>
                <w:rFonts w:ascii="Times New Roman" w:hAnsi="Times New Roman"/>
                <w:i/>
                <w:i/>
                <w:color w:val="000000"/>
                <w:sz w:val="22"/>
                <w:szCs w:val="22"/>
                <w:lang w:val="ro-MD"/>
              </w:rPr>
            </w:pPr>
            <w:r>
              <w:rPr>
                <w:i/>
                <w:color w:val="000000"/>
                <w:sz w:val="22"/>
                <w:szCs w:val="22"/>
                <w:lang w:val="ro-MD"/>
              </w:rPr>
            </w:r>
          </w:p>
          <w:p>
            <w:pPr>
              <w:pStyle w:val="Normal"/>
              <w:widowControl/>
              <w:bidi w:val="0"/>
              <w:ind w:left="0" w:right="0" w:hanging="0"/>
              <w:jc w:val="left"/>
              <w:textAlignment w:val="auto"/>
              <w:rPr>
                <w:lang w:val="en-US"/>
              </w:rPr>
            </w:pPr>
            <w:r>
              <w:rPr>
                <w:i/>
                <w:sz w:val="22"/>
                <w:szCs w:val="22"/>
                <w:lang w:val="en-US"/>
              </w:rPr>
              <w:t xml:space="preserve">b) Elaborarea metodelor </w:t>
            </w:r>
            <w:r>
              <w:rPr>
                <w:rFonts w:cs="Times New Roman CE" w:ascii="Times New Roman CE" w:hAnsi="Times New Roman CE"/>
                <w:i/>
                <w:sz w:val="22"/>
                <w:szCs w:val="22"/>
                <w:lang w:val="ro-MD"/>
              </w:rPr>
              <w:t>ş</w:t>
            </w:r>
            <w:r>
              <w:rPr>
                <w:i/>
                <w:sz w:val="22"/>
                <w:szCs w:val="22"/>
                <w:lang w:val="en-US"/>
              </w:rPr>
              <w:t>i  algoritmilor  numerici pentru problemele  teoriei a</w:t>
            </w:r>
            <w:r>
              <w:rPr>
                <w:rFonts w:cs="Times New Roman CE" w:ascii="Times New Roman CE" w:hAnsi="Times New Roman CE"/>
                <w:i/>
                <w:sz w:val="22"/>
                <w:szCs w:val="22"/>
                <w:lang w:val="ro-MD"/>
              </w:rPr>
              <w:t>ş</w:t>
            </w:r>
            <w:r>
              <w:rPr>
                <w:rFonts w:cs="Times New Roman CE" w:ascii="Times New Roman CE" w:hAnsi="Times New Roman CE"/>
                <w:i/>
                <w:sz w:val="22"/>
                <w:szCs w:val="22"/>
                <w:lang w:val="en-US"/>
              </w:rPr>
              <w:t>teptării, pro</w:t>
            </w:r>
            <w:r>
              <w:rPr>
                <w:i/>
                <w:sz w:val="22"/>
                <w:szCs w:val="22"/>
                <w:lang w:val="en-US"/>
              </w:rPr>
              <w:t>blemele</w:t>
            </w:r>
            <w:r>
              <w:rPr>
                <w:rFonts w:cs="Times New Roman CE" w:ascii="Times New Roman CE" w:hAnsi="Times New Roman CE"/>
                <w:i/>
                <w:sz w:val="22"/>
                <w:szCs w:val="22"/>
                <w:lang w:val="en-US"/>
              </w:rPr>
              <w:t xml:space="preserve"> din mecanică </w:t>
            </w:r>
            <w:r>
              <w:rPr>
                <w:rFonts w:cs="Times New Roman CE" w:ascii="Times New Roman CE" w:hAnsi="Times New Roman CE"/>
                <w:i/>
                <w:sz w:val="22"/>
                <w:szCs w:val="22"/>
                <w:lang w:val="ro-MD"/>
              </w:rPr>
              <w:t>ş</w:t>
            </w:r>
            <w:r>
              <w:rPr>
                <w:i/>
                <w:sz w:val="22"/>
                <w:szCs w:val="22"/>
                <w:lang w:val="en-US"/>
              </w:rPr>
              <w:t>i economie.</w:t>
            </w:r>
          </w:p>
        </w:tc>
        <w:tc>
          <w:tcPr>
            <w:tcW w:w="5780"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shd w:fill="FFFFFF"/>
              <w:bidi w:val="0"/>
              <w:ind w:left="0" w:right="0" w:hanging="0"/>
              <w:jc w:val="left"/>
              <w:textAlignment w:val="auto"/>
              <w:rPr>
                <w:lang w:val="ro-MD"/>
              </w:rPr>
            </w:pPr>
            <w:r>
              <w:rPr>
                <w:rFonts w:cs="Times New Roman CE" w:ascii="Times New Roman CE" w:hAnsi="Times New Roman CE"/>
                <w:i/>
                <w:sz w:val="22"/>
                <w:szCs w:val="22"/>
                <w:lang w:val="ro-MD"/>
              </w:rPr>
              <w:t>S-au elaborat şi teoretic s-au argumentat  noi metode ş</w:t>
            </w:r>
            <w:r>
              <w:rPr>
                <w:i/>
                <w:sz w:val="22"/>
                <w:szCs w:val="22"/>
                <w:lang w:val="ro-RO"/>
              </w:rPr>
              <w:t xml:space="preserve">i algoritmi numerici </w:t>
            </w:r>
            <w:r>
              <w:rPr>
                <w:rFonts w:cs="Times New Roman CE" w:ascii="Times New Roman CE" w:hAnsi="Times New Roman CE"/>
                <w:i/>
                <w:sz w:val="22"/>
                <w:szCs w:val="22"/>
                <w:lang w:val="ro-MD"/>
              </w:rPr>
              <w:t xml:space="preserve"> pentru soluţionarea problemelor stocastice de control, problemelor decizionale de tip Markov şi  problemelor din mecanică şi economie.</w:t>
            </w:r>
          </w:p>
          <w:p>
            <w:pPr>
              <w:pStyle w:val="Normal"/>
              <w:widowControl/>
              <w:shd w:fill="FFFFFF"/>
              <w:bidi w:val="0"/>
              <w:ind w:left="0" w:right="0" w:hanging="0"/>
              <w:jc w:val="left"/>
              <w:textAlignment w:val="auto"/>
              <w:rPr>
                <w:rFonts w:ascii="Times New Roman" w:hAnsi="Times New Roman"/>
                <w:i/>
                <w:i/>
                <w:sz w:val="22"/>
                <w:szCs w:val="22"/>
                <w:lang w:val="ro-MD"/>
              </w:rPr>
            </w:pPr>
            <w:r>
              <w:rPr>
                <w:i/>
                <w:sz w:val="22"/>
                <w:szCs w:val="22"/>
                <w:lang w:val="ro-MD"/>
              </w:rPr>
            </w:r>
          </w:p>
          <w:p>
            <w:pPr>
              <w:pStyle w:val="Normal"/>
              <w:widowControl/>
              <w:tabs>
                <w:tab w:val="left" w:pos="516" w:leader="none"/>
              </w:tabs>
              <w:bidi w:val="0"/>
              <w:ind w:left="0" w:right="0" w:hanging="0"/>
              <w:jc w:val="both"/>
              <w:textAlignment w:val="auto"/>
              <w:rPr>
                <w:lang w:val="ro-MD"/>
              </w:rPr>
            </w:pPr>
            <w:r>
              <w:rPr>
                <w:i/>
                <w:sz w:val="22"/>
                <w:szCs w:val="22"/>
                <w:lang w:val="ro-MD"/>
              </w:rPr>
              <w:tab/>
            </w:r>
          </w:p>
          <w:p>
            <w:pPr>
              <w:pStyle w:val="Normal"/>
              <w:widowControl/>
              <w:tabs>
                <w:tab w:val="left" w:pos="6462" w:leader="none"/>
              </w:tabs>
              <w:bidi w:val="0"/>
              <w:ind w:left="0" w:right="0" w:hanging="0"/>
              <w:jc w:val="both"/>
              <w:textAlignment w:val="auto"/>
              <w:rPr>
                <w:rFonts w:ascii="Times New Roman" w:hAnsi="Times New Roman"/>
                <w:i/>
                <w:i/>
                <w:sz w:val="22"/>
                <w:szCs w:val="22"/>
                <w:lang w:val="ro-RO"/>
              </w:rPr>
            </w:pPr>
            <w:r>
              <w:rPr>
                <w:i/>
                <w:sz w:val="22"/>
                <w:szCs w:val="22"/>
                <w:lang w:val="ro-RO"/>
              </w:rPr>
            </w:r>
          </w:p>
          <w:p>
            <w:pPr>
              <w:pStyle w:val="Normal"/>
              <w:widowControl/>
              <w:tabs>
                <w:tab w:val="left" w:pos="6462" w:leader="none"/>
              </w:tabs>
              <w:bidi w:val="0"/>
              <w:ind w:left="0" w:right="0" w:hanging="0"/>
              <w:jc w:val="both"/>
              <w:textAlignment w:val="auto"/>
              <w:rPr>
                <w:rFonts w:ascii="Times New Roman" w:hAnsi="Times New Roman"/>
                <w:i/>
                <w:i/>
                <w:sz w:val="22"/>
                <w:szCs w:val="22"/>
                <w:lang w:val="ro-MD"/>
              </w:rPr>
            </w:pPr>
            <w:r>
              <w:rPr>
                <w:i/>
                <w:sz w:val="22"/>
                <w:szCs w:val="22"/>
                <w:lang w:val="ro-MD"/>
              </w:rPr>
            </w:r>
          </w:p>
          <w:p>
            <w:pPr>
              <w:pStyle w:val="Normal"/>
              <w:widowControl/>
              <w:shd w:fill="FFFFFF"/>
              <w:bidi w:val="0"/>
              <w:ind w:left="0" w:right="0" w:hanging="0"/>
              <w:jc w:val="left"/>
              <w:textAlignment w:val="auto"/>
              <w:rPr>
                <w:lang w:val="es-ES"/>
              </w:rPr>
            </w:pPr>
            <w:r>
              <w:rPr>
                <w:i/>
                <w:sz w:val="22"/>
                <w:szCs w:val="22"/>
                <w:lang w:val="es-ES"/>
              </w:rPr>
              <w:t>a) S-au  ob</w:t>
            </w:r>
            <w:r>
              <w:rPr>
                <w:rFonts w:cs="Times New Roman CE" w:ascii="Times New Roman CE" w:hAnsi="Times New Roman CE"/>
                <w:i/>
                <w:sz w:val="22"/>
                <w:szCs w:val="22"/>
                <w:lang w:val="ro-MD"/>
              </w:rPr>
              <w:t>ţ</w:t>
            </w:r>
            <w:r>
              <w:rPr>
                <w:i/>
                <w:sz w:val="22"/>
                <w:szCs w:val="22"/>
                <w:lang w:val="es-ES"/>
              </w:rPr>
              <w:t>inut noi condi</w:t>
            </w:r>
            <w:r>
              <w:rPr>
                <w:rFonts w:cs="Times New Roman CE" w:ascii="Times New Roman CE" w:hAnsi="Times New Roman CE"/>
                <w:i/>
                <w:sz w:val="22"/>
                <w:szCs w:val="22"/>
                <w:lang w:val="ro-MD"/>
              </w:rPr>
              <w:t>ţ</w:t>
            </w:r>
            <w:r>
              <w:rPr>
                <w:i/>
                <w:sz w:val="22"/>
                <w:szCs w:val="22"/>
                <w:lang w:val="es-ES"/>
              </w:rPr>
              <w:t xml:space="preserve">ii necesare </w:t>
            </w:r>
            <w:r>
              <w:rPr>
                <w:rFonts w:cs="Times New Roman CE" w:ascii="Times New Roman CE" w:hAnsi="Times New Roman CE"/>
                <w:i/>
                <w:sz w:val="22"/>
                <w:szCs w:val="22"/>
                <w:lang w:val="ro-MD"/>
              </w:rPr>
              <w:t>ş</w:t>
            </w:r>
            <w:r>
              <w:rPr>
                <w:i/>
                <w:sz w:val="22"/>
                <w:szCs w:val="22"/>
                <w:lang w:val="es-ES"/>
              </w:rPr>
              <w:t>i suficiente de existen</w:t>
            </w:r>
            <w:r>
              <w:rPr>
                <w:rFonts w:cs="Times New Roman CE" w:ascii="Times New Roman CE" w:hAnsi="Times New Roman CE"/>
                <w:i/>
                <w:sz w:val="22"/>
                <w:szCs w:val="22"/>
                <w:lang w:val="ro-MD"/>
              </w:rPr>
              <w:t>ţ</w:t>
            </w:r>
            <w:r>
              <w:rPr>
                <w:rFonts w:cs="Times New Roman CE" w:ascii="Times New Roman CE" w:hAnsi="Times New Roman CE"/>
                <w:i/>
                <w:sz w:val="22"/>
                <w:szCs w:val="22"/>
                <w:lang w:val="es-ES"/>
              </w:rPr>
              <w:t xml:space="preserve">ă </w:t>
            </w:r>
            <w:r>
              <w:rPr>
                <w:i/>
                <w:sz w:val="22"/>
                <w:szCs w:val="22"/>
                <w:lang w:val="es-ES"/>
              </w:rPr>
              <w:t>a solu</w:t>
            </w:r>
            <w:r>
              <w:rPr>
                <w:rFonts w:cs="Times New Roman CE" w:ascii="Times New Roman CE" w:hAnsi="Times New Roman CE"/>
                <w:i/>
                <w:sz w:val="22"/>
                <w:szCs w:val="22"/>
                <w:lang w:val="ro-MD"/>
              </w:rPr>
              <w:t>ţ</w:t>
            </w:r>
            <w:r>
              <w:rPr>
                <w:i/>
                <w:sz w:val="22"/>
                <w:szCs w:val="22"/>
                <w:lang w:val="es-ES"/>
              </w:rPr>
              <w:t xml:space="preserve">iilor pentru problemele stocastice de control optimal, problemele </w:t>
            </w:r>
            <w:r>
              <w:rPr>
                <w:rFonts w:cs="Times New Roman CE" w:ascii="Times New Roman CE" w:hAnsi="Times New Roman CE"/>
                <w:i/>
                <w:sz w:val="22"/>
                <w:szCs w:val="22"/>
                <w:lang w:val="es-ES"/>
              </w:rPr>
              <w:t>de servire cu priorită</w:t>
            </w:r>
            <w:r>
              <w:rPr>
                <w:rFonts w:cs="Times New Roman CE" w:ascii="Times New Roman CE" w:hAnsi="Times New Roman CE"/>
                <w:i/>
                <w:sz w:val="22"/>
                <w:szCs w:val="22"/>
                <w:lang w:val="ro-MD"/>
              </w:rPr>
              <w:t>ţ</w:t>
            </w:r>
            <w:r>
              <w:rPr>
                <w:i/>
                <w:sz w:val="22"/>
                <w:szCs w:val="22"/>
                <w:lang w:val="es-ES"/>
              </w:rPr>
              <w:t xml:space="preserve">i,  problemele decizionale de tip Markov </w:t>
            </w:r>
            <w:r>
              <w:rPr>
                <w:rFonts w:cs="Times New Roman CE" w:ascii="Times New Roman CE" w:hAnsi="Times New Roman CE"/>
                <w:i/>
                <w:sz w:val="22"/>
                <w:szCs w:val="22"/>
                <w:lang w:val="ro-MD"/>
              </w:rPr>
              <w:t>ş</w:t>
            </w:r>
            <w:r>
              <w:rPr>
                <w:i/>
                <w:sz w:val="22"/>
                <w:szCs w:val="22"/>
                <w:lang w:val="es-ES"/>
              </w:rPr>
              <w:t xml:space="preserve">i semi-Markov. S-au elaborat </w:t>
            </w:r>
            <w:r>
              <w:rPr>
                <w:rFonts w:cs="Times New Roman CE" w:ascii="Times New Roman CE" w:hAnsi="Times New Roman CE"/>
                <w:i/>
                <w:sz w:val="22"/>
                <w:szCs w:val="22"/>
                <w:lang w:val="ro-MD"/>
              </w:rPr>
              <w:t>ş</w:t>
            </w:r>
            <w:r>
              <w:rPr>
                <w:i/>
                <w:sz w:val="22"/>
                <w:szCs w:val="22"/>
                <w:lang w:val="es-ES"/>
              </w:rPr>
              <w:t>i teoretic s-au argumentat algoritmi numerici de aflare a solu</w:t>
            </w:r>
            <w:r>
              <w:rPr>
                <w:rFonts w:cs="Times New Roman CE" w:ascii="Times New Roman CE" w:hAnsi="Times New Roman CE"/>
                <w:i/>
                <w:sz w:val="22"/>
                <w:szCs w:val="22"/>
                <w:lang w:val="ro-MD"/>
              </w:rPr>
              <w:t>ţ</w:t>
            </w:r>
            <w:r>
              <w:rPr>
                <w:i/>
                <w:sz w:val="22"/>
                <w:szCs w:val="22"/>
                <w:lang w:val="es-ES"/>
              </w:rPr>
              <w:t>iilor optime, baza</w:t>
            </w:r>
            <w:r>
              <w:rPr>
                <w:rFonts w:cs="Times New Roman CE" w:ascii="Times New Roman CE" w:hAnsi="Times New Roman CE"/>
                <w:i/>
                <w:sz w:val="22"/>
                <w:szCs w:val="22"/>
                <w:lang w:val="ro-MD"/>
              </w:rPr>
              <w:t>ţ</w:t>
            </w:r>
            <w:r>
              <w:rPr>
                <w:i/>
                <w:sz w:val="22"/>
                <w:szCs w:val="22"/>
                <w:lang w:val="es-ES"/>
              </w:rPr>
              <w:t>i pe metode clasice de optimizare.</w:t>
            </w:r>
          </w:p>
          <w:p>
            <w:pPr>
              <w:pStyle w:val="Normal"/>
              <w:widowControl/>
              <w:tabs>
                <w:tab w:val="left" w:pos="6462" w:leader="none"/>
              </w:tabs>
              <w:bidi w:val="0"/>
              <w:ind w:left="0" w:right="0" w:hanging="0"/>
              <w:jc w:val="both"/>
              <w:textAlignment w:val="auto"/>
              <w:rPr>
                <w:rFonts w:ascii="Times New Roman" w:hAnsi="Times New Roman"/>
                <w:i/>
                <w:i/>
                <w:sz w:val="22"/>
                <w:szCs w:val="22"/>
                <w:lang w:val="es-ES"/>
              </w:rPr>
            </w:pPr>
            <w:r>
              <w:rPr>
                <w:i/>
                <w:sz w:val="22"/>
                <w:szCs w:val="22"/>
                <w:lang w:val="es-ES"/>
              </w:rPr>
            </w:r>
          </w:p>
          <w:p>
            <w:pPr>
              <w:pStyle w:val="Normal"/>
              <w:widowControl/>
              <w:tabs>
                <w:tab w:val="left" w:pos="6462" w:leader="none"/>
              </w:tabs>
              <w:bidi w:val="0"/>
              <w:ind w:left="0" w:right="0" w:hanging="0"/>
              <w:jc w:val="both"/>
              <w:textAlignment w:val="auto"/>
              <w:rPr>
                <w:lang w:val="es-ES"/>
              </w:rPr>
            </w:pPr>
            <w:r>
              <w:rPr>
                <w:i/>
                <w:sz w:val="22"/>
                <w:szCs w:val="22"/>
                <w:lang w:val="es-ES"/>
              </w:rPr>
              <w:t xml:space="preserve">b) S-au  elaborat </w:t>
            </w:r>
            <w:r>
              <w:rPr>
                <w:rFonts w:cs="Times New Roman CE" w:ascii="Times New Roman CE" w:hAnsi="Times New Roman CE"/>
                <w:i/>
                <w:sz w:val="22"/>
                <w:szCs w:val="22"/>
                <w:lang w:val="ro-MD"/>
              </w:rPr>
              <w:t>ş</w:t>
            </w:r>
            <w:r>
              <w:rPr>
                <w:i/>
                <w:sz w:val="22"/>
                <w:szCs w:val="22"/>
                <w:lang w:val="es-ES"/>
              </w:rPr>
              <w:t xml:space="preserve">i s-au argumentat noi metode analitice </w:t>
            </w:r>
            <w:r>
              <w:rPr>
                <w:rFonts w:cs="Times New Roman CE" w:ascii="Times New Roman CE" w:hAnsi="Times New Roman CE"/>
                <w:i/>
                <w:sz w:val="22"/>
                <w:szCs w:val="22"/>
                <w:lang w:val="ro-MD"/>
              </w:rPr>
              <w:t>ş</w:t>
            </w:r>
            <w:r>
              <w:rPr>
                <w:i/>
                <w:sz w:val="22"/>
                <w:szCs w:val="22"/>
                <w:lang w:val="es-ES"/>
              </w:rPr>
              <w:t>i numerice pentru solu</w:t>
            </w:r>
            <w:r>
              <w:rPr>
                <w:rFonts w:cs="Times New Roman CE" w:ascii="Times New Roman CE" w:hAnsi="Times New Roman CE"/>
                <w:i/>
                <w:sz w:val="22"/>
                <w:szCs w:val="22"/>
                <w:lang w:val="ro-MD"/>
              </w:rPr>
              <w:t>ţ</w:t>
            </w:r>
            <w:r>
              <w:rPr>
                <w:rFonts w:cs="Times New Roman CE" w:ascii="Times New Roman CE" w:hAnsi="Times New Roman CE"/>
                <w:i/>
                <w:sz w:val="22"/>
                <w:szCs w:val="22"/>
                <w:lang w:val="es-ES"/>
              </w:rPr>
              <w:t xml:space="preserve">ionarea problemelor teoriei aşteptării, problemelor  din mecanică  </w:t>
            </w:r>
            <w:r>
              <w:rPr>
                <w:rFonts w:cs="Times New Roman CE" w:ascii="Times New Roman CE" w:hAnsi="Times New Roman CE"/>
                <w:i/>
                <w:sz w:val="22"/>
                <w:szCs w:val="22"/>
                <w:lang w:val="ro-MD"/>
              </w:rPr>
              <w:t>ş</w:t>
            </w:r>
            <w:r>
              <w:rPr>
                <w:i/>
                <w:sz w:val="22"/>
                <w:szCs w:val="22"/>
                <w:lang w:val="es-ES"/>
              </w:rPr>
              <w:t>i economie. A fost ob</w:t>
            </w:r>
            <w:r>
              <w:rPr>
                <w:rFonts w:cs="Times New Roman CE" w:ascii="Times New Roman CE" w:hAnsi="Times New Roman CE"/>
                <w:i/>
                <w:sz w:val="22"/>
                <w:szCs w:val="22"/>
                <w:lang w:val="ro-MD"/>
              </w:rPr>
              <w:t>ţ</w:t>
            </w:r>
            <w:r>
              <w:rPr>
                <w:rFonts w:cs="Times New Roman CE" w:ascii="Times New Roman CE" w:hAnsi="Times New Roman CE"/>
                <w:i/>
                <w:sz w:val="22"/>
                <w:szCs w:val="22"/>
                <w:lang w:val="es-ES"/>
              </w:rPr>
              <w:t>inută ecua</w:t>
            </w:r>
            <w:r>
              <w:rPr>
                <w:rFonts w:cs="Times New Roman CE" w:ascii="Times New Roman CE" w:hAnsi="Times New Roman CE"/>
                <w:i/>
                <w:sz w:val="22"/>
                <w:szCs w:val="22"/>
                <w:lang w:val="ro-MD"/>
              </w:rPr>
              <w:t>ţ</w:t>
            </w:r>
            <w:r>
              <w:rPr>
                <w:rFonts w:cs="Times New Roman CE" w:ascii="Times New Roman CE" w:hAnsi="Times New Roman CE"/>
                <w:i/>
                <w:sz w:val="22"/>
                <w:szCs w:val="22"/>
                <w:lang w:val="es-ES"/>
              </w:rPr>
              <w:t>ia integrală pentru densitatea de tranzi</w:t>
            </w:r>
            <w:r>
              <w:rPr>
                <w:rFonts w:cs="Times New Roman CE" w:ascii="Times New Roman CE" w:hAnsi="Times New Roman CE"/>
                <w:i/>
                <w:sz w:val="22"/>
                <w:szCs w:val="22"/>
                <w:lang w:val="ro-MD"/>
              </w:rPr>
              <w:t>ţ</w:t>
            </w:r>
            <w:r>
              <w:rPr>
                <w:i/>
                <w:sz w:val="22"/>
                <w:szCs w:val="22"/>
                <w:lang w:val="es-ES"/>
              </w:rPr>
              <w:t>ie a evolu</w:t>
            </w:r>
            <w:r>
              <w:rPr>
                <w:rFonts w:cs="Times New Roman CE" w:ascii="Times New Roman CE" w:hAnsi="Times New Roman CE"/>
                <w:i/>
                <w:sz w:val="22"/>
                <w:szCs w:val="22"/>
                <w:lang w:val="ro-MD"/>
              </w:rPr>
              <w:t>ţ</w:t>
            </w:r>
            <w:r>
              <w:rPr>
                <w:i/>
                <w:sz w:val="22"/>
                <w:szCs w:val="22"/>
                <w:lang w:val="es-ES"/>
              </w:rPr>
              <w:t>iei markoviene aleatoare multidimensionale.</w:t>
            </w:r>
          </w:p>
        </w:tc>
      </w:tr>
    </w:tbl>
    <w:p>
      <w:pPr>
        <w:pStyle w:val="Normal"/>
        <w:widowControl/>
        <w:numPr>
          <w:ilvl w:val="0"/>
          <w:numId w:val="26"/>
        </w:numPr>
        <w:tabs>
          <w:tab w:val="left" w:pos="180" w:leader="none"/>
        </w:tabs>
        <w:bidi w:val="0"/>
        <w:ind w:left="180" w:right="0" w:hanging="0"/>
        <w:jc w:val="left"/>
        <w:textAlignment w:val="auto"/>
        <w:rPr>
          <w:lang w:val="ro-MD"/>
        </w:rPr>
      </w:pPr>
      <w:r>
        <w:rPr>
          <w:rFonts w:cs="Times New Roman CE" w:ascii="Times New Roman CE" w:hAnsi="Times New Roman CE"/>
          <w:bCs/>
          <w:sz w:val="22"/>
          <w:szCs w:val="22"/>
          <w:lang w:val="ro-MD"/>
        </w:rPr>
        <w:t xml:space="preserve">Lista lucrărilor </w:t>
      </w:r>
      <w:r>
        <w:rPr>
          <w:rFonts w:cs="Cambria Math" w:ascii="Cambria Math" w:hAnsi="Cambria Math"/>
          <w:bCs/>
          <w:sz w:val="22"/>
          <w:szCs w:val="22"/>
          <w:lang w:val="ro-MD"/>
        </w:rPr>
        <w:t>ș</w:t>
      </w:r>
      <w:r>
        <w:rPr>
          <w:bCs/>
          <w:sz w:val="22"/>
          <w:szCs w:val="22"/>
          <w:lang w:val="ro-MD"/>
        </w:rPr>
        <w:t>tiin</w:t>
      </w:r>
      <w:r>
        <w:rPr>
          <w:rFonts w:cs="Cambria Math" w:ascii="Cambria Math" w:hAnsi="Cambria Math"/>
          <w:bCs/>
          <w:sz w:val="22"/>
          <w:szCs w:val="22"/>
          <w:lang w:val="ro-MD"/>
        </w:rPr>
        <w:t>ț</w:t>
      </w:r>
      <w:r>
        <w:rPr>
          <w:rFonts w:cs="Times New Roman CE" w:ascii="Times New Roman CE" w:hAnsi="Times New Roman CE"/>
          <w:bCs/>
          <w:sz w:val="22"/>
          <w:szCs w:val="22"/>
          <w:lang w:val="ro-MD"/>
        </w:rPr>
        <w:t>ifice (monografii, articole, obiecte de proprietate intelectuală) cu referin</w:t>
      </w:r>
      <w:r>
        <w:rPr>
          <w:rFonts w:cs="Cambria Math" w:ascii="Cambria Math" w:hAnsi="Cambria Math"/>
          <w:bCs/>
          <w:sz w:val="22"/>
          <w:szCs w:val="22"/>
          <w:lang w:val="ro-MD"/>
        </w:rPr>
        <w:t>ț</w:t>
      </w:r>
      <w:r>
        <w:rPr>
          <w:rFonts w:cs="Times New Roman CE" w:ascii="Times New Roman CE" w:hAnsi="Times New Roman CE"/>
          <w:bCs/>
          <w:sz w:val="22"/>
          <w:szCs w:val="22"/>
          <w:lang w:val="ro-MD"/>
        </w:rPr>
        <w:t>ă la proiectul dat pe anul 201</w:t>
      </w:r>
      <w:r>
        <w:rPr>
          <w:bCs/>
          <w:sz w:val="22"/>
          <w:szCs w:val="22"/>
          <w:lang w:val="ro-MD"/>
        </w:rPr>
        <w:t>6</w:t>
      </w:r>
      <w:r>
        <w:rPr>
          <w:rStyle w:val="Strong"/>
          <w:rFonts w:cs="Calibri"/>
          <w:b w:val="false"/>
          <w:i/>
          <w:sz w:val="22"/>
          <w:szCs w:val="22"/>
          <w:lang w:val="ro-MD" w:eastAsia="ru-RU" w:bidi="ar-SA"/>
        </w:rPr>
        <w:t xml:space="preserve"> </w:t>
      </w:r>
    </w:p>
    <w:tbl>
      <w:tblPr>
        <w:tblW w:w="9639" w:type="dxa"/>
        <w:jc w:val="left"/>
        <w:tblInd w:w="567" w:type="dxa"/>
        <w:tblBorders>
          <w:top w:val="dotted" w:sz="4" w:space="0" w:color="000001"/>
          <w:left w:val="dotted" w:sz="4" w:space="0" w:color="000001"/>
          <w:bottom w:val="dotted" w:sz="4" w:space="0" w:color="000001"/>
          <w:right w:val="dotted" w:sz="4" w:space="0" w:color="000001"/>
          <w:insideH w:val="dotted" w:sz="4" w:space="0" w:color="000001"/>
          <w:insideV w:val="dotted" w:sz="4" w:space="0" w:color="000001"/>
        </w:tblBorders>
        <w:tblCellMar>
          <w:top w:w="0" w:type="dxa"/>
          <w:left w:w="103" w:type="dxa"/>
          <w:bottom w:w="0" w:type="dxa"/>
          <w:right w:w="108" w:type="dxa"/>
        </w:tblCellMar>
      </w:tblPr>
      <w:tblGrid>
        <w:gridCol w:w="9639"/>
      </w:tblGrid>
      <w:tr>
        <w:trPr/>
        <w:tc>
          <w:tcPr>
            <w:tcW w:w="9639" w:type="dxa"/>
            <w:tcBorders>
              <w:top w:val="dotted" w:sz="4" w:space="0" w:color="000001"/>
              <w:left w:val="dotted" w:sz="4" w:space="0" w:color="000001"/>
              <w:bottom w:val="dotted" w:sz="4" w:space="0" w:color="000001"/>
              <w:right w:val="dotted" w:sz="4" w:space="0" w:color="000001"/>
              <w:insideH w:val="dotted" w:sz="4" w:space="0" w:color="000001"/>
              <w:insideV w:val="dotted" w:sz="4" w:space="0" w:color="000001"/>
            </w:tcBorders>
            <w:shd w:fill="auto" w:val="clear"/>
            <w:tcMar>
              <w:left w:w="103" w:type="dxa"/>
            </w:tcMar>
          </w:tcPr>
          <w:p>
            <w:pPr>
              <w:pStyle w:val="Normal"/>
              <w:widowControl/>
              <w:tabs>
                <w:tab w:val="left" w:pos="6237" w:leader="none"/>
                <w:tab w:val="left" w:pos="6521" w:leader="none"/>
              </w:tabs>
              <w:bidi w:val="0"/>
              <w:spacing w:lineRule="exact" w:line="280"/>
              <w:ind w:left="0" w:right="0" w:hanging="0"/>
              <w:jc w:val="both"/>
              <w:textAlignment w:val="auto"/>
              <w:rPr>
                <w:lang w:val="ro-RO"/>
              </w:rPr>
            </w:pPr>
            <w:r>
              <w:rPr>
                <w:b/>
                <w:bCs/>
                <w:color w:val="000000"/>
                <w:sz w:val="22"/>
                <w:szCs w:val="22"/>
                <w:lang w:val="ro-RO"/>
              </w:rPr>
              <w:t>Lista lu</w:t>
            </w:r>
            <w:r>
              <w:rPr>
                <w:rFonts w:cs="Times New Roman CE" w:ascii="Times New Roman CE" w:hAnsi="Times New Roman CE"/>
                <w:b/>
                <w:bCs/>
                <w:color w:val="000000"/>
                <w:sz w:val="22"/>
                <w:szCs w:val="22"/>
                <w:lang w:val="ro-RO"/>
              </w:rPr>
              <w:t>crărilor apărute în edituri străine:</w:t>
            </w:r>
          </w:p>
          <w:p>
            <w:pPr>
              <w:pStyle w:val="Normal"/>
              <w:widowControl/>
              <w:bidi w:val="0"/>
              <w:ind w:left="0" w:right="0" w:hanging="0"/>
              <w:jc w:val="both"/>
              <w:textAlignment w:val="auto"/>
              <w:rPr>
                <w:lang w:val="ro-RO"/>
              </w:rPr>
            </w:pPr>
            <w:r>
              <w:rPr>
                <w:b/>
                <w:bCs/>
                <w:i/>
                <w:color w:val="000000"/>
                <w:sz w:val="22"/>
                <w:szCs w:val="22"/>
                <w:lang w:val="ro-RO"/>
              </w:rPr>
              <w:t>Articole din reviste cu</w:t>
            </w:r>
            <w:r>
              <w:rPr>
                <w:b/>
                <w:bCs/>
                <w:i/>
                <w:sz w:val="22"/>
                <w:szCs w:val="22"/>
                <w:lang w:val="ro-RO"/>
              </w:rPr>
              <w:t xml:space="preserve"> factor de impact:</w:t>
            </w:r>
            <w:r>
              <w:rPr>
                <w:b/>
                <w:i/>
                <w:color w:val="000000"/>
                <w:sz w:val="22"/>
                <w:szCs w:val="22"/>
                <w:lang w:val="ro-RO"/>
              </w:rPr>
              <w:t xml:space="preserve">    1,0-2,9</w:t>
            </w:r>
          </w:p>
          <w:p>
            <w:pPr>
              <w:pStyle w:val="Normal"/>
              <w:widowControl/>
              <w:numPr>
                <w:ilvl w:val="0"/>
                <w:numId w:val="52"/>
              </w:numPr>
              <w:suppressAutoHyphens w:val="true"/>
              <w:bidi w:val="0"/>
              <w:spacing w:before="0" w:after="60"/>
              <w:ind w:left="363" w:right="0" w:hanging="340"/>
              <w:jc w:val="both"/>
              <w:textAlignment w:val="auto"/>
              <w:rPr>
                <w:lang w:val="en-US"/>
              </w:rPr>
            </w:pPr>
            <w:r>
              <w:rPr>
                <w:rFonts w:cs="Times New Roman CE" w:ascii="Times New Roman CE" w:hAnsi="Times New Roman CE"/>
                <w:color w:val="131413"/>
                <w:sz w:val="22"/>
                <w:szCs w:val="22"/>
                <w:lang w:val="en-US"/>
              </w:rPr>
              <w:t xml:space="preserve">ŞEREMET, V. A method to derive thermoelastic Green’s functions for bounded domains (on examples of two-dimensional problems for parallelepipeds), </w:t>
            </w:r>
            <w:r>
              <w:rPr>
                <w:i/>
                <w:color w:val="131413"/>
                <w:sz w:val="22"/>
                <w:szCs w:val="22"/>
                <w:lang w:val="en-US"/>
              </w:rPr>
              <w:t>Journal Acta Mechanica</w:t>
            </w:r>
            <w:r>
              <w:rPr>
                <w:color w:val="131413"/>
                <w:sz w:val="22"/>
                <w:szCs w:val="22"/>
                <w:lang w:val="en-US"/>
              </w:rPr>
              <w:t>, 2016, pp.18, doi:10.1007/s00707-016-1680-8 Springer, ISSN: 0001-5970. (IF: 1.694).</w:t>
            </w:r>
          </w:p>
          <w:p>
            <w:pPr>
              <w:pStyle w:val="Normal"/>
              <w:widowControl/>
              <w:numPr>
                <w:ilvl w:val="0"/>
                <w:numId w:val="52"/>
              </w:numPr>
              <w:suppressAutoHyphens w:val="true"/>
              <w:bidi w:val="0"/>
              <w:spacing w:before="0" w:after="60"/>
              <w:ind w:left="363" w:right="0" w:hanging="340"/>
              <w:jc w:val="both"/>
              <w:textAlignment w:val="auto"/>
              <w:rPr>
                <w:lang w:val="en-US"/>
              </w:rPr>
            </w:pPr>
            <w:r>
              <w:rPr>
                <w:rFonts w:cs="Times New Roman CE" w:ascii="Times New Roman CE" w:hAnsi="Times New Roman CE"/>
                <w:color w:val="131413"/>
                <w:sz w:val="22"/>
                <w:szCs w:val="22"/>
                <w:lang w:val="en-US"/>
              </w:rPr>
              <w:t xml:space="preserve">ŞEREMET, V. Steady-state Green’s functions for thermal stresses within rectangular region under point heat source, </w:t>
            </w:r>
            <w:r>
              <w:rPr>
                <w:i/>
                <w:color w:val="131413"/>
                <w:sz w:val="22"/>
                <w:szCs w:val="22"/>
                <w:lang w:val="en-US"/>
              </w:rPr>
              <w:t>Journal of Thermal Stresses</w:t>
            </w:r>
            <w:r>
              <w:rPr>
                <w:color w:val="131413"/>
                <w:sz w:val="22"/>
                <w:szCs w:val="22"/>
                <w:lang w:val="en-US"/>
              </w:rPr>
              <w:t>,  2016, 39 (8), 906-927; Publisher: Taylor&amp;Francis. ISSN: 0149-5739 (Print). (IF: 1.211).</w:t>
            </w:r>
          </w:p>
          <w:p>
            <w:pPr>
              <w:pStyle w:val="Normal"/>
              <w:widowControl/>
              <w:numPr>
                <w:ilvl w:val="0"/>
                <w:numId w:val="52"/>
              </w:numPr>
              <w:suppressAutoHyphens w:val="true"/>
              <w:bidi w:val="0"/>
              <w:spacing w:before="0" w:after="60"/>
              <w:ind w:left="363" w:right="0" w:hanging="340"/>
              <w:jc w:val="both"/>
              <w:textAlignment w:val="auto"/>
              <w:rPr/>
            </w:pPr>
            <w:r>
              <w:rPr>
                <w:rFonts w:cs="Times New Roman CE" w:ascii="Times New Roman CE" w:hAnsi="Times New Roman CE"/>
                <w:color w:val="131413"/>
                <w:sz w:val="22"/>
                <w:szCs w:val="22"/>
                <w:lang w:val="en-US"/>
              </w:rPr>
              <w:t xml:space="preserve">ŞEREMET, V. </w:t>
            </w:r>
            <w:hyperlink r:id="rId15">
              <w:r>
                <w:rPr>
                  <w:webHidden/>
                  <w:rStyle w:val="Style5"/>
                  <w:color w:val="131413"/>
                  <w:sz w:val="22"/>
                  <w:szCs w:val="22"/>
                  <w:lang w:val="en-US"/>
                </w:rPr>
                <w:t>Method to derive thermoelastic Green’s functions for cylindrical domains</w:t>
              </w:r>
            </w:hyperlink>
            <w:r>
              <w:rPr>
                <w:color w:val="131413"/>
                <w:sz w:val="22"/>
                <w:szCs w:val="22"/>
                <w:lang w:val="en-US"/>
              </w:rPr>
              <w:t xml:space="preserve"> 2016, </w:t>
            </w:r>
            <w:r>
              <w:rPr>
                <w:i/>
                <w:color w:val="131413"/>
                <w:sz w:val="22"/>
                <w:szCs w:val="22"/>
                <w:lang w:val="en-US"/>
              </w:rPr>
              <w:t>Journal of</w:t>
            </w:r>
            <w:r>
              <w:rPr>
                <w:i/>
                <w:color w:val="333333"/>
                <w:sz w:val="22"/>
                <w:szCs w:val="22"/>
                <w:lang w:val="ro-RO"/>
              </w:rPr>
              <w:t xml:space="preserve"> Thermal Stresses</w:t>
            </w:r>
            <w:r>
              <w:rPr>
                <w:color w:val="333333"/>
                <w:sz w:val="22"/>
                <w:szCs w:val="22"/>
                <w:lang w:val="ro-RO"/>
              </w:rPr>
              <w:t>, 2016</w:t>
            </w:r>
            <w:r>
              <w:rPr>
                <w:sz w:val="22"/>
                <w:szCs w:val="22"/>
                <w:lang w:val="en-US"/>
              </w:rPr>
              <w:t>, pp.13, DOI: 10.1080/01495739.2016.1237266. (IF: 1.211).</w:t>
            </w:r>
          </w:p>
          <w:p>
            <w:pPr>
              <w:pStyle w:val="Normal"/>
              <w:widowControl/>
              <w:bidi w:val="0"/>
              <w:spacing w:before="0" w:after="60"/>
              <w:ind w:left="0" w:right="0" w:hanging="0"/>
              <w:jc w:val="both"/>
              <w:textAlignment w:val="auto"/>
              <w:rPr>
                <w:lang w:val="ro-RO"/>
              </w:rPr>
            </w:pPr>
            <w:r>
              <w:rPr>
                <w:b/>
                <w:bCs/>
                <w:i/>
                <w:color w:val="000000"/>
                <w:sz w:val="22"/>
                <w:szCs w:val="22"/>
                <w:lang w:val="ro-RO"/>
              </w:rPr>
              <w:t>Articole din reviste cu</w:t>
            </w:r>
            <w:r>
              <w:rPr>
                <w:b/>
                <w:bCs/>
                <w:i/>
                <w:sz w:val="22"/>
                <w:szCs w:val="22"/>
                <w:lang w:val="ro-RO"/>
              </w:rPr>
              <w:t xml:space="preserve"> factor de impact:</w:t>
            </w:r>
            <w:r>
              <w:rPr>
                <w:b/>
                <w:i/>
                <w:color w:val="000000"/>
                <w:sz w:val="22"/>
                <w:szCs w:val="22"/>
                <w:lang w:val="ro-RO"/>
              </w:rPr>
              <w:t xml:space="preserve">    0,1-0,9</w:t>
            </w:r>
          </w:p>
          <w:p>
            <w:pPr>
              <w:pStyle w:val="Normal"/>
              <w:widowControl/>
              <w:numPr>
                <w:ilvl w:val="0"/>
                <w:numId w:val="57"/>
              </w:numPr>
              <w:tabs>
                <w:tab w:val="left" w:pos="360" w:leader="none"/>
              </w:tabs>
              <w:suppressAutoHyphens w:val="true"/>
              <w:bidi w:val="0"/>
              <w:spacing w:before="0" w:after="60"/>
              <w:ind w:left="360" w:right="0" w:hanging="360"/>
              <w:jc w:val="both"/>
              <w:textAlignment w:val="auto"/>
              <w:rPr/>
            </w:pPr>
            <w:r>
              <w:rPr>
                <w:color w:val="131413"/>
                <w:sz w:val="22"/>
                <w:szCs w:val="22"/>
                <w:lang w:val="en-US"/>
              </w:rPr>
              <w:t xml:space="preserve">BOGATENCOV, P.; SECRIERU, G.; DEGTEARIOV, N.; ILIUHA, N. Scientific computing infrastructure and services services in Moldova. Springer Link, </w:t>
            </w:r>
            <w:r>
              <w:rPr>
                <w:i/>
                <w:color w:val="131413"/>
                <w:sz w:val="22"/>
                <w:szCs w:val="22"/>
                <w:lang w:val="en-US"/>
              </w:rPr>
              <w:t xml:space="preserve">Journal </w:t>
            </w:r>
            <w:hyperlink r:id="rId16">
              <w:r>
                <w:rPr>
                  <w:webHidden/>
                  <w:rStyle w:val="Style5"/>
                  <w:i/>
                  <w:color w:val="131413"/>
                  <w:sz w:val="22"/>
                  <w:szCs w:val="22"/>
                  <w:lang w:val="en-US"/>
                </w:rPr>
                <w:t>Physics of Particles and Nuclei Letters</w:t>
              </w:r>
            </w:hyperlink>
            <w:r>
              <w:rPr>
                <w:color w:val="131413"/>
                <w:sz w:val="22"/>
                <w:szCs w:val="22"/>
                <w:lang w:val="en-US"/>
              </w:rPr>
              <w:t>, September 2016,  vol. 13(</w:t>
            </w:r>
            <w:hyperlink r:id="rId17">
              <w:r>
                <w:rPr>
                  <w:webHidden/>
                  <w:rStyle w:val="Style5"/>
                  <w:color w:val="131413"/>
                  <w:sz w:val="22"/>
                  <w:szCs w:val="22"/>
                  <w:lang w:val="en-US"/>
                </w:rPr>
                <w:t>5</w:t>
              </w:r>
            </w:hyperlink>
            <w:r>
              <w:rPr>
                <w:color w:val="131413"/>
                <w:sz w:val="22"/>
                <w:szCs w:val="22"/>
                <w:lang w:val="en-US"/>
              </w:rPr>
              <w:t>), 685–688, DOI: 10.1134/S1547477116050125, ISSN: 1547-4771 (Print) 1531-8567 (Online). (IF: 0.42).</w:t>
            </w:r>
          </w:p>
          <w:p>
            <w:pPr>
              <w:pStyle w:val="Normal"/>
              <w:widowControl/>
              <w:numPr>
                <w:ilvl w:val="0"/>
                <w:numId w:val="57"/>
              </w:numPr>
              <w:tabs>
                <w:tab w:val="left" w:pos="360" w:leader="none"/>
              </w:tabs>
              <w:suppressAutoHyphens w:val="true"/>
              <w:bidi w:val="0"/>
              <w:spacing w:before="0" w:after="60"/>
              <w:ind w:left="360" w:right="0" w:hanging="360"/>
              <w:jc w:val="both"/>
              <w:textAlignment w:val="auto"/>
              <w:rPr/>
            </w:pPr>
            <w:r>
              <w:rPr>
                <w:color w:val="131413"/>
                <w:sz w:val="22"/>
                <w:szCs w:val="22"/>
                <w:lang w:val="en-US"/>
              </w:rPr>
              <w:t xml:space="preserve">KOLESNIK, A.D. Integral equation for the transition density of the multidimensional Markov random flight.  </w:t>
            </w:r>
            <w:r>
              <w:rPr>
                <w:i/>
                <w:color w:val="131413"/>
                <w:sz w:val="22"/>
                <w:szCs w:val="22"/>
                <w:lang w:val="en-US"/>
              </w:rPr>
              <w:t>Theory of Stochastic Processes</w:t>
            </w:r>
            <w:r>
              <w:rPr>
                <w:color w:val="131413"/>
                <w:sz w:val="22"/>
                <w:szCs w:val="22"/>
                <w:lang w:val="en-US"/>
              </w:rPr>
              <w:t>, 2015, vol. 20(36), no. 2, 42-53.  ISSN 0321-3900. (IF: 0.32).</w:t>
            </w:r>
          </w:p>
          <w:p>
            <w:pPr>
              <w:pStyle w:val="Normal"/>
              <w:widowControl/>
              <w:tabs>
                <w:tab w:val="left" w:pos="6237" w:leader="none"/>
                <w:tab w:val="left" w:pos="6521" w:leader="none"/>
              </w:tabs>
              <w:bidi w:val="0"/>
              <w:spacing w:lineRule="exact" w:line="280"/>
              <w:ind w:left="0" w:right="0" w:hanging="0"/>
              <w:jc w:val="both"/>
              <w:textAlignment w:val="auto"/>
              <w:rPr>
                <w:lang w:val="en-US"/>
              </w:rPr>
            </w:pPr>
            <w:r>
              <w:rPr>
                <w:rFonts w:cs="Times New Roman CE" w:ascii="Times New Roman CE" w:hAnsi="Times New Roman CE"/>
                <w:b/>
                <w:sz w:val="22"/>
                <w:szCs w:val="22"/>
                <w:lang w:val="en-US"/>
              </w:rPr>
              <w:t>Lista publicaţiilor electronice în străinătate</w:t>
            </w:r>
            <w:r>
              <w:rPr>
                <w:b/>
                <w:bCs/>
                <w:color w:val="000000"/>
                <w:sz w:val="22"/>
                <w:szCs w:val="22"/>
                <w:lang w:val="ro-RO"/>
              </w:rPr>
              <w:t>:</w:t>
            </w:r>
          </w:p>
          <w:p>
            <w:pPr>
              <w:pStyle w:val="Normal"/>
              <w:widowControl/>
              <w:numPr>
                <w:ilvl w:val="0"/>
                <w:numId w:val="50"/>
              </w:numPr>
              <w:tabs>
                <w:tab w:val="left" w:pos="340" w:leader="none"/>
              </w:tabs>
              <w:suppressAutoHyphens w:val="true"/>
              <w:bidi w:val="0"/>
              <w:spacing w:before="0" w:after="60"/>
              <w:ind w:left="340" w:right="0" w:hanging="340"/>
              <w:jc w:val="both"/>
              <w:textAlignment w:val="auto"/>
              <w:rPr>
                <w:lang w:val="en-US"/>
              </w:rPr>
            </w:pPr>
            <w:r>
              <w:rPr>
                <w:color w:val="131413"/>
                <w:sz w:val="22"/>
                <w:szCs w:val="22"/>
                <w:lang w:val="en-US"/>
              </w:rPr>
              <w:t>KOLESNIK, A.D. Integral equation for the transition density of the multidimensional Markov random flight.  2016, arXiv: 1601.06998, 15 pp.</w:t>
            </w:r>
          </w:p>
          <w:p>
            <w:pPr>
              <w:pStyle w:val="Normal"/>
              <w:widowControl/>
              <w:numPr>
                <w:ilvl w:val="0"/>
                <w:numId w:val="50"/>
              </w:numPr>
              <w:tabs>
                <w:tab w:val="left" w:pos="340" w:leader="none"/>
              </w:tabs>
              <w:suppressAutoHyphens w:val="true"/>
              <w:bidi w:val="0"/>
              <w:spacing w:before="0" w:after="60"/>
              <w:ind w:left="340" w:right="0" w:hanging="340"/>
              <w:jc w:val="both"/>
              <w:textAlignment w:val="auto"/>
              <w:rPr>
                <w:lang w:val="ro-RO"/>
              </w:rPr>
            </w:pPr>
            <w:r>
              <w:rPr>
                <w:rFonts w:cs="Times New Roman CE" w:ascii="Times New Roman CE" w:hAnsi="Times New Roman CE"/>
                <w:color w:val="131413"/>
                <w:sz w:val="22"/>
                <w:szCs w:val="22"/>
                <w:lang w:val="ro-RO"/>
              </w:rPr>
              <w:t>MIŞCOI, Gh.; COSTEA, A.; ŢICU, I.R.; POMAZAN, C.  </w:t>
            </w:r>
            <w:r>
              <w:rPr>
                <w:color w:val="131413"/>
                <w:sz w:val="22"/>
                <w:szCs w:val="22"/>
                <w:lang w:val="en-US"/>
              </w:rPr>
              <w:t xml:space="preserve">Algorithms of evalution of the waiting time and the modelling of the terminal activity based on the traffic coefficient in the seaport. </w:t>
            </w:r>
            <w:r>
              <w:rPr>
                <w:i/>
                <w:color w:val="131413"/>
                <w:sz w:val="22"/>
                <w:szCs w:val="22"/>
                <w:lang w:val="en-US"/>
              </w:rPr>
              <w:t>PONTE International  Scientific Researches Journal</w:t>
            </w:r>
            <w:r>
              <w:rPr>
                <w:color w:val="131413"/>
                <w:sz w:val="22"/>
                <w:szCs w:val="22"/>
                <w:lang w:val="en-US"/>
              </w:rPr>
              <w:t xml:space="preserve">, 2016, vol. 72, no. 8, 237-248. </w:t>
            </w:r>
          </w:p>
          <w:p>
            <w:pPr>
              <w:pStyle w:val="Normal"/>
              <w:widowControl/>
              <w:tabs>
                <w:tab w:val="left" w:pos="6237" w:leader="none"/>
                <w:tab w:val="left" w:pos="6521" w:leader="none"/>
              </w:tabs>
              <w:bidi w:val="0"/>
              <w:spacing w:lineRule="exact" w:line="280" w:before="0" w:after="80"/>
              <w:ind w:left="0" w:right="0" w:hanging="0"/>
              <w:jc w:val="both"/>
              <w:textAlignment w:val="auto"/>
              <w:rPr>
                <w:lang w:val="ro-RO"/>
              </w:rPr>
            </w:pPr>
            <w:r>
              <w:rPr>
                <w:b/>
                <w:bCs/>
                <w:color w:val="000000"/>
                <w:sz w:val="22"/>
                <w:szCs w:val="22"/>
                <w:lang w:val="ro-RO"/>
              </w:rPr>
              <w:t xml:space="preserve">Articole publicate </w:t>
            </w:r>
            <w:r>
              <w:rPr>
                <w:rFonts w:cs="Times New Roman CE" w:ascii="Times New Roman CE" w:hAnsi="Times New Roman CE"/>
                <w:b/>
                <w:bCs/>
                <w:color w:val="000000"/>
                <w:sz w:val="22"/>
                <w:szCs w:val="22"/>
                <w:lang w:val="ro-RO"/>
              </w:rPr>
              <w:t>în culegeri internaţionale:</w:t>
            </w:r>
          </w:p>
          <w:p>
            <w:pPr>
              <w:pStyle w:val="Normal"/>
              <w:widowControl/>
              <w:numPr>
                <w:ilvl w:val="0"/>
                <w:numId w:val="56"/>
              </w:numPr>
              <w:tabs>
                <w:tab w:val="left" w:pos="360" w:leader="none"/>
              </w:tabs>
              <w:suppressAutoHyphens w:val="true"/>
              <w:bidi w:val="0"/>
              <w:spacing w:before="0" w:after="60"/>
              <w:ind w:left="357" w:right="0" w:hanging="357"/>
              <w:jc w:val="both"/>
              <w:textAlignment w:val="auto"/>
              <w:rPr>
                <w:lang w:val="en-US"/>
              </w:rPr>
            </w:pPr>
            <w:r>
              <w:rPr>
                <w:color w:val="131413"/>
                <w:sz w:val="22"/>
                <w:szCs w:val="22"/>
                <w:lang w:val="en-US"/>
              </w:rPr>
              <w:t xml:space="preserve">GOLUBEV, A.; BOGATENCOV, P.;  SECRIERU, G. Updating DICOM Network Architecture for its Integration at International Level. </w:t>
            </w:r>
            <w:r>
              <w:rPr>
                <w:i/>
                <w:color w:val="131413"/>
                <w:sz w:val="22"/>
                <w:szCs w:val="22"/>
                <w:lang w:val="en-US"/>
              </w:rPr>
              <w:t>Proceedings of the 15th RoEduNet IEEE International Conference - Networking in Education and Research</w:t>
            </w:r>
            <w:r>
              <w:rPr>
                <w:color w:val="131413"/>
                <w:sz w:val="22"/>
                <w:szCs w:val="22"/>
                <w:lang w:val="en-US"/>
              </w:rPr>
              <w:t xml:space="preserve"> , 7-9 September 2016, Bucharest, Romania,  161-167, ISSN 2068-1038.</w:t>
            </w:r>
          </w:p>
          <w:p>
            <w:pPr>
              <w:pStyle w:val="Normal"/>
              <w:widowControl/>
              <w:numPr>
                <w:ilvl w:val="0"/>
                <w:numId w:val="56"/>
              </w:numPr>
              <w:tabs>
                <w:tab w:val="left" w:pos="360" w:leader="none"/>
              </w:tabs>
              <w:suppressAutoHyphens w:val="true"/>
              <w:bidi w:val="0"/>
              <w:spacing w:before="0" w:after="60"/>
              <w:ind w:left="357" w:right="0" w:hanging="357"/>
              <w:jc w:val="both"/>
              <w:textAlignment w:val="auto"/>
              <w:rPr>
                <w:lang w:val="en-US"/>
              </w:rPr>
            </w:pPr>
            <w:r>
              <w:rPr>
                <w:color w:val="131413"/>
                <w:sz w:val="22"/>
                <w:szCs w:val="22"/>
                <w:lang w:val="en-US"/>
              </w:rPr>
              <w:t xml:space="preserve">LOZOVANU, D.; PICKL, St. Determining the optimal strstegies for  zero-sum average stochastic positional games. </w:t>
            </w:r>
            <w:r>
              <w:rPr>
                <w:i/>
                <w:color w:val="131413"/>
                <w:sz w:val="22"/>
                <w:szCs w:val="22"/>
                <w:lang w:val="en-US"/>
              </w:rPr>
              <w:t>Abstracts of 14th CTW2016 conference theory and applications of discrete optimization</w:t>
            </w:r>
            <w:r>
              <w:rPr>
                <w:i/>
                <w:sz w:val="22"/>
                <w:szCs w:val="22"/>
                <w:lang w:val="en-US"/>
              </w:rPr>
              <w:t xml:space="preserve"> algorithms, </w:t>
            </w:r>
            <w:r>
              <w:rPr>
                <w:sz w:val="22"/>
                <w:szCs w:val="22"/>
                <w:lang w:val="en-US"/>
              </w:rPr>
              <w:t>Milano, 2016, 226-230.</w:t>
            </w:r>
          </w:p>
          <w:p>
            <w:pPr>
              <w:pStyle w:val="Normal"/>
              <w:widowControl/>
              <w:numPr>
                <w:ilvl w:val="0"/>
                <w:numId w:val="56"/>
              </w:numPr>
              <w:suppressAutoHyphens w:val="true"/>
              <w:bidi w:val="0"/>
              <w:spacing w:before="0" w:after="60"/>
              <w:ind w:left="357" w:right="0" w:hanging="357"/>
              <w:jc w:val="both"/>
              <w:textAlignment w:val="auto"/>
              <w:rPr>
                <w:lang w:val="en-US"/>
              </w:rPr>
            </w:pPr>
            <w:r>
              <w:rPr>
                <w:color w:val="131413"/>
                <w:sz w:val="22"/>
                <w:szCs w:val="22"/>
                <w:lang w:val="en-US"/>
              </w:rPr>
              <w:t xml:space="preserve">SECRIERU, G.; BOGATENCOV, P.; RUSU, O.; ROSCA, P. RENAM – RoEduNet – GEANT gateway: approaches for connectivity development. </w:t>
            </w:r>
            <w:r>
              <w:rPr>
                <w:i/>
                <w:color w:val="131413"/>
                <w:sz w:val="22"/>
                <w:szCs w:val="22"/>
                <w:lang w:val="en-US"/>
              </w:rPr>
              <w:t>Proceedings of the 15th RoEduNet IEEE International Conference - Networking in Education and Research</w:t>
            </w:r>
            <w:r>
              <w:rPr>
                <w:color w:val="131413"/>
                <w:sz w:val="22"/>
                <w:szCs w:val="22"/>
                <w:lang w:val="en-US"/>
              </w:rPr>
              <w:t xml:space="preserve">, 7-9 September 2016, Bucharest, Romania, 82-88, ISSN 2068-1038. </w:t>
            </w:r>
          </w:p>
          <w:p>
            <w:pPr>
              <w:pStyle w:val="Normal"/>
              <w:widowControl/>
              <w:tabs>
                <w:tab w:val="left" w:pos="6237" w:leader="none"/>
                <w:tab w:val="left" w:pos="6521" w:leader="none"/>
              </w:tabs>
              <w:bidi w:val="0"/>
              <w:spacing w:lineRule="exact" w:line="280"/>
              <w:ind w:left="0" w:right="0" w:hanging="0"/>
              <w:jc w:val="both"/>
              <w:textAlignment w:val="auto"/>
              <w:rPr>
                <w:lang w:val="ro-RO"/>
              </w:rPr>
            </w:pPr>
            <w:r>
              <w:rPr>
                <w:rFonts w:cs="Times New Roman CE" w:ascii="Times New Roman CE" w:hAnsi="Times New Roman CE"/>
                <w:b/>
                <w:bCs/>
                <w:color w:val="000000"/>
                <w:sz w:val="22"/>
                <w:szCs w:val="22"/>
                <w:lang w:val="ro-RO"/>
              </w:rPr>
              <w:t>Lista lucrărilor apărute în edituri din ţară:</w:t>
            </w:r>
          </w:p>
          <w:p>
            <w:pPr>
              <w:pStyle w:val="Normal"/>
              <w:widowControl/>
              <w:bidi w:val="0"/>
              <w:spacing w:lineRule="exact" w:line="280"/>
              <w:ind w:left="0" w:right="0" w:hanging="0"/>
              <w:jc w:val="both"/>
              <w:textAlignment w:val="auto"/>
              <w:rPr>
                <w:lang w:val="ro-RO"/>
              </w:rPr>
            </w:pPr>
            <w:r>
              <w:rPr>
                <w:rFonts w:cs="Times New Roman CE" w:ascii="Times New Roman CE" w:hAnsi="Times New Roman CE"/>
                <w:b/>
                <w:bCs/>
                <w:sz w:val="22"/>
                <w:szCs w:val="22"/>
                <w:lang w:val="ro-RO"/>
              </w:rPr>
              <w:t>Articole din reviste naţionale:</w:t>
            </w:r>
          </w:p>
          <w:p>
            <w:pPr>
              <w:pStyle w:val="Normal"/>
              <w:widowControl/>
              <w:tabs>
                <w:tab w:val="left" w:pos="6237" w:leader="none"/>
                <w:tab w:val="left" w:pos="6521" w:leader="none"/>
              </w:tabs>
              <w:bidi w:val="0"/>
              <w:spacing w:lineRule="exact" w:line="280" w:before="0" w:after="80"/>
              <w:ind w:left="0" w:right="0" w:hanging="0"/>
              <w:jc w:val="both"/>
              <w:textAlignment w:val="auto"/>
              <w:rPr>
                <w:lang w:val="ro-RO"/>
              </w:rPr>
            </w:pPr>
            <w:r>
              <w:rPr>
                <w:b/>
                <w:bCs/>
                <w:i/>
                <w:color w:val="000000"/>
                <w:sz w:val="22"/>
                <w:szCs w:val="22"/>
                <w:lang w:val="ro-RO"/>
              </w:rPr>
              <w:t xml:space="preserve">categoria B </w:t>
            </w:r>
          </w:p>
          <w:p>
            <w:pPr>
              <w:pStyle w:val="Normal"/>
              <w:widowControl/>
              <w:numPr>
                <w:ilvl w:val="0"/>
                <w:numId w:val="54"/>
              </w:numPr>
              <w:tabs>
                <w:tab w:val="left" w:pos="343" w:leader="none"/>
                <w:tab w:val="left" w:pos="516" w:leader="none"/>
                <w:tab w:val="left" w:pos="1908" w:leader="none"/>
                <w:tab w:val="left" w:pos="4428" w:leader="none"/>
                <w:tab w:val="left" w:pos="5688" w:leader="none"/>
                <w:tab w:val="left" w:pos="7668" w:leader="none"/>
                <w:tab w:val="left" w:pos="9039" w:leader="none"/>
              </w:tabs>
              <w:bidi w:val="0"/>
              <w:spacing w:lineRule="auto" w:line="276"/>
              <w:ind w:left="343" w:right="0" w:hanging="343"/>
              <w:jc w:val="both"/>
              <w:textAlignment w:val="auto"/>
              <w:rPr>
                <w:lang w:val="ro-RO"/>
              </w:rPr>
            </w:pPr>
            <w:r>
              <w:rPr>
                <w:rFonts w:cs="Times New Roman CE" w:ascii="Times New Roman CE" w:hAnsi="Times New Roman CE"/>
                <w:color w:val="333333"/>
                <w:sz w:val="22"/>
                <w:szCs w:val="22"/>
                <w:lang w:val="ro-RO"/>
              </w:rPr>
              <w:t xml:space="preserve">MIŞCOI, Gh. </w:t>
            </w:r>
            <w:r>
              <w:rPr>
                <w:rFonts w:cs="Times New Roman CE" w:ascii="Times New Roman CE" w:hAnsi="Times New Roman CE"/>
                <w:sz w:val="22"/>
                <w:szCs w:val="22"/>
                <w:lang w:val="ro-RO"/>
              </w:rPr>
              <w:t xml:space="preserve">Cercetări în domeniul Teoriei Aşteptării realizate de tineri matematicieni din Moldova, </w:t>
            </w:r>
            <w:r>
              <w:rPr>
                <w:i/>
                <w:sz w:val="22"/>
                <w:szCs w:val="22"/>
                <w:lang w:val="it-IT"/>
              </w:rPr>
              <w:t>ACADEMOS</w:t>
            </w:r>
            <w:r>
              <w:rPr>
                <w:sz w:val="22"/>
                <w:szCs w:val="22"/>
                <w:lang w:val="it-IT"/>
              </w:rPr>
              <w:t>,  2016,</w:t>
            </w:r>
            <w:r>
              <w:rPr>
                <w:sz w:val="22"/>
                <w:szCs w:val="22"/>
                <w:lang w:val="ro-RO"/>
              </w:rPr>
              <w:t xml:space="preserve"> 2 (41), 51-55. </w:t>
            </w:r>
            <w:r>
              <w:rPr>
                <w:sz w:val="22"/>
                <w:szCs w:val="22"/>
                <w:lang w:val="it-IT"/>
              </w:rPr>
              <w:t>ISSN 1857-0461.</w:t>
            </w:r>
          </w:p>
          <w:p>
            <w:pPr>
              <w:pStyle w:val="Normal"/>
              <w:widowControl/>
              <w:tabs>
                <w:tab w:val="left" w:pos="6237" w:leader="none"/>
                <w:tab w:val="left" w:pos="6521" w:leader="none"/>
              </w:tabs>
              <w:bidi w:val="0"/>
              <w:spacing w:lineRule="exact" w:line="280" w:before="0" w:after="80"/>
              <w:ind w:left="0" w:right="0" w:hanging="0"/>
              <w:jc w:val="both"/>
              <w:textAlignment w:val="auto"/>
              <w:rPr>
                <w:lang w:val="ro-RO"/>
              </w:rPr>
            </w:pPr>
            <w:r>
              <w:rPr>
                <w:b/>
                <w:bCs/>
                <w:color w:val="000000"/>
                <w:sz w:val="22"/>
                <w:szCs w:val="22"/>
                <w:lang w:val="ro-RO"/>
              </w:rPr>
              <w:t xml:space="preserve">Articole publicate </w:t>
            </w:r>
            <w:r>
              <w:rPr>
                <w:rFonts w:cs="Times New Roman CE" w:ascii="Times New Roman CE" w:hAnsi="Times New Roman CE"/>
                <w:b/>
                <w:bCs/>
                <w:color w:val="000000"/>
                <w:sz w:val="22"/>
                <w:szCs w:val="22"/>
                <w:lang w:val="ro-RO"/>
              </w:rPr>
              <w:t>în culegeri editate în ţară</w:t>
            </w:r>
            <w:r>
              <w:rPr>
                <w:b/>
                <w:bCs/>
                <w:color w:val="000000"/>
                <w:sz w:val="22"/>
                <w:szCs w:val="22"/>
                <w:lang w:val="ro-RO"/>
              </w:rPr>
              <w:t>:</w:t>
            </w:r>
          </w:p>
          <w:p>
            <w:pPr>
              <w:pStyle w:val="Normal"/>
              <w:widowControl/>
              <w:numPr>
                <w:ilvl w:val="0"/>
                <w:numId w:val="58"/>
              </w:numPr>
              <w:tabs>
                <w:tab w:val="left" w:pos="360" w:leader="none"/>
              </w:tabs>
              <w:suppressAutoHyphens w:val="true"/>
              <w:bidi w:val="0"/>
              <w:spacing w:before="0" w:after="60"/>
              <w:ind w:left="357" w:right="0" w:hanging="357"/>
              <w:jc w:val="both"/>
              <w:textAlignment w:val="auto"/>
              <w:rPr>
                <w:lang w:val="it-IT"/>
              </w:rPr>
            </w:pPr>
            <w:r>
              <w:rPr>
                <w:sz w:val="22"/>
                <w:szCs w:val="22"/>
                <w:lang w:val="it-IT"/>
              </w:rPr>
              <w:t xml:space="preserve">LOZOVANU, D. </w:t>
            </w:r>
            <w:r>
              <w:rPr>
                <w:sz w:val="22"/>
                <w:szCs w:val="22"/>
                <w:lang w:val="en-US"/>
              </w:rPr>
              <w:t xml:space="preserve">Determining the optimal strategies for multichain average Markov decision peoblems.  </w:t>
            </w:r>
            <w:r>
              <w:rPr>
                <w:color w:val="131413"/>
                <w:sz w:val="22"/>
                <w:szCs w:val="22"/>
                <w:lang w:val="en-US"/>
              </w:rPr>
              <w:t xml:space="preserve">În: </w:t>
            </w:r>
            <w:r>
              <w:rPr>
                <w:i/>
                <w:color w:val="131413"/>
                <w:sz w:val="22"/>
                <w:szCs w:val="22"/>
                <w:lang w:val="en-US"/>
              </w:rPr>
              <w:t>Materialele Conferin</w:t>
            </w:r>
            <w:r>
              <w:rPr>
                <w:rFonts w:cs="Times New Roman CE" w:ascii="Times New Roman CE" w:hAnsi="Times New Roman CE"/>
                <w:i/>
                <w:color w:val="131413"/>
                <w:sz w:val="22"/>
                <w:szCs w:val="22"/>
                <w:lang w:val="en-US"/>
              </w:rPr>
              <w:t>ţ</w:t>
            </w:r>
            <w:r>
              <w:rPr>
                <w:i/>
                <w:color w:val="131413"/>
                <w:sz w:val="22"/>
                <w:szCs w:val="22"/>
                <w:lang w:val="en-US"/>
              </w:rPr>
              <w:t>ei Interna</w:t>
            </w:r>
            <w:r>
              <w:rPr>
                <w:rFonts w:cs="Times New Roman CE" w:ascii="Times New Roman CE" w:hAnsi="Times New Roman CE"/>
                <w:i/>
                <w:color w:val="131413"/>
                <w:sz w:val="22"/>
                <w:szCs w:val="22"/>
                <w:lang w:val="en-US"/>
              </w:rPr>
              <w:t>ţ</w:t>
            </w:r>
            <w:r>
              <w:rPr>
                <w:i/>
                <w:color w:val="131413"/>
                <w:sz w:val="22"/>
                <w:szCs w:val="22"/>
                <w:lang w:val="en-US"/>
              </w:rPr>
              <w:t>ionale “Modelare matematic</w:t>
            </w:r>
            <w:r>
              <w:rPr>
                <w:rFonts w:cs="Times New Roman CE" w:ascii="Times New Roman CE" w:hAnsi="Times New Roman CE"/>
                <w:i/>
                <w:color w:val="131413"/>
                <w:sz w:val="22"/>
                <w:szCs w:val="22"/>
                <w:lang w:val="en-US"/>
              </w:rPr>
              <w:t xml:space="preserve">ă, </w:t>
            </w:r>
            <w:r>
              <w:rPr>
                <w:i/>
                <w:color w:val="131413"/>
                <w:sz w:val="22"/>
                <w:szCs w:val="22"/>
                <w:lang w:val="en-US"/>
              </w:rPr>
              <w:t>optimizare</w:t>
            </w:r>
            <w:r>
              <w:rPr>
                <w:rFonts w:cs="Times New Roman CE" w:ascii="Times New Roman CE" w:hAnsi="Times New Roman CE"/>
                <w:i/>
                <w:color w:val="131413"/>
                <w:sz w:val="22"/>
                <w:szCs w:val="22"/>
                <w:lang w:val="en-US"/>
              </w:rPr>
              <w:t xml:space="preserve"> ş</w:t>
            </w:r>
            <w:r>
              <w:rPr>
                <w:i/>
                <w:color w:val="131413"/>
                <w:sz w:val="22"/>
                <w:szCs w:val="22"/>
                <w:lang w:val="en-US"/>
              </w:rPr>
              <w:t>i tehnologii informa</w:t>
            </w:r>
            <w:r>
              <w:rPr>
                <w:rFonts w:cs="Times New Roman CE" w:ascii="Times New Roman CE" w:hAnsi="Times New Roman CE"/>
                <w:i/>
                <w:color w:val="131413"/>
                <w:sz w:val="22"/>
                <w:szCs w:val="22"/>
                <w:lang w:val="en-US"/>
              </w:rPr>
              <w:t>ţ</w:t>
            </w:r>
            <w:r>
              <w:rPr>
                <w:i/>
                <w:color w:val="131413"/>
                <w:sz w:val="22"/>
                <w:szCs w:val="22"/>
                <w:lang w:val="en-US"/>
              </w:rPr>
              <w:t>ionale”</w:t>
            </w:r>
            <w:r>
              <w:rPr>
                <w:color w:val="131413"/>
                <w:sz w:val="22"/>
                <w:szCs w:val="22"/>
                <w:lang w:val="en-US"/>
              </w:rPr>
              <w:t>, edi</w:t>
            </w:r>
            <w:r>
              <w:rPr>
                <w:rFonts w:cs="Times New Roman CE" w:ascii="Times New Roman CE" w:hAnsi="Times New Roman CE"/>
                <w:color w:val="131413"/>
                <w:sz w:val="22"/>
                <w:szCs w:val="22"/>
                <w:lang w:val="en-US"/>
              </w:rPr>
              <w:t>ţ</w:t>
            </w:r>
            <w:r>
              <w:rPr>
                <w:color w:val="131413"/>
                <w:sz w:val="22"/>
                <w:szCs w:val="22"/>
                <w:lang w:val="en-US"/>
              </w:rPr>
              <w:t>ia a V-a, Chi</w:t>
            </w:r>
            <w:r>
              <w:rPr>
                <w:rFonts w:cs="Times New Roman CE" w:ascii="Times New Roman CE" w:hAnsi="Times New Roman CE"/>
                <w:color w:val="131413"/>
                <w:sz w:val="22"/>
                <w:szCs w:val="22"/>
                <w:lang w:val="en-US"/>
              </w:rPr>
              <w:t>ş</w:t>
            </w:r>
            <w:r>
              <w:rPr>
                <w:color w:val="131413"/>
                <w:sz w:val="22"/>
                <w:szCs w:val="22"/>
                <w:lang w:val="en-US"/>
              </w:rPr>
              <w:t>in</w:t>
            </w:r>
            <w:r>
              <w:rPr>
                <w:rFonts w:cs="Times New Roman CE" w:ascii="Times New Roman CE" w:hAnsi="Times New Roman CE"/>
                <w:color w:val="131413"/>
                <w:sz w:val="22"/>
                <w:szCs w:val="22"/>
                <w:lang w:val="en-US"/>
              </w:rPr>
              <w:t>ă</w:t>
            </w:r>
            <w:r>
              <w:rPr>
                <w:color w:val="131413"/>
                <w:sz w:val="22"/>
                <w:szCs w:val="22"/>
                <w:lang w:val="en-US"/>
              </w:rPr>
              <w:t>u, ATIC, 22-25 martie 2016, vol. I, 217-225. ISBN: 978-9975-3099-9-8.</w:t>
            </w:r>
          </w:p>
          <w:p>
            <w:pPr>
              <w:pStyle w:val="Normal"/>
              <w:widowControl/>
              <w:numPr>
                <w:ilvl w:val="0"/>
                <w:numId w:val="58"/>
              </w:numPr>
              <w:tabs>
                <w:tab w:val="left" w:pos="360" w:leader="none"/>
              </w:tabs>
              <w:suppressAutoHyphens w:val="true"/>
              <w:bidi w:val="0"/>
              <w:spacing w:before="0" w:after="60"/>
              <w:ind w:left="357" w:right="0" w:hanging="357"/>
              <w:jc w:val="both"/>
              <w:textAlignment w:val="auto"/>
              <w:rPr>
                <w:lang w:val="ro-RO"/>
              </w:rPr>
            </w:pPr>
            <w:r>
              <w:rPr>
                <w:rFonts w:cs="Times New Roman CE" w:ascii="Times New Roman CE" w:hAnsi="Times New Roman CE"/>
                <w:color w:val="333333"/>
                <w:sz w:val="22"/>
                <w:szCs w:val="22"/>
                <w:lang w:val="ro-RO"/>
              </w:rPr>
              <w:t>MIŞCOI, Gh.; COSTEA</w:t>
            </w:r>
            <w:r>
              <w:rPr>
                <w:color w:val="333333"/>
                <w:sz w:val="22"/>
                <w:szCs w:val="22"/>
                <w:lang w:val="ro-RO"/>
              </w:rPr>
              <w:t>, A</w:t>
            </w:r>
            <w:r>
              <w:rPr>
                <w:rFonts w:cs="Times New Roman CE" w:ascii="Times New Roman CE" w:hAnsi="Times New Roman CE"/>
                <w:color w:val="333333"/>
                <w:sz w:val="22"/>
                <w:szCs w:val="22"/>
                <w:lang w:val="ro-RO"/>
              </w:rPr>
              <w:t>.; ŢICU, I.R.</w:t>
            </w:r>
            <w:r>
              <w:rPr>
                <w:color w:val="333333"/>
                <w:sz w:val="22"/>
                <w:szCs w:val="22"/>
                <w:lang w:val="ro-RO"/>
              </w:rPr>
              <w:t xml:space="preserve"> </w:t>
            </w:r>
            <w:r>
              <w:rPr>
                <w:color w:val="131413"/>
                <w:sz w:val="22"/>
                <w:szCs w:val="22"/>
                <w:lang w:val="es-ES"/>
              </w:rPr>
              <w:t xml:space="preserve">Modelarea </w:t>
            </w:r>
            <w:r>
              <w:rPr>
                <w:rFonts w:cs="Times New Roman CE" w:ascii="Times New Roman CE" w:hAnsi="Times New Roman CE"/>
                <w:sz w:val="22"/>
                <w:szCs w:val="22"/>
                <w:lang w:val="fr-FR"/>
              </w:rPr>
              <w:t xml:space="preserve">activităţii terminalului maritim în baza coeficientului de trafic. </w:t>
            </w:r>
            <w:r>
              <w:rPr>
                <w:color w:val="131413"/>
                <w:sz w:val="22"/>
                <w:szCs w:val="22"/>
                <w:lang w:val="fr-FR"/>
              </w:rPr>
              <w:t xml:space="preserve">În: </w:t>
            </w:r>
            <w:r>
              <w:rPr>
                <w:rFonts w:cs="Times New Roman CE" w:ascii="Times New Roman CE" w:hAnsi="Times New Roman CE"/>
                <w:i/>
                <w:color w:val="131413"/>
                <w:sz w:val="22"/>
                <w:szCs w:val="22"/>
                <w:lang w:val="fr-FR"/>
              </w:rPr>
              <w:t>Materialele Conferinţei Internaţionale “Modelare matematică, optimizare şi tehnologii informaţionale”</w:t>
            </w:r>
            <w:r>
              <w:rPr>
                <w:color w:val="131413"/>
                <w:sz w:val="22"/>
                <w:szCs w:val="22"/>
                <w:lang w:val="fr-FR"/>
              </w:rPr>
              <w:t xml:space="preserve">, </w:t>
            </w:r>
            <w:r>
              <w:rPr>
                <w:rFonts w:cs="Times New Roman CE" w:ascii="Times New Roman CE" w:hAnsi="Times New Roman CE"/>
                <w:color w:val="131413"/>
                <w:sz w:val="22"/>
                <w:szCs w:val="22"/>
                <w:lang w:val="fr-FR"/>
              </w:rPr>
              <w:t xml:space="preserve">ediţia a V-a, Chişinău, ATIC, 22-25 martie 2016, </w:t>
            </w:r>
            <w:r>
              <w:rPr>
                <w:sz w:val="22"/>
                <w:szCs w:val="22"/>
                <w:lang w:val="it-IT"/>
              </w:rPr>
              <w:t xml:space="preserve">v.I, </w:t>
            </w:r>
            <w:r>
              <w:rPr>
                <w:sz w:val="22"/>
                <w:szCs w:val="22"/>
                <w:lang w:val="fr-FR"/>
              </w:rPr>
              <w:t xml:space="preserve">242-252. </w:t>
            </w:r>
            <w:r>
              <w:rPr>
                <w:color w:val="131413"/>
                <w:sz w:val="22"/>
                <w:szCs w:val="22"/>
                <w:lang w:val="fr-FR"/>
              </w:rPr>
              <w:t>ISBN: 978-9975-3099-9-8.</w:t>
            </w:r>
          </w:p>
          <w:p>
            <w:pPr>
              <w:pStyle w:val="Normal"/>
              <w:widowControl w:val="false"/>
              <w:numPr>
                <w:ilvl w:val="0"/>
                <w:numId w:val="58"/>
              </w:numPr>
              <w:tabs>
                <w:tab w:val="left" w:pos="360" w:leader="none"/>
              </w:tabs>
              <w:bidi w:val="0"/>
              <w:spacing w:before="0" w:after="60"/>
              <w:ind w:left="357" w:right="0" w:hanging="357"/>
              <w:jc w:val="both"/>
              <w:textAlignment w:val="auto"/>
              <w:rPr>
                <w:lang w:val="it-IT"/>
              </w:rPr>
            </w:pPr>
            <w:r>
              <w:rPr>
                <w:rFonts w:cs="Times New Roman CE" w:ascii="Times New Roman CE" w:hAnsi="Times New Roman CE"/>
                <w:sz w:val="22"/>
                <w:szCs w:val="22"/>
                <w:lang w:val="it-IT"/>
              </w:rPr>
              <w:t>NAVAL, E. Impactul sectoarelor cercetare-dezvoltare, tehnologiilor informaţionale şi comunicaţiilor asupra creşterii economice în Rep</w:t>
            </w:r>
            <w:r>
              <w:rPr>
                <w:sz w:val="22"/>
                <w:szCs w:val="22"/>
                <w:lang w:val="it-IT"/>
              </w:rPr>
              <w:t xml:space="preserve">ublica Moldova. În: </w:t>
            </w:r>
            <w:r>
              <w:rPr>
                <w:rFonts w:cs="Times New Roman CE" w:ascii="Times New Roman CE" w:hAnsi="Times New Roman CE"/>
                <w:i/>
                <w:sz w:val="22"/>
                <w:szCs w:val="22"/>
                <w:lang w:val="it-IT"/>
              </w:rPr>
              <w:t>Materialele Conferinţei Internaţionale “Modelare matematică, optimizare şi tehnologii informaţionale”</w:t>
            </w:r>
            <w:r>
              <w:rPr>
                <w:rFonts w:cs="Times New Roman CE" w:ascii="Times New Roman CE" w:hAnsi="Times New Roman CE"/>
                <w:sz w:val="22"/>
                <w:szCs w:val="22"/>
                <w:lang w:val="it-IT"/>
              </w:rPr>
              <w:t>, ediţia a V-a, Chişinău, ATIC, 22-25 martie 2016, v.I, 263-273. ISBN: 978-9975-3099-8-1.</w:t>
            </w:r>
          </w:p>
          <w:p>
            <w:pPr>
              <w:pStyle w:val="Normal"/>
              <w:widowControl/>
              <w:numPr>
                <w:ilvl w:val="0"/>
                <w:numId w:val="58"/>
              </w:numPr>
              <w:tabs>
                <w:tab w:val="left" w:pos="360" w:leader="none"/>
              </w:tabs>
              <w:suppressAutoHyphens w:val="true"/>
              <w:bidi w:val="0"/>
              <w:spacing w:before="0" w:after="60"/>
              <w:ind w:left="357" w:right="0" w:hanging="357"/>
              <w:jc w:val="both"/>
              <w:textAlignment w:val="auto"/>
              <w:rPr>
                <w:lang w:val="it-IT"/>
              </w:rPr>
            </w:pPr>
            <w:r>
              <w:rPr>
                <w:rFonts w:cs="Times New Roman CE" w:ascii="Times New Roman CE" w:hAnsi="Times New Roman CE"/>
                <w:color w:val="131413"/>
                <w:sz w:val="22"/>
                <w:szCs w:val="22"/>
                <w:lang w:val="it-IT"/>
              </w:rPr>
              <w:t xml:space="preserve">ŞEREMET, V.; CRETU, I. Reprezentarea grafică a funcţiilor Green pentru tensiunile termice într-un dreptunghi cu aplicarea softului maple 18, Lucrări ştiinţifice. </w:t>
            </w:r>
            <w:r>
              <w:rPr>
                <w:color w:val="131413"/>
                <w:sz w:val="22"/>
                <w:szCs w:val="22"/>
                <w:lang w:val="en-US"/>
              </w:rPr>
              <w:t xml:space="preserve">Vol. 46. </w:t>
            </w:r>
            <w:r>
              <w:rPr>
                <w:rFonts w:cs="Times New Roman CE" w:ascii="Times New Roman CE" w:hAnsi="Times New Roman CE"/>
                <w:i/>
                <w:color w:val="131413"/>
                <w:sz w:val="22"/>
                <w:szCs w:val="22"/>
                <w:lang w:val="en-US"/>
              </w:rPr>
              <w:t>Simpozion internaţional ştiinţific</w:t>
            </w:r>
            <w:r>
              <w:rPr>
                <w:rFonts w:cs="Times New Roman CE" w:ascii="Times New Roman CE" w:hAnsi="Times New Roman CE"/>
                <w:color w:val="131413"/>
                <w:sz w:val="22"/>
                <w:szCs w:val="22"/>
                <w:lang w:val="en-US"/>
              </w:rPr>
              <w:t xml:space="preserve">. UASM, 2016, 220-230. Chişinău.  </w:t>
            </w:r>
          </w:p>
          <w:p>
            <w:pPr>
              <w:pStyle w:val="Normal"/>
              <w:widowControl/>
              <w:numPr>
                <w:ilvl w:val="0"/>
                <w:numId w:val="58"/>
              </w:numPr>
              <w:tabs>
                <w:tab w:val="left" w:pos="360" w:leader="none"/>
              </w:tabs>
              <w:suppressAutoHyphens w:val="true"/>
              <w:bidi w:val="0"/>
              <w:spacing w:before="0" w:after="60"/>
              <w:ind w:left="357" w:right="0" w:hanging="357"/>
              <w:jc w:val="both"/>
              <w:textAlignment w:val="auto"/>
              <w:rPr/>
            </w:pPr>
            <w:r>
              <w:rPr>
                <w:color w:val="131413"/>
                <w:sz w:val="22"/>
                <w:szCs w:val="22"/>
              </w:rPr>
              <w:t>ГУЦУЛЯК</w:t>
            </w:r>
            <w:r>
              <w:rPr>
                <w:color w:val="131413"/>
                <w:sz w:val="22"/>
                <w:szCs w:val="22"/>
                <w:lang w:val="ro-RO"/>
              </w:rPr>
              <w:t>,</w:t>
            </w:r>
            <w:r>
              <w:rPr>
                <w:color w:val="131413"/>
                <w:sz w:val="22"/>
                <w:szCs w:val="22"/>
              </w:rPr>
              <w:t xml:space="preserve">  Е.</w:t>
            </w:r>
            <w:r>
              <w:rPr>
                <w:color w:val="131413"/>
                <w:sz w:val="22"/>
                <w:szCs w:val="22"/>
                <w:lang w:val="ro-RO"/>
              </w:rPr>
              <w:t>;</w:t>
            </w:r>
            <w:r>
              <w:rPr>
                <w:color w:val="131413"/>
                <w:sz w:val="22"/>
                <w:szCs w:val="22"/>
              </w:rPr>
              <w:t xml:space="preserve"> СЕКРИЕРУ</w:t>
            </w:r>
            <w:r>
              <w:rPr>
                <w:color w:val="131413"/>
                <w:sz w:val="22"/>
                <w:szCs w:val="22"/>
                <w:lang w:val="ro-RO"/>
              </w:rPr>
              <w:t>,</w:t>
            </w:r>
            <w:r>
              <w:rPr>
                <w:color w:val="131413"/>
                <w:sz w:val="22"/>
                <w:szCs w:val="22"/>
              </w:rPr>
              <w:t xml:space="preserve"> Г. Компьютерное моделирование динамического нагружения заглубленных в грунт конструкций. </w:t>
            </w:r>
            <w:r>
              <w:rPr>
                <w:color w:val="131413"/>
                <w:sz w:val="22"/>
                <w:szCs w:val="22"/>
                <w:lang w:val="en-US"/>
              </w:rPr>
              <w:t xml:space="preserve">În: </w:t>
            </w:r>
            <w:r>
              <w:rPr>
                <w:i/>
                <w:color w:val="131413"/>
                <w:sz w:val="22"/>
                <w:szCs w:val="22"/>
                <w:lang w:val="en-US"/>
              </w:rPr>
              <w:t>Materialele Conferin</w:t>
            </w:r>
            <w:r>
              <w:rPr>
                <w:rFonts w:cs="Times New Roman CE" w:ascii="Times New Roman CE" w:hAnsi="Times New Roman CE"/>
                <w:i/>
                <w:color w:val="131413"/>
                <w:sz w:val="22"/>
                <w:szCs w:val="22"/>
                <w:lang w:val="en-US"/>
              </w:rPr>
              <w:t>ţ</w:t>
            </w:r>
            <w:r>
              <w:rPr>
                <w:i/>
                <w:color w:val="131413"/>
                <w:sz w:val="22"/>
                <w:szCs w:val="22"/>
                <w:lang w:val="en-US"/>
              </w:rPr>
              <w:t>ei Interna</w:t>
            </w:r>
            <w:r>
              <w:rPr>
                <w:rFonts w:cs="Times New Roman CE" w:ascii="Times New Roman CE" w:hAnsi="Times New Roman CE"/>
                <w:i/>
                <w:color w:val="131413"/>
                <w:sz w:val="22"/>
                <w:szCs w:val="22"/>
                <w:lang w:val="en-US"/>
              </w:rPr>
              <w:t>ţ</w:t>
            </w:r>
            <w:r>
              <w:rPr>
                <w:i/>
                <w:color w:val="131413"/>
                <w:sz w:val="22"/>
                <w:szCs w:val="22"/>
                <w:lang w:val="en-US"/>
              </w:rPr>
              <w:t>ionale “Modelare matematic</w:t>
            </w:r>
            <w:r>
              <w:rPr>
                <w:rFonts w:cs="Times New Roman CE" w:ascii="Times New Roman CE" w:hAnsi="Times New Roman CE"/>
                <w:i/>
                <w:color w:val="131413"/>
                <w:sz w:val="22"/>
                <w:szCs w:val="22"/>
                <w:lang w:val="en-US"/>
              </w:rPr>
              <w:t xml:space="preserve">ă, </w:t>
            </w:r>
            <w:r>
              <w:rPr>
                <w:i/>
                <w:color w:val="131413"/>
                <w:sz w:val="22"/>
                <w:szCs w:val="22"/>
                <w:lang w:val="en-US"/>
              </w:rPr>
              <w:t>optimizare</w:t>
            </w:r>
            <w:r>
              <w:rPr>
                <w:rFonts w:cs="Times New Roman CE" w:ascii="Times New Roman CE" w:hAnsi="Times New Roman CE"/>
                <w:i/>
                <w:color w:val="131413"/>
                <w:sz w:val="22"/>
                <w:szCs w:val="22"/>
                <w:lang w:val="en-US"/>
              </w:rPr>
              <w:t xml:space="preserve"> ş</w:t>
            </w:r>
            <w:r>
              <w:rPr>
                <w:i/>
                <w:color w:val="131413"/>
                <w:sz w:val="22"/>
                <w:szCs w:val="22"/>
                <w:lang w:val="en-US"/>
              </w:rPr>
              <w:t>i tehnologii informa</w:t>
            </w:r>
            <w:r>
              <w:rPr>
                <w:rFonts w:cs="Times New Roman CE" w:ascii="Times New Roman CE" w:hAnsi="Times New Roman CE"/>
                <w:i/>
                <w:color w:val="131413"/>
                <w:sz w:val="22"/>
                <w:szCs w:val="22"/>
                <w:lang w:val="en-US"/>
              </w:rPr>
              <w:t>ţ</w:t>
            </w:r>
            <w:r>
              <w:rPr>
                <w:i/>
                <w:color w:val="131413"/>
                <w:sz w:val="22"/>
                <w:szCs w:val="22"/>
                <w:lang w:val="en-US"/>
              </w:rPr>
              <w:t>ionale”</w:t>
            </w:r>
            <w:r>
              <w:rPr>
                <w:color w:val="131413"/>
                <w:sz w:val="22"/>
                <w:szCs w:val="22"/>
                <w:lang w:val="en-US"/>
              </w:rPr>
              <w:t>, edi</w:t>
            </w:r>
            <w:r>
              <w:rPr>
                <w:rFonts w:cs="Times New Roman CE" w:ascii="Times New Roman CE" w:hAnsi="Times New Roman CE"/>
                <w:color w:val="131413"/>
                <w:sz w:val="22"/>
                <w:szCs w:val="22"/>
                <w:lang w:val="en-US"/>
              </w:rPr>
              <w:t>ţ</w:t>
            </w:r>
            <w:r>
              <w:rPr>
                <w:color w:val="131413"/>
                <w:sz w:val="22"/>
                <w:szCs w:val="22"/>
                <w:lang w:val="en-US"/>
              </w:rPr>
              <w:t>ia a V-a, Chi</w:t>
            </w:r>
            <w:r>
              <w:rPr>
                <w:rFonts w:cs="Times New Roman CE" w:ascii="Times New Roman CE" w:hAnsi="Times New Roman CE"/>
                <w:color w:val="131413"/>
                <w:sz w:val="22"/>
                <w:szCs w:val="22"/>
                <w:lang w:val="en-US"/>
              </w:rPr>
              <w:t>ş</w:t>
            </w:r>
            <w:r>
              <w:rPr>
                <w:color w:val="131413"/>
                <w:sz w:val="22"/>
                <w:szCs w:val="22"/>
                <w:lang w:val="en-US"/>
              </w:rPr>
              <w:t>in</w:t>
            </w:r>
            <w:r>
              <w:rPr>
                <w:rFonts w:cs="Times New Roman CE" w:ascii="Times New Roman CE" w:hAnsi="Times New Roman CE"/>
                <w:color w:val="131413"/>
                <w:sz w:val="22"/>
                <w:szCs w:val="22"/>
                <w:lang w:val="en-US"/>
              </w:rPr>
              <w:t>ă</w:t>
            </w:r>
            <w:r>
              <w:rPr>
                <w:color w:val="131413"/>
                <w:sz w:val="22"/>
                <w:szCs w:val="22"/>
                <w:lang w:val="en-US"/>
              </w:rPr>
              <w:t>u, ATIC, 22-25 martie 2016, vol. II, 122-128. ISBN: 978-9975-3099-9-8.</w:t>
            </w:r>
          </w:p>
          <w:p>
            <w:pPr>
              <w:pStyle w:val="Normal"/>
              <w:widowControl/>
              <w:suppressAutoHyphens w:val="true"/>
              <w:bidi w:val="0"/>
              <w:spacing w:before="0" w:after="80"/>
              <w:ind w:left="284" w:right="0" w:hanging="0"/>
              <w:jc w:val="both"/>
              <w:textAlignment w:val="auto"/>
              <w:rPr>
                <w:lang w:val="it-IT"/>
              </w:rPr>
            </w:pPr>
            <w:r>
              <w:rPr>
                <w:b/>
                <w:color w:val="131413"/>
                <w:sz w:val="22"/>
                <w:szCs w:val="22"/>
                <w:lang w:val="it-IT"/>
              </w:rPr>
              <w:t>Teze ale comunic</w:t>
            </w:r>
            <w:r>
              <w:rPr>
                <w:rFonts w:cs="Times New Roman CE" w:ascii="Times New Roman CE" w:hAnsi="Times New Roman CE"/>
                <w:b/>
                <w:color w:val="131413"/>
                <w:sz w:val="22"/>
                <w:szCs w:val="22"/>
                <w:lang w:val="it-IT"/>
              </w:rPr>
              <w:t>ă</w:t>
            </w:r>
            <w:r>
              <w:rPr>
                <w:b/>
                <w:color w:val="131413"/>
                <w:sz w:val="22"/>
                <w:szCs w:val="22"/>
                <w:lang w:val="it-IT"/>
              </w:rPr>
              <w:t>rilor la congrese, conferin</w:t>
            </w:r>
            <w:r>
              <w:rPr>
                <w:rFonts w:cs="Times New Roman CE" w:ascii="Times New Roman CE" w:hAnsi="Times New Roman CE"/>
                <w:b/>
                <w:color w:val="131413"/>
                <w:sz w:val="22"/>
                <w:szCs w:val="22"/>
                <w:lang w:val="it-IT"/>
              </w:rPr>
              <w:t>ţ</w:t>
            </w:r>
            <w:r>
              <w:rPr>
                <w:b/>
                <w:color w:val="131413"/>
                <w:sz w:val="22"/>
                <w:szCs w:val="22"/>
                <w:lang w:val="it-IT"/>
              </w:rPr>
              <w:t>e, simpozioane (interna</w:t>
            </w:r>
            <w:r>
              <w:rPr>
                <w:rFonts w:cs="Times New Roman CE" w:ascii="Times New Roman CE" w:hAnsi="Times New Roman CE"/>
                <w:b/>
                <w:color w:val="131413"/>
                <w:sz w:val="22"/>
                <w:szCs w:val="22"/>
                <w:lang w:val="it-IT"/>
              </w:rPr>
              <w:t>ţ</w:t>
            </w:r>
            <w:r>
              <w:rPr>
                <w:b/>
                <w:color w:val="131413"/>
                <w:sz w:val="22"/>
                <w:szCs w:val="22"/>
                <w:lang w:val="it-IT"/>
              </w:rPr>
              <w:t>ionale):</w:t>
            </w:r>
          </w:p>
          <w:p>
            <w:pPr>
              <w:pStyle w:val="Normal"/>
              <w:widowControl w:val="false"/>
              <w:numPr>
                <w:ilvl w:val="0"/>
                <w:numId w:val="53"/>
              </w:numPr>
              <w:tabs>
                <w:tab w:val="left" w:pos="343" w:leader="none"/>
              </w:tabs>
              <w:bidi w:val="0"/>
              <w:spacing w:before="0" w:after="60"/>
              <w:ind w:left="357" w:right="0" w:hanging="357"/>
              <w:jc w:val="both"/>
              <w:textAlignment w:val="auto"/>
              <w:rPr>
                <w:lang w:val="it-IT"/>
              </w:rPr>
            </w:pPr>
            <w:r>
              <w:rPr>
                <w:sz w:val="22"/>
                <w:szCs w:val="22"/>
                <w:lang w:val="it-IT"/>
              </w:rPr>
              <w:t>GHEREG, V. Aplicarea Modelului Ramsey la evaluarea cre</w:t>
            </w:r>
            <w:r>
              <w:rPr>
                <w:rFonts w:cs="Times New Roman CE" w:ascii="Times New Roman CE" w:hAnsi="Times New Roman CE"/>
                <w:sz w:val="22"/>
                <w:szCs w:val="22"/>
                <w:lang w:val="ro-RO"/>
              </w:rPr>
              <w:t>ş</w:t>
            </w:r>
            <w:r>
              <w:rPr>
                <w:rFonts w:cs="Times New Roman CE" w:ascii="Times New Roman CE" w:hAnsi="Times New Roman CE"/>
                <w:sz w:val="22"/>
                <w:szCs w:val="22"/>
                <w:lang w:val="it-IT"/>
              </w:rPr>
              <w:t>terii economice a Republicii Moldova. Atelierul Matematică şi Şti</w:t>
            </w:r>
            <w:r>
              <w:rPr>
                <w:sz w:val="22"/>
                <w:szCs w:val="22"/>
                <w:lang w:val="it-IT"/>
              </w:rPr>
              <w:t>i</w:t>
            </w:r>
            <w:r>
              <w:rPr>
                <w:rFonts w:cs="Times New Roman CE" w:ascii="Times New Roman CE" w:hAnsi="Times New Roman CE"/>
                <w:sz w:val="22"/>
                <w:szCs w:val="22"/>
                <w:lang w:val="it-IT"/>
              </w:rPr>
              <w:t xml:space="preserve">nţa Informaţiei, </w:t>
            </w:r>
            <w:r>
              <w:rPr>
                <w:rFonts w:cs="Times New Roman CE" w:ascii="Times New Roman CE" w:hAnsi="Times New Roman CE"/>
                <w:i/>
                <w:sz w:val="22"/>
                <w:szCs w:val="22"/>
                <w:lang w:val="it-IT"/>
              </w:rPr>
              <w:t>Conferinţa Ştiinţifică Internaţională a studenţilor şi masteranzilor “Viitorul ne aparţine”</w:t>
            </w:r>
            <w:r>
              <w:rPr>
                <w:rFonts w:cs="Times New Roman CE" w:ascii="Times New Roman CE" w:hAnsi="Times New Roman CE"/>
                <w:sz w:val="22"/>
                <w:szCs w:val="22"/>
                <w:lang w:val="it-IT"/>
              </w:rPr>
              <w:t>, Ediţia a VI-a dedicată aniversării a 70-a de la crearea primelor instituţii de cercetare şi a 55-a de la fondarea Academiei de Ştiinţe a Moldovei, Culegere de teze. Chişinău 2016, 78.</w:t>
            </w:r>
          </w:p>
          <w:p>
            <w:pPr>
              <w:pStyle w:val="Normal"/>
              <w:widowControl/>
              <w:numPr>
                <w:ilvl w:val="0"/>
                <w:numId w:val="53"/>
              </w:numPr>
              <w:tabs>
                <w:tab w:val="left" w:pos="343" w:leader="none"/>
              </w:tabs>
              <w:suppressAutoHyphens w:val="true"/>
              <w:bidi w:val="0"/>
              <w:spacing w:before="0" w:after="60"/>
              <w:ind w:left="357" w:right="0" w:hanging="357"/>
              <w:jc w:val="both"/>
              <w:textAlignment w:val="auto"/>
              <w:rPr/>
            </w:pPr>
            <w:r>
              <w:rPr>
                <w:sz w:val="22"/>
                <w:szCs w:val="22"/>
                <w:lang w:val="it-IT"/>
              </w:rPr>
              <w:t xml:space="preserve">LOZOVANU, D. </w:t>
            </w:r>
            <w:r>
              <w:rPr>
                <w:sz w:val="22"/>
                <w:szCs w:val="22"/>
                <w:lang w:val="en-US"/>
              </w:rPr>
              <w:t xml:space="preserve">Determining stationary Nash equilibria for average stochastic games. </w:t>
            </w:r>
            <w:hyperlink r:id="rId18">
              <w:r>
                <w:rPr>
                  <w:webHidden/>
                  <w:rStyle w:val="Style5"/>
                  <w:i/>
                  <w:color w:val="131413"/>
                  <w:sz w:val="22"/>
                  <w:szCs w:val="22"/>
                  <w:lang w:val="en-US"/>
                </w:rPr>
                <w:t xml:space="preserve"> </w:t>
              </w:r>
              <w:r>
                <w:rPr>
                  <w:rStyle w:val="Style5"/>
                  <w:color w:val="131413"/>
                  <w:sz w:val="22"/>
                  <w:szCs w:val="22"/>
                  <w:lang w:val="en-US"/>
                </w:rPr>
                <w:t xml:space="preserve">În: </w:t>
              </w:r>
              <w:r>
                <w:rPr>
                  <w:rStyle w:val="Style5"/>
                  <w:i/>
                  <w:color w:val="131413"/>
                  <w:sz w:val="22"/>
                  <w:szCs w:val="22"/>
                  <w:lang w:val="en-US"/>
                </w:rPr>
                <w:t>Abstracts of the International Conference Mathematicals &amp; Information Technologies: research&amp;</w:t>
              </w:r>
            </w:hyperlink>
            <w:r>
              <w:rPr>
                <w:i/>
                <w:color w:val="131413"/>
                <w:sz w:val="22"/>
                <w:szCs w:val="22"/>
                <w:lang w:val="en-US"/>
              </w:rPr>
              <w:t>education (MITRE-2016)</w:t>
            </w:r>
            <w:r>
              <w:rPr>
                <w:rFonts w:cs="Times New Roman CE" w:ascii="Times New Roman CE" w:hAnsi="Times New Roman CE"/>
                <w:color w:val="131413"/>
                <w:sz w:val="22"/>
                <w:szCs w:val="22"/>
                <w:lang w:val="en-US"/>
              </w:rPr>
              <w:t>, Chişinău, Re</w:t>
            </w:r>
            <w:r>
              <w:rPr>
                <w:color w:val="131413"/>
                <w:sz w:val="22"/>
                <w:szCs w:val="22"/>
                <w:lang w:val="en-US"/>
              </w:rPr>
              <w:t xml:space="preserve">publica Moldova, 23–26 iunie 2016, 93, ISSN 978-9975-71-784-6. </w:t>
            </w:r>
          </w:p>
          <w:p>
            <w:pPr>
              <w:pStyle w:val="Normal"/>
              <w:widowControl/>
              <w:suppressAutoHyphens w:val="true"/>
              <w:bidi w:val="0"/>
              <w:spacing w:before="0" w:after="80"/>
              <w:ind w:left="284" w:right="0" w:hanging="0"/>
              <w:jc w:val="both"/>
              <w:textAlignment w:val="auto"/>
              <w:rPr>
                <w:lang w:val="it-IT"/>
              </w:rPr>
            </w:pPr>
            <w:bookmarkStart w:id="33" w:name="_Toc469648795"/>
            <w:bookmarkStart w:id="34" w:name="_Toc469651878"/>
            <w:bookmarkEnd w:id="33"/>
            <w:bookmarkEnd w:id="34"/>
            <w:r>
              <w:rPr>
                <w:rFonts w:cs="Times New Roman CE" w:ascii="Times New Roman CE" w:hAnsi="Times New Roman CE"/>
                <w:b/>
                <w:color w:val="131413"/>
                <w:sz w:val="22"/>
                <w:szCs w:val="22"/>
                <w:lang w:val="it-IT"/>
              </w:rPr>
              <w:t>Lista comunicărilor ştiinţifice prezentate la manifestări internaţionale, publicate ca rezumat (1-3 pagini)</w:t>
            </w:r>
          </w:p>
          <w:p>
            <w:pPr>
              <w:pStyle w:val="Normal"/>
              <w:widowControl/>
              <w:numPr>
                <w:ilvl w:val="0"/>
                <w:numId w:val="55"/>
              </w:numPr>
              <w:tabs>
                <w:tab w:val="left" w:pos="340" w:leader="none"/>
              </w:tabs>
              <w:suppressAutoHyphens w:val="true"/>
              <w:bidi w:val="0"/>
              <w:spacing w:before="0" w:after="60"/>
              <w:ind w:left="340" w:right="0" w:hanging="340"/>
              <w:jc w:val="both"/>
              <w:textAlignment w:val="auto"/>
              <w:rPr>
                <w:lang w:val="en-US"/>
              </w:rPr>
            </w:pPr>
            <w:r>
              <w:rPr>
                <w:color w:val="131413"/>
                <w:sz w:val="22"/>
                <w:szCs w:val="22"/>
                <w:lang w:val="en-US"/>
              </w:rPr>
              <w:t xml:space="preserve">LOZOVANU, D.; PICKL, St. An approach for determining the optimal strategies in average antagonistic stochastic games. În: </w:t>
            </w:r>
            <w:r>
              <w:rPr>
                <w:i/>
                <w:color w:val="131413"/>
                <w:sz w:val="22"/>
                <w:szCs w:val="22"/>
                <w:lang w:val="en-US"/>
              </w:rPr>
              <w:t>Abstracts of</w:t>
            </w:r>
            <w:r>
              <w:rPr>
                <w:color w:val="131413"/>
                <w:sz w:val="22"/>
                <w:szCs w:val="22"/>
                <w:lang w:val="en-US"/>
              </w:rPr>
              <w:t xml:space="preserve"> </w:t>
            </w:r>
            <w:r>
              <w:rPr>
                <w:i/>
                <w:color w:val="131413"/>
                <w:sz w:val="22"/>
                <w:szCs w:val="22"/>
                <w:lang w:val="en-US"/>
              </w:rPr>
              <w:t>the 10th international conference GTM2016</w:t>
            </w:r>
            <w:r>
              <w:rPr>
                <w:color w:val="131413"/>
                <w:sz w:val="22"/>
                <w:szCs w:val="22"/>
                <w:lang w:val="en-US"/>
              </w:rPr>
              <w:t>, Saint Petersburg, July 7-9 2016, 95-97.</w:t>
            </w:r>
          </w:p>
          <w:p>
            <w:pPr>
              <w:pStyle w:val="Normal"/>
              <w:widowControl/>
              <w:numPr>
                <w:ilvl w:val="0"/>
                <w:numId w:val="55"/>
              </w:numPr>
              <w:tabs>
                <w:tab w:val="left" w:pos="340" w:leader="none"/>
              </w:tabs>
              <w:suppressAutoHyphens w:val="true"/>
              <w:bidi w:val="0"/>
              <w:spacing w:before="0" w:after="60"/>
              <w:ind w:left="357" w:right="0" w:hanging="357"/>
              <w:jc w:val="both"/>
              <w:textAlignment w:val="auto"/>
              <w:rPr/>
            </w:pPr>
            <w:r>
              <w:rPr>
                <w:color w:val="131413"/>
                <w:sz w:val="22"/>
                <w:szCs w:val="22"/>
                <w:lang w:val="en-US"/>
              </w:rPr>
              <w:t>SECRIERU, G.; GUTULEAC, E. Numerical vulnerability assessment of hazardous materials storage under dynamic load.</w:t>
            </w:r>
            <w:hyperlink r:id="rId19">
              <w:r>
                <w:rPr>
                  <w:webHidden/>
                  <w:rStyle w:val="Style5"/>
                  <w:i/>
                  <w:color w:val="131413"/>
                  <w:sz w:val="22"/>
                  <w:szCs w:val="22"/>
                  <w:lang w:val="en-US"/>
                </w:rPr>
                <w:t xml:space="preserve"> </w:t>
              </w:r>
              <w:r>
                <w:rPr>
                  <w:rStyle w:val="Style5"/>
                  <w:color w:val="131413"/>
                  <w:sz w:val="22"/>
                  <w:szCs w:val="22"/>
                  <w:lang w:val="en-US"/>
                </w:rPr>
                <w:t xml:space="preserve">În: </w:t>
              </w:r>
              <w:r>
                <w:rPr>
                  <w:rStyle w:val="Style5"/>
                  <w:i/>
                  <w:color w:val="131413"/>
                  <w:sz w:val="22"/>
                  <w:szCs w:val="22"/>
                  <w:lang w:val="en-US"/>
                </w:rPr>
                <w:t>Abstracts of the International Conference Mathematicals &amp; Information Technologies: research&amp;</w:t>
              </w:r>
            </w:hyperlink>
            <w:r>
              <w:rPr>
                <w:i/>
                <w:color w:val="131413"/>
                <w:sz w:val="22"/>
                <w:szCs w:val="22"/>
                <w:lang w:val="en-US"/>
              </w:rPr>
              <w:t>education (MITRE-2016)</w:t>
            </w:r>
            <w:r>
              <w:rPr>
                <w:rFonts w:cs="Times New Roman CE" w:ascii="Times New Roman CE" w:hAnsi="Times New Roman CE"/>
                <w:color w:val="131413"/>
                <w:sz w:val="22"/>
                <w:szCs w:val="22"/>
                <w:lang w:val="en-US"/>
              </w:rPr>
              <w:t xml:space="preserve">, Chişinău, Republica Moldova, 23–26 iunie 2016, 35-36, ISSN 978-9975-71-784-6. </w:t>
            </w:r>
          </w:p>
        </w:tc>
      </w:tr>
    </w:tbl>
    <w:p>
      <w:pPr>
        <w:pStyle w:val="Normal"/>
        <w:widowControl/>
        <w:numPr>
          <w:ilvl w:val="0"/>
          <w:numId w:val="26"/>
        </w:numPr>
        <w:tabs>
          <w:tab w:val="left" w:pos="180" w:leader="none"/>
        </w:tabs>
        <w:bidi w:val="0"/>
        <w:ind w:left="641" w:right="0" w:hanging="0"/>
        <w:jc w:val="left"/>
        <w:textAlignment w:val="auto"/>
        <w:rPr>
          <w:lang w:val="ro-MD"/>
        </w:rPr>
      </w:pPr>
      <w:r>
        <w:rPr>
          <w:sz w:val="22"/>
          <w:szCs w:val="22"/>
          <w:lang w:val="ro-MD"/>
        </w:rPr>
        <w:t>Relevan</w:t>
      </w:r>
      <w:r>
        <w:rPr>
          <w:rFonts w:cs="Cambria Math" w:ascii="Cambria Math" w:hAnsi="Cambria Math"/>
          <w:sz w:val="22"/>
          <w:szCs w:val="22"/>
          <w:lang w:val="ro-MD"/>
        </w:rPr>
        <w:t>ț</w:t>
      </w:r>
      <w:r>
        <w:rPr>
          <w:sz w:val="22"/>
          <w:szCs w:val="22"/>
          <w:lang w:val="ro-MD"/>
        </w:rPr>
        <w:t xml:space="preserve">a rezultatelor </w:t>
      </w:r>
      <w:r>
        <w:rPr>
          <w:rFonts w:cs="Cambria Math" w:ascii="Cambria Math" w:hAnsi="Cambria Math"/>
          <w:sz w:val="22"/>
          <w:szCs w:val="22"/>
          <w:lang w:val="ro-MD"/>
        </w:rPr>
        <w:t>ș</w:t>
      </w:r>
      <w:r>
        <w:rPr>
          <w:sz w:val="22"/>
          <w:szCs w:val="22"/>
          <w:lang w:val="ro-MD"/>
        </w:rPr>
        <w:t>tiin</w:t>
      </w:r>
      <w:r>
        <w:rPr>
          <w:rFonts w:cs="Cambria Math" w:ascii="Cambria Math" w:hAnsi="Cambria Math"/>
          <w:sz w:val="22"/>
          <w:szCs w:val="22"/>
          <w:lang w:val="ro-MD"/>
        </w:rPr>
        <w:t>ț</w:t>
      </w:r>
      <w:r>
        <w:rPr>
          <w:sz w:val="22"/>
          <w:szCs w:val="22"/>
          <w:lang w:val="ro-MD"/>
        </w:rPr>
        <w:t>ifice ob</w:t>
      </w:r>
      <w:r>
        <w:rPr>
          <w:rFonts w:cs="Cambria Math" w:ascii="Cambria Math" w:hAnsi="Cambria Math"/>
          <w:sz w:val="22"/>
          <w:szCs w:val="22"/>
          <w:lang w:val="ro-MD"/>
        </w:rPr>
        <w:t>ț</w:t>
      </w:r>
      <w:r>
        <w:rPr>
          <w:sz w:val="22"/>
          <w:szCs w:val="22"/>
          <w:lang w:val="ro-MD"/>
        </w:rPr>
        <w:t>inute 2016</w:t>
      </w:r>
      <w:r>
        <w:rPr>
          <w:bCs/>
          <w:sz w:val="22"/>
          <w:szCs w:val="22"/>
          <w:lang w:val="ro-MD"/>
        </w:rPr>
        <w:t xml:space="preserve"> </w:t>
      </w:r>
    </w:p>
    <w:tbl>
      <w:tblPr>
        <w:tblW w:w="9638"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638"/>
      </w:tblGrid>
      <w:tr>
        <w:trPr/>
        <w:tc>
          <w:tcPr>
            <w:tcW w:w="9638"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both"/>
              <w:textAlignment w:val="auto"/>
              <w:rPr>
                <w:lang w:val="ro-RO"/>
              </w:rPr>
            </w:pPr>
            <w:r>
              <w:rPr>
                <w:sz w:val="22"/>
                <w:szCs w:val="22"/>
                <w:lang w:val="ro-RO"/>
              </w:rPr>
              <w:t>Elaborarea algoritmilor numerici eficien</w:t>
            </w:r>
            <w:r>
              <w:rPr>
                <w:rFonts w:cs="Times New Roman CE" w:ascii="Times New Roman CE" w:hAnsi="Times New Roman CE"/>
                <w:sz w:val="22"/>
                <w:szCs w:val="22"/>
                <w:lang w:val="ro-MD"/>
              </w:rPr>
              <w:t>ţ</w:t>
            </w:r>
            <w:r>
              <w:rPr>
                <w:sz w:val="22"/>
                <w:szCs w:val="22"/>
                <w:lang w:val="ro-RO"/>
              </w:rPr>
              <w:t>i pentru</w:t>
            </w:r>
            <w:r>
              <w:rPr>
                <w:rFonts w:cs="Times New Roman CE" w:ascii="Times New Roman CE" w:hAnsi="Times New Roman CE"/>
                <w:sz w:val="22"/>
                <w:szCs w:val="22"/>
                <w:lang w:val="ro-RO"/>
              </w:rPr>
              <w:t xml:space="preserve"> soluţionarea</w:t>
            </w:r>
            <w:r>
              <w:rPr>
                <w:sz w:val="22"/>
                <w:szCs w:val="22"/>
                <w:lang w:val="ro-RO"/>
              </w:rPr>
              <w:t xml:space="preserve"> problemelor moderne de evolu</w:t>
            </w:r>
            <w:r>
              <w:rPr>
                <w:rFonts w:cs="Times New Roman CE" w:ascii="Times New Roman CE" w:hAnsi="Times New Roman CE"/>
                <w:sz w:val="22"/>
                <w:szCs w:val="22"/>
                <w:lang w:val="ro-MD"/>
              </w:rPr>
              <w:t>ţ</w:t>
            </w:r>
            <w:r>
              <w:rPr>
                <w:rFonts w:cs="Times New Roman CE" w:ascii="Times New Roman CE" w:hAnsi="Times New Roman CE"/>
                <w:sz w:val="22"/>
                <w:szCs w:val="22"/>
                <w:lang w:val="ro-RO"/>
              </w:rPr>
              <w:t>ie, optimizare şi teoria aşteptă</w:t>
            </w:r>
            <w:r>
              <w:rPr>
                <w:sz w:val="22"/>
                <w:szCs w:val="22"/>
                <w:lang w:val="ro-RO"/>
              </w:rPr>
              <w:t>rii</w:t>
            </w:r>
            <w:r>
              <w:rPr>
                <w:rFonts w:cs="Times New Roman CE" w:ascii="Times New Roman CE" w:hAnsi="Times New Roman CE"/>
                <w:color w:val="000000"/>
                <w:sz w:val="22"/>
                <w:szCs w:val="22"/>
                <w:lang w:val="ro-MD"/>
              </w:rPr>
              <w:t xml:space="preserve">  reprezintă o direc</w:t>
            </w:r>
            <w:r>
              <w:rPr>
                <w:rFonts w:cs="Times New Roman CE" w:ascii="Times New Roman CE" w:hAnsi="Times New Roman CE"/>
                <w:sz w:val="22"/>
                <w:szCs w:val="22"/>
                <w:lang w:val="ro-MD"/>
              </w:rPr>
              <w:t>ţ</w:t>
            </w:r>
            <w:r>
              <w:rPr>
                <w:rFonts w:cs="Times New Roman CE" w:ascii="Times New Roman CE" w:hAnsi="Times New Roman CE"/>
                <w:color w:val="000000"/>
                <w:sz w:val="22"/>
                <w:szCs w:val="22"/>
                <w:lang w:val="ro-MD"/>
              </w:rPr>
              <w:t>ie prioritară în domeniul cercetărilor opera</w:t>
            </w:r>
            <w:r>
              <w:rPr>
                <w:rFonts w:cs="Times New Roman CE" w:ascii="Times New Roman CE" w:hAnsi="Times New Roman CE"/>
                <w:sz w:val="22"/>
                <w:szCs w:val="22"/>
                <w:lang w:val="ro-MD"/>
              </w:rPr>
              <w:t>ţ</w:t>
            </w:r>
            <w:r>
              <w:rPr>
                <w:color w:val="000000"/>
                <w:sz w:val="22"/>
                <w:szCs w:val="22"/>
                <w:lang w:val="ro-MD"/>
              </w:rPr>
              <w:t>ionale.  Pentru problemele men</w:t>
            </w:r>
            <w:r>
              <w:rPr>
                <w:rFonts w:cs="Times New Roman CE" w:ascii="Times New Roman CE" w:hAnsi="Times New Roman CE"/>
                <w:sz w:val="22"/>
                <w:szCs w:val="22"/>
                <w:lang w:val="ro-MD"/>
              </w:rPr>
              <w:t>ţ</w:t>
            </w:r>
            <w:r>
              <w:rPr>
                <w:rFonts w:cs="Times New Roman CE" w:ascii="Times New Roman CE" w:hAnsi="Times New Roman CE"/>
                <w:color w:val="000000"/>
                <w:sz w:val="22"/>
                <w:szCs w:val="22"/>
                <w:lang w:val="ro-MD"/>
              </w:rPr>
              <w:t>ionate s-au elaborat şi teoretic s-au argumentat noi  algoritmi baza</w:t>
            </w:r>
            <w:r>
              <w:rPr>
                <w:rFonts w:cs="Times New Roman CE" w:ascii="Times New Roman CE" w:hAnsi="Times New Roman CE"/>
                <w:sz w:val="22"/>
                <w:szCs w:val="22"/>
                <w:lang w:val="ro-MD"/>
              </w:rPr>
              <w:t>ţ</w:t>
            </w:r>
            <w:r>
              <w:rPr>
                <w:color w:val="000000"/>
                <w:sz w:val="22"/>
                <w:szCs w:val="22"/>
                <w:lang w:val="ro-MD"/>
              </w:rPr>
              <w:t>i at</w:t>
            </w:r>
            <w:r>
              <w:rPr>
                <w:rFonts w:cs="Times New Roman CE" w:ascii="Times New Roman CE" w:hAnsi="Times New Roman CE"/>
                <w:color w:val="000000"/>
                <w:sz w:val="22"/>
                <w:szCs w:val="22"/>
                <w:lang w:val="ro-MD"/>
              </w:rPr>
              <w:t>ât pe metode clasice de optimizare  şi analiză numerică</w:t>
            </w:r>
            <w:r>
              <w:rPr>
                <w:color w:val="000000"/>
                <w:sz w:val="22"/>
                <w:szCs w:val="22"/>
                <w:lang w:val="ro-MD"/>
              </w:rPr>
              <w:t>, c</w:t>
            </w:r>
            <w:r>
              <w:rPr>
                <w:rFonts w:cs="Times New Roman CE" w:ascii="Times New Roman CE" w:hAnsi="Times New Roman CE"/>
                <w:color w:val="000000"/>
                <w:sz w:val="22"/>
                <w:szCs w:val="22"/>
                <w:lang w:val="ro-MD"/>
              </w:rPr>
              <w:t xml:space="preserve">ât şi </w:t>
            </w:r>
            <w:r>
              <w:rPr>
                <w:color w:val="000000"/>
                <w:sz w:val="22"/>
                <w:szCs w:val="22"/>
                <w:lang w:val="ro-MD"/>
              </w:rPr>
              <w:t>pe  noi rezultate ob</w:t>
            </w:r>
            <w:r>
              <w:rPr>
                <w:rFonts w:cs="Times New Roman CE" w:ascii="Times New Roman CE" w:hAnsi="Times New Roman CE"/>
                <w:sz w:val="22"/>
                <w:szCs w:val="22"/>
                <w:lang w:val="ro-MD"/>
              </w:rPr>
              <w:t>ţ</w:t>
            </w:r>
            <w:r>
              <w:rPr>
                <w:rFonts w:cs="Times New Roman CE" w:ascii="Times New Roman CE" w:hAnsi="Times New Roman CE"/>
                <w:color w:val="000000"/>
                <w:sz w:val="22"/>
                <w:szCs w:val="22"/>
                <w:lang w:val="ro-MD"/>
              </w:rPr>
              <w:t>inute de executorii proiectului în perioada menţionată.  A</w:t>
            </w:r>
            <w:r>
              <w:rPr>
                <w:rFonts w:cs="Times New Roman CE" w:ascii="Times New Roman CE" w:hAnsi="Times New Roman CE"/>
                <w:sz w:val="22"/>
                <w:szCs w:val="22"/>
                <w:lang w:val="ro-MD"/>
              </w:rPr>
              <w:t>lgoritmii elaboraţi au fost realizaţi în formă</w:t>
            </w:r>
            <w:r>
              <w:rPr>
                <w:sz w:val="22"/>
                <w:szCs w:val="22"/>
                <w:lang w:val="ro-MD"/>
              </w:rPr>
              <w:t xml:space="preserve"> de soft </w:t>
            </w:r>
            <w:r>
              <w:rPr>
                <w:rFonts w:cs="Times New Roman CE" w:ascii="Times New Roman CE" w:hAnsi="Times New Roman CE"/>
                <w:color w:val="000000"/>
                <w:sz w:val="22"/>
                <w:szCs w:val="22"/>
                <w:lang w:val="ro-MD"/>
              </w:rPr>
              <w:t>ş</w:t>
            </w:r>
            <w:r>
              <w:rPr>
                <w:rFonts w:cs="Times New Roman CE" w:ascii="Times New Roman CE" w:hAnsi="Times New Roman CE"/>
                <w:sz w:val="22"/>
                <w:szCs w:val="22"/>
                <w:lang w:val="ro-MD"/>
              </w:rPr>
              <w:t xml:space="preserve">i pot fi utilizaţi </w:t>
            </w:r>
            <w:r>
              <w:rPr>
                <w:sz w:val="22"/>
                <w:szCs w:val="22"/>
                <w:lang w:val="ro-MD"/>
              </w:rPr>
              <w:t>pentru</w:t>
            </w:r>
            <w:r>
              <w:rPr>
                <w:rFonts w:cs="Times New Roman CE" w:ascii="Times New Roman CE" w:hAnsi="Times New Roman CE"/>
                <w:sz w:val="22"/>
                <w:szCs w:val="22"/>
                <w:lang w:val="ro-MD"/>
              </w:rPr>
              <w:t xml:space="preserve"> soluţionarea diverselor probleme aplicative din domeniile economiei, biologiei, robototehnicii, sistemelor de comunicaţii, planificării transportă</w:t>
            </w:r>
            <w:r>
              <w:rPr>
                <w:sz w:val="22"/>
                <w:szCs w:val="22"/>
                <w:lang w:val="ro-MD"/>
              </w:rPr>
              <w:t xml:space="preserve">rilor etc. </w:t>
            </w:r>
          </w:p>
        </w:tc>
      </w:tr>
    </w:tbl>
    <w:p>
      <w:pPr>
        <w:pStyle w:val="5"/>
        <w:keepNext/>
        <w:widowControl/>
        <w:numPr>
          <w:ilvl w:val="0"/>
          <w:numId w:val="0"/>
        </w:numPr>
        <w:bidi w:val="0"/>
        <w:ind w:left="0" w:right="0" w:hanging="0"/>
        <w:jc w:val="right"/>
        <w:textAlignment w:val="auto"/>
        <w:outlineLvl w:val="4"/>
        <w:rPr>
          <w:rFonts w:ascii="Times New Roman" w:hAnsi="Times New Roman"/>
          <w:b w:val="false"/>
          <w:b w:val="false"/>
          <w:bCs w:val="false"/>
          <w:i/>
          <w:i/>
          <w:iCs/>
          <w:sz w:val="20"/>
        </w:rPr>
      </w:pPr>
      <w:r>
        <w:rPr>
          <w:b w:val="false"/>
          <w:bCs w:val="false"/>
          <w:i/>
          <w:iCs/>
          <w:sz w:val="20"/>
        </w:rPr>
      </w:r>
    </w:p>
    <w:p>
      <w:pPr>
        <w:pStyle w:val="5"/>
        <w:keepNext/>
        <w:widowControl/>
        <w:numPr>
          <w:ilvl w:val="0"/>
          <w:numId w:val="0"/>
        </w:numPr>
        <w:bidi w:val="0"/>
        <w:ind w:left="0" w:right="0" w:hanging="0"/>
        <w:jc w:val="left"/>
        <w:textAlignment w:val="auto"/>
        <w:outlineLvl w:val="4"/>
        <w:rPr>
          <w:rFonts w:ascii="Times New Roman" w:hAnsi="Times New Roman"/>
          <w:b w:val="false"/>
          <w:b w:val="false"/>
          <w:bCs w:val="false"/>
          <w:iCs/>
          <w:sz w:val="20"/>
        </w:rPr>
      </w:pPr>
      <w:r>
        <w:rPr>
          <w:b w:val="false"/>
          <w:bCs w:val="false"/>
          <w:iCs/>
          <w:sz w:val="20"/>
        </w:rPr>
      </w:r>
    </w:p>
    <w:p>
      <w:pPr>
        <w:pStyle w:val="5"/>
        <w:keepNext/>
        <w:widowControl/>
        <w:numPr>
          <w:ilvl w:val="0"/>
          <w:numId w:val="0"/>
        </w:numPr>
        <w:bidi w:val="0"/>
        <w:ind w:left="0" w:right="0" w:hanging="0"/>
        <w:jc w:val="left"/>
        <w:textAlignment w:val="auto"/>
        <w:outlineLvl w:val="4"/>
        <w:rPr>
          <w:rFonts w:ascii="Times New Roman" w:hAnsi="Times New Roman"/>
          <w:b w:val="false"/>
          <w:b w:val="false"/>
          <w:bCs w:val="false"/>
          <w:iCs/>
          <w:sz w:val="20"/>
        </w:rPr>
      </w:pPr>
      <w:r>
        <w:rPr>
          <w:b w:val="false"/>
          <w:bCs w:val="false"/>
          <w:iCs/>
          <w:sz w:val="20"/>
        </w:rPr>
      </w:r>
    </w:p>
    <w:p>
      <w:pPr>
        <w:pStyle w:val="5"/>
        <w:keepNext/>
        <w:widowControl/>
        <w:numPr>
          <w:ilvl w:val="0"/>
          <w:numId w:val="0"/>
        </w:numPr>
        <w:bidi w:val="0"/>
        <w:ind w:left="0" w:right="0" w:hanging="0"/>
        <w:jc w:val="left"/>
        <w:textAlignment w:val="auto"/>
        <w:outlineLvl w:val="4"/>
        <w:rPr>
          <w:b w:val="false"/>
          <w:b w:val="false"/>
        </w:rPr>
      </w:pPr>
      <w:r>
        <w:rPr>
          <w:b w:val="false"/>
          <w:bCs w:val="false"/>
          <w:iCs/>
          <w:szCs w:val="22"/>
        </w:rPr>
        <w:t>Conduc</w:t>
      </w:r>
      <w:r>
        <w:rPr>
          <w:rFonts w:cs="Times New Roman CE" w:ascii="Times New Roman CE" w:hAnsi="Times New Roman CE"/>
          <w:b w:val="false"/>
          <w:bCs w:val="false"/>
          <w:iCs/>
          <w:szCs w:val="22"/>
        </w:rPr>
        <w:t>ă</w:t>
      </w:r>
      <w:r>
        <w:rPr>
          <w:b w:val="false"/>
          <w:bCs w:val="false"/>
          <w:iCs/>
          <w:szCs w:val="22"/>
        </w:rPr>
        <w:t xml:space="preserve">torul proiectului </w:t>
      </w:r>
      <w:r>
        <w:rPr>
          <w:b w:val="false"/>
          <w:bCs w:val="false"/>
          <w:i/>
          <w:iCs/>
          <w:spacing w:val="0"/>
          <w:sz w:val="24"/>
          <w:szCs w:val="24"/>
          <w:lang w:val="ro-RO"/>
        </w:rPr>
        <w:t>__________________________________</w:t>
      </w:r>
      <w:r>
        <w:rPr>
          <w:b w:val="false"/>
          <w:bCs w:val="false"/>
          <w:iCs/>
          <w:spacing w:val="0"/>
          <w:sz w:val="24"/>
          <w:szCs w:val="24"/>
          <w:lang w:val="ro-RO"/>
        </w:rPr>
        <w:t xml:space="preserve">dr.hab. </w:t>
      </w:r>
      <w:r>
        <w:rPr>
          <w:b w:val="false"/>
          <w:bCs w:val="false"/>
          <w:iCs/>
          <w:szCs w:val="22"/>
        </w:rPr>
        <w:t xml:space="preserve">Dmitrii LOZOVANU </w:t>
      </w:r>
    </w:p>
    <w:p>
      <w:pPr>
        <w:pStyle w:val="5"/>
        <w:keepNext/>
        <w:widowControl/>
        <w:numPr>
          <w:ilvl w:val="0"/>
          <w:numId w:val="0"/>
        </w:numPr>
        <w:tabs>
          <w:tab w:val="left" w:pos="0" w:leader="none"/>
        </w:tabs>
        <w:suppressAutoHyphens w:val="true"/>
        <w:bidi w:val="0"/>
        <w:ind w:left="0" w:right="0" w:hanging="0"/>
        <w:jc w:val="left"/>
        <w:textAlignment w:val="auto"/>
        <w:outlineLvl w:val="4"/>
        <w:rPr>
          <w:rFonts w:ascii="Times New Roman" w:hAnsi="Times New Roman"/>
          <w:b w:val="false"/>
          <w:b w:val="false"/>
        </w:rPr>
      </w:pPr>
      <w:r>
        <w:rPr>
          <w:b w:val="false"/>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2"/>
        <w:keepNext/>
        <w:widowControl/>
        <w:numPr>
          <w:ilvl w:val="0"/>
          <w:numId w:val="0"/>
        </w:numPr>
        <w:bidi w:val="0"/>
        <w:ind w:left="0" w:right="0" w:hanging="0"/>
        <w:jc w:val="left"/>
        <w:textAlignment w:val="auto"/>
        <w:outlineLvl w:val="1"/>
        <w:rPr>
          <w:lang w:val="it-IT"/>
        </w:rPr>
      </w:pPr>
      <w:bookmarkStart w:id="35" w:name="_Toc311818427"/>
      <w:bookmarkStart w:id="36" w:name="_Toc469651879"/>
      <w:bookmarkStart w:id="37" w:name="_Toc375219565"/>
      <w:bookmarkStart w:id="38" w:name="_Toc311820777"/>
      <w:bookmarkStart w:id="39" w:name="_Toc311820453"/>
      <w:bookmarkStart w:id="40" w:name="_Toc311819974"/>
      <w:bookmarkStart w:id="41" w:name="_Toc311819703"/>
      <w:bookmarkStart w:id="42" w:name="_Toc311818759"/>
      <w:bookmarkEnd w:id="35"/>
      <w:bookmarkEnd w:id="36"/>
      <w:bookmarkEnd w:id="37"/>
      <w:bookmarkEnd w:id="38"/>
      <w:bookmarkEnd w:id="39"/>
      <w:bookmarkEnd w:id="40"/>
      <w:bookmarkEnd w:id="41"/>
      <w:bookmarkEnd w:id="42"/>
      <w:r>
        <w:rPr>
          <w:rFonts w:cs="Times New Roman CE" w:ascii="Times New Roman CE" w:hAnsi="Times New Roman CE"/>
          <w:i/>
          <w:sz w:val="26"/>
          <w:lang w:val="it-IT" w:eastAsia="ru-RU"/>
        </w:rPr>
        <w:t>Fişa proiectului de cercetări aplicative II</w:t>
      </w:r>
    </w:p>
    <w:p>
      <w:pPr>
        <w:pStyle w:val="Normal"/>
        <w:widowControl/>
        <w:numPr>
          <w:ilvl w:val="0"/>
          <w:numId w:val="19"/>
        </w:numPr>
        <w:bidi w:val="0"/>
        <w:ind w:left="720" w:right="0" w:hanging="0"/>
        <w:jc w:val="left"/>
        <w:textAlignment w:val="auto"/>
        <w:rPr>
          <w:lang w:val="ro-MD"/>
        </w:rPr>
      </w:pPr>
      <w:r>
        <w:rPr>
          <w:rFonts w:cs="Times New Roman CE" w:ascii="Times New Roman CE" w:hAnsi="Times New Roman CE"/>
          <w:bCs/>
          <w:sz w:val="22"/>
          <w:szCs w:val="22"/>
          <w:lang w:val="ro-MD"/>
        </w:rPr>
        <w:t>Denumirea direcţiei strategice,</w:t>
      </w:r>
      <w:r>
        <w:rPr>
          <w:sz w:val="22"/>
          <w:szCs w:val="22"/>
          <w:lang w:val="ro-MD"/>
        </w:rPr>
        <w:t xml:space="preserve"> </w:t>
      </w:r>
      <w:r>
        <w:rPr>
          <w:rFonts w:cs="Times New Roman CE" w:ascii="Times New Roman CE" w:hAnsi="Times New Roman CE"/>
          <w:bCs/>
          <w:sz w:val="22"/>
          <w:szCs w:val="22"/>
          <w:lang w:val="ro-MD"/>
        </w:rPr>
        <w:t xml:space="preserve">codul şi </w:t>
      </w:r>
      <w:r>
        <w:rPr>
          <w:bCs/>
          <w:color w:val="000000"/>
          <w:sz w:val="22"/>
          <w:szCs w:val="22"/>
          <w:lang w:val="ro-MD"/>
        </w:rPr>
        <w:t xml:space="preserve">denumirea </w:t>
      </w:r>
      <w:r>
        <w:rPr>
          <w:color w:val="000000"/>
          <w:sz w:val="22"/>
          <w:szCs w:val="22"/>
          <w:lang w:val="ro-MD"/>
        </w:rPr>
        <w:t>proiectului</w:t>
      </w:r>
      <w:r>
        <w:rPr>
          <w:bCs/>
          <w:color w:val="000000"/>
          <w:sz w:val="22"/>
          <w:szCs w:val="22"/>
          <w:lang w:val="ro-MD"/>
        </w:rPr>
        <w:t xml:space="preserve"> </w:t>
      </w:r>
    </w:p>
    <w:tbl>
      <w:tblPr>
        <w:tblW w:w="9737"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737"/>
      </w:tblGrid>
      <w:tr>
        <w:trPr>
          <w:trHeight w:val="634" w:hRule="atLeast"/>
        </w:trPr>
        <w:tc>
          <w:tcPr>
            <w:tcW w:w="9737"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i/>
                <w:sz w:val="22"/>
                <w:szCs w:val="22"/>
                <w:lang w:val="ro-MD"/>
              </w:rPr>
              <w:t xml:space="preserve">18.02 Cercetări ştiinţifice aplicative cu destinaţia generală </w:t>
            </w:r>
            <w:r>
              <w:rPr>
                <w:i/>
                <w:sz w:val="22"/>
                <w:szCs w:val="22"/>
                <w:lang w:val="ro-RO"/>
              </w:rPr>
              <w:t>„</w:t>
            </w:r>
            <w:r>
              <w:rPr>
                <w:rFonts w:cs="Times New Roman CE" w:ascii="Times New Roman CE" w:hAnsi="Times New Roman CE"/>
                <w:i/>
                <w:sz w:val="22"/>
                <w:szCs w:val="22"/>
                <w:lang w:val="ro-MD"/>
              </w:rPr>
              <w:t>Materiale, tehnologii şi produse inovative</w:t>
            </w:r>
            <w:r>
              <w:rPr>
                <w:i/>
                <w:sz w:val="22"/>
                <w:szCs w:val="22"/>
                <w:lang w:val="ro-MD"/>
              </w:rPr>
              <w:t>”</w:t>
            </w:r>
          </w:p>
          <w:p>
            <w:pPr>
              <w:pStyle w:val="Normal"/>
              <w:widowControl/>
              <w:bidi w:val="0"/>
              <w:ind w:left="0" w:right="0" w:hanging="0"/>
              <w:jc w:val="left"/>
              <w:textAlignment w:val="auto"/>
              <w:rPr>
                <w:lang w:val="ro-MD"/>
              </w:rPr>
            </w:pPr>
            <w:r>
              <w:rPr>
                <w:rFonts w:cs="Times New Roman CE" w:ascii="Times New Roman CE" w:hAnsi="Times New Roman CE"/>
                <w:i/>
                <w:sz w:val="22"/>
                <w:szCs w:val="22"/>
                <w:lang w:val="ro-MD"/>
              </w:rPr>
              <w:t>15.817.02.02A . ”Modele şi tehnologii în ingineria sistemelor inteligente şi a calculului performant”</w:t>
            </w:r>
          </w:p>
        </w:tc>
      </w:tr>
    </w:tbl>
    <w:p>
      <w:pPr>
        <w:pStyle w:val="Normal"/>
        <w:widowControl/>
        <w:numPr>
          <w:ilvl w:val="0"/>
          <w:numId w:val="19"/>
        </w:numPr>
        <w:bidi w:val="0"/>
        <w:ind w:left="720" w:right="0" w:hanging="0"/>
        <w:jc w:val="left"/>
        <w:textAlignment w:val="auto"/>
        <w:rPr>
          <w:lang w:val="ro-MD"/>
        </w:rPr>
      </w:pPr>
      <w:r>
        <w:rPr>
          <w:bCs/>
          <w:sz w:val="22"/>
          <w:szCs w:val="22"/>
          <w:lang w:val="ro-MD"/>
        </w:rPr>
        <w:t xml:space="preserve">Obiectivele proiectului </w:t>
      </w:r>
    </w:p>
    <w:tbl>
      <w:tblPr>
        <w:tblW w:w="9737"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737"/>
      </w:tblGrid>
      <w:tr>
        <w:trPr>
          <w:trHeight w:val="1290" w:hRule="atLeast"/>
        </w:trPr>
        <w:tc>
          <w:tcPr>
            <w:tcW w:w="9737"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ListParagraph"/>
              <w:widowControl/>
              <w:numPr>
                <w:ilvl w:val="0"/>
                <w:numId w:val="111"/>
              </w:numPr>
              <w:bidi w:val="0"/>
              <w:spacing w:before="0" w:after="0"/>
              <w:ind w:left="175" w:right="0" w:hanging="175"/>
              <w:contextualSpacing/>
              <w:jc w:val="left"/>
              <w:textAlignment w:val="auto"/>
              <w:rPr>
                <w:lang w:val="ro-RO"/>
              </w:rPr>
            </w:pPr>
            <w:r>
              <w:rPr>
                <w:rFonts w:cs="Times New Roman CE" w:ascii="Times New Roman CE" w:hAnsi="Times New Roman CE"/>
                <w:sz w:val="20"/>
                <w:szCs w:val="20"/>
                <w:lang w:val="ro-RO"/>
              </w:rPr>
              <w:t>Cercetări pentru tehnologii avansate şi de perspectivă (calcule distribuite: metode, instrumente, medii de execuţie a aplicaţiilor; calcule moleculare).</w:t>
            </w:r>
          </w:p>
          <w:p>
            <w:pPr>
              <w:pStyle w:val="ListParagraph"/>
              <w:widowControl/>
              <w:numPr>
                <w:ilvl w:val="0"/>
                <w:numId w:val="111"/>
              </w:numPr>
              <w:bidi w:val="0"/>
              <w:spacing w:before="0" w:after="0"/>
              <w:ind w:left="175" w:right="0" w:hanging="175"/>
              <w:contextualSpacing/>
              <w:jc w:val="left"/>
              <w:textAlignment w:val="auto"/>
              <w:rPr>
                <w:lang w:val="ro-RO"/>
              </w:rPr>
            </w:pPr>
            <w:r>
              <w:rPr>
                <w:rFonts w:cs="Times New Roman CE" w:ascii="Times New Roman CE" w:hAnsi="Times New Roman CE"/>
                <w:sz w:val="20"/>
                <w:szCs w:val="20"/>
                <w:lang w:val="ro-RO"/>
              </w:rPr>
              <w:t>Sisteme informatice pentru managementul activităţilor de cercetare-dezvoltare-inovare.</w:t>
            </w:r>
          </w:p>
          <w:p>
            <w:pPr>
              <w:pStyle w:val="ListParagraph"/>
              <w:widowControl/>
              <w:numPr>
                <w:ilvl w:val="0"/>
                <w:numId w:val="111"/>
              </w:numPr>
              <w:bidi w:val="0"/>
              <w:spacing w:before="0" w:after="0"/>
              <w:ind w:left="175" w:right="0" w:hanging="175"/>
              <w:contextualSpacing/>
              <w:jc w:val="left"/>
              <w:textAlignment w:val="auto"/>
              <w:rPr>
                <w:lang w:val="ro-RO"/>
              </w:rPr>
            </w:pPr>
            <w:r>
              <w:rPr>
                <w:sz w:val="20"/>
                <w:szCs w:val="20"/>
                <w:lang w:val="ro-RO"/>
              </w:rPr>
              <w:t>Elaborarea sistemelor inte</w:t>
            </w:r>
            <w:r>
              <w:rPr>
                <w:rFonts w:cs="Times New Roman CE" w:ascii="Times New Roman CE" w:hAnsi="Times New Roman CE"/>
                <w:sz w:val="20"/>
                <w:szCs w:val="20"/>
                <w:lang w:val="ro-RO"/>
              </w:rPr>
              <w:t>ligente cu impact asupra serviciilor oferite cetăţeanului în societatea informaţională.</w:t>
            </w:r>
          </w:p>
        </w:tc>
      </w:tr>
    </w:tbl>
    <w:p>
      <w:pPr>
        <w:pStyle w:val="Normal"/>
        <w:widowControl/>
        <w:numPr>
          <w:ilvl w:val="0"/>
          <w:numId w:val="19"/>
        </w:numPr>
        <w:bidi w:val="0"/>
        <w:ind w:left="720" w:right="0" w:hanging="0"/>
        <w:jc w:val="left"/>
        <w:textAlignment w:val="auto"/>
        <w:rPr>
          <w:lang w:val="ro-MD"/>
        </w:rPr>
      </w:pPr>
      <w:r>
        <w:rPr>
          <w:rFonts w:cs="Times New Roman CE" w:ascii="Times New Roman CE" w:hAnsi="Times New Roman CE"/>
          <w:bCs/>
          <w:sz w:val="22"/>
          <w:szCs w:val="22"/>
          <w:lang w:val="ro-MD"/>
        </w:rPr>
        <w:t>Termenul executării</w:t>
      </w:r>
      <w:r>
        <w:rPr>
          <w:bCs/>
          <w:sz w:val="22"/>
          <w:szCs w:val="22"/>
          <w:lang w:val="ro-MD"/>
        </w:rPr>
        <w:t xml:space="preserve"> </w:t>
      </w:r>
    </w:p>
    <w:tbl>
      <w:tblPr>
        <w:tblW w:w="9638"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638"/>
      </w:tblGrid>
      <w:tr>
        <w:trPr/>
        <w:tc>
          <w:tcPr>
            <w:tcW w:w="9638"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MD"/>
              </w:rPr>
            </w:pPr>
            <w:r>
              <w:rPr>
                <w:bCs/>
                <w:i/>
                <w:sz w:val="22"/>
                <w:szCs w:val="22"/>
                <w:lang w:val="ro-MD"/>
              </w:rPr>
              <w:t>2011-2014</w:t>
            </w:r>
          </w:p>
        </w:tc>
      </w:tr>
    </w:tbl>
    <w:p>
      <w:pPr>
        <w:pStyle w:val="Normal"/>
        <w:widowControl/>
        <w:numPr>
          <w:ilvl w:val="0"/>
          <w:numId w:val="19"/>
        </w:numPr>
        <w:bidi w:val="0"/>
        <w:ind w:left="720" w:right="0" w:hanging="0"/>
        <w:jc w:val="left"/>
        <w:textAlignment w:val="auto"/>
        <w:rPr>
          <w:lang w:val="ro-MD"/>
        </w:rPr>
      </w:pPr>
      <w:r>
        <w:rPr>
          <w:rFonts w:cs="Times New Roman CE" w:ascii="Times New Roman CE" w:hAnsi="Times New Roman CE"/>
          <w:bCs/>
          <w:sz w:val="22"/>
          <w:szCs w:val="22"/>
          <w:lang w:val="ro-MD"/>
        </w:rPr>
        <w:t>Volumul total planificat al finanţării</w:t>
      </w:r>
    </w:p>
    <w:tbl>
      <w:tblPr>
        <w:tblW w:w="9638"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638"/>
      </w:tblGrid>
      <w:tr>
        <w:trPr/>
        <w:tc>
          <w:tcPr>
            <w:tcW w:w="9638"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6448,5</w:t>
            </w:r>
          </w:p>
        </w:tc>
      </w:tr>
    </w:tbl>
    <w:p>
      <w:pPr>
        <w:pStyle w:val="Normal"/>
        <w:widowControl/>
        <w:numPr>
          <w:ilvl w:val="0"/>
          <w:numId w:val="19"/>
        </w:numPr>
        <w:bidi w:val="0"/>
        <w:ind w:left="720" w:right="0" w:hanging="0"/>
        <w:jc w:val="left"/>
        <w:textAlignment w:val="auto"/>
        <w:rPr>
          <w:lang w:val="ro-MD"/>
        </w:rPr>
      </w:pPr>
      <w:r>
        <w:rPr>
          <w:rFonts w:cs="Times New Roman CE" w:ascii="Times New Roman CE" w:hAnsi="Times New Roman CE"/>
          <w:bCs/>
          <w:sz w:val="22"/>
          <w:szCs w:val="22"/>
          <w:lang w:val="ro-MD"/>
        </w:rPr>
        <w:t>Volumul finanţării pe perioada evaluată (mii lei)</w:t>
      </w:r>
    </w:p>
    <w:tbl>
      <w:tblPr>
        <w:tblW w:w="9638"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4736"/>
        <w:gridCol w:w="4901"/>
      </w:tblGrid>
      <w:tr>
        <w:trPr/>
        <w:tc>
          <w:tcPr>
            <w:tcW w:w="4736"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2302,8</w:t>
            </w:r>
          </w:p>
        </w:tc>
        <w:tc>
          <w:tcPr>
            <w:tcW w:w="4901"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bCs/>
                <w:i/>
                <w:sz w:val="22"/>
                <w:szCs w:val="22"/>
                <w:lang w:val="ro-MD"/>
              </w:rPr>
              <w:t>Executată ( mii lei)</w:t>
            </w:r>
            <w:r>
              <w:rPr>
                <w:bCs/>
                <w:i/>
                <w:sz w:val="22"/>
                <w:szCs w:val="22"/>
                <w:lang w:val="ro-MD"/>
              </w:rPr>
              <w:t xml:space="preserve">:   </w:t>
            </w:r>
            <w:r>
              <w:rPr>
                <w:bCs/>
                <w:sz w:val="22"/>
                <w:szCs w:val="22"/>
                <w:lang w:val="ro-MD"/>
              </w:rPr>
              <w:t>2302,8</w:t>
            </w:r>
          </w:p>
        </w:tc>
      </w:tr>
    </w:tbl>
    <w:p>
      <w:pPr>
        <w:pStyle w:val="Normal"/>
        <w:widowControl/>
        <w:numPr>
          <w:ilvl w:val="0"/>
          <w:numId w:val="19"/>
        </w:numPr>
        <w:bidi w:val="0"/>
        <w:ind w:left="720" w:right="0" w:hanging="0"/>
        <w:jc w:val="left"/>
        <w:textAlignment w:val="auto"/>
        <w:rPr>
          <w:lang w:val="ro-MD"/>
        </w:rPr>
      </w:pPr>
      <w:r>
        <w:rPr>
          <w:rFonts w:cs="Times New Roman CE" w:ascii="Times New Roman CE" w:hAnsi="Times New Roman CE"/>
          <w:bCs/>
          <w:sz w:val="22"/>
          <w:szCs w:val="22"/>
          <w:lang w:val="ro-MD"/>
        </w:rPr>
        <w:t>Subdiviziunile organizaţiei executoare (laborator, secţie, sector etc.)</w:t>
      </w:r>
    </w:p>
    <w:tbl>
      <w:tblPr>
        <w:tblW w:w="9585"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585"/>
      </w:tblGrid>
      <w:tr>
        <w:trPr>
          <w:trHeight w:val="339" w:hRule="atLeast"/>
        </w:trPr>
        <w:tc>
          <w:tcPr>
            <w:tcW w:w="9585"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RO"/>
              </w:rPr>
            </w:pPr>
            <w:r>
              <w:rPr>
                <w:i/>
                <w:lang w:val="ro-RO"/>
              </w:rPr>
              <w:t>Laboratorul Sisteme de Programare</w:t>
            </w:r>
          </w:p>
          <w:p>
            <w:pPr>
              <w:pStyle w:val="Normal"/>
              <w:widowControl/>
              <w:bidi w:val="0"/>
              <w:ind w:left="0" w:right="0" w:hanging="0"/>
              <w:jc w:val="left"/>
              <w:textAlignment w:val="auto"/>
              <w:rPr>
                <w:lang w:val="ro-RO"/>
              </w:rPr>
            </w:pPr>
            <w:r>
              <w:rPr>
                <w:i/>
                <w:lang w:val="ro-RO"/>
              </w:rPr>
              <w:t>Laboratorul Sisteme Informatice</w:t>
            </w:r>
          </w:p>
        </w:tc>
      </w:tr>
    </w:tbl>
    <w:p>
      <w:pPr>
        <w:pStyle w:val="Normal"/>
        <w:widowControl/>
        <w:numPr>
          <w:ilvl w:val="0"/>
          <w:numId w:val="19"/>
        </w:numPr>
        <w:bidi w:val="0"/>
        <w:ind w:left="720" w:right="0" w:hanging="0"/>
        <w:jc w:val="left"/>
        <w:textAlignment w:val="auto"/>
        <w:rPr>
          <w:lang w:val="ro-MD"/>
        </w:rPr>
      </w:pPr>
      <w:r>
        <w:rPr>
          <w:bCs/>
          <w:sz w:val="22"/>
          <w:szCs w:val="22"/>
          <w:lang w:val="ro-MD"/>
        </w:rPr>
        <w:t xml:space="preserve">Executorii  </w:t>
      </w:r>
    </w:p>
    <w:tbl>
      <w:tblPr>
        <w:tblW w:w="9513" w:type="dxa"/>
        <w:jc w:val="left"/>
        <w:tblInd w:w="56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3" w:type="dxa"/>
          <w:bottom w:w="0" w:type="dxa"/>
          <w:right w:w="108" w:type="dxa"/>
        </w:tblCellMar>
      </w:tblPr>
      <w:tblGrid>
        <w:gridCol w:w="1070"/>
        <w:gridCol w:w="3210"/>
        <w:gridCol w:w="2944"/>
        <w:gridCol w:w="2288"/>
      </w:tblGrid>
      <w:tr>
        <w:trPr/>
        <w:tc>
          <w:tcPr>
            <w:tcW w:w="9512"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2106" w:leader="none"/>
                <w:tab w:val="left" w:pos="3051" w:leader="none"/>
                <w:tab w:val="left" w:pos="4003" w:leader="none"/>
                <w:tab w:val="left" w:pos="4944" w:leader="none"/>
                <w:tab w:val="left" w:pos="5889" w:leader="none"/>
                <w:tab w:val="left" w:pos="6834" w:leader="none"/>
                <w:tab w:val="left" w:pos="7540" w:leader="none"/>
              </w:tabs>
              <w:bidi w:val="0"/>
              <w:ind w:left="93" w:right="0" w:hanging="0"/>
              <w:jc w:val="center"/>
              <w:textAlignment w:val="auto"/>
              <w:rPr>
                <w:lang w:val="ro-MD"/>
              </w:rPr>
            </w:pPr>
            <w:r>
              <w:rPr>
                <w:b/>
                <w:bCs/>
                <w:i/>
                <w:sz w:val="22"/>
                <w:szCs w:val="22"/>
                <w:lang w:val="ro-MD"/>
              </w:rPr>
              <w:t>Laborator “Sisteme de programare”</w:t>
            </w:r>
          </w:p>
        </w:tc>
      </w:tr>
      <w:tr>
        <w:trPr/>
        <w:tc>
          <w:tcPr>
            <w:tcW w:w="428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MD"/>
              </w:rPr>
            </w:pPr>
            <w:r>
              <w:rPr>
                <w:bCs/>
                <w:i/>
                <w:sz w:val="22"/>
                <w:szCs w:val="22"/>
                <w:lang w:val="ro-MD"/>
              </w:rPr>
              <w:t>Nume, prenume</w:t>
            </w:r>
          </w:p>
        </w:tc>
        <w:tc>
          <w:tcPr>
            <w:tcW w:w="523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4003" w:leader="none"/>
              </w:tabs>
              <w:bidi w:val="0"/>
              <w:ind w:left="0" w:right="0" w:hanging="0"/>
              <w:jc w:val="center"/>
              <w:textAlignment w:val="auto"/>
              <w:rPr>
                <w:lang w:val="ro-MD"/>
              </w:rPr>
            </w:pPr>
            <w:r>
              <w:rPr>
                <w:bCs/>
                <w:i/>
                <w:sz w:val="22"/>
                <w:szCs w:val="22"/>
                <w:lang w:val="ro-MD"/>
              </w:rPr>
              <w:t>F</w:t>
            </w:r>
            <w:r>
              <w:rPr>
                <w:rFonts w:cs="Times New Roman CE" w:ascii="Times New Roman CE" w:hAnsi="Times New Roman CE"/>
                <w:bCs/>
                <w:i/>
                <w:sz w:val="22"/>
                <w:szCs w:val="22"/>
                <w:lang w:val="ro-MD"/>
              </w:rPr>
              <w:t>uncţia în cadrul proiectului</w:t>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MD"/>
              </w:rPr>
            </w:pPr>
            <w:r>
              <w:rPr>
                <w:bCs/>
                <w:i/>
                <w:sz w:val="22"/>
                <w:szCs w:val="22"/>
                <w:lang w:val="ro-MD"/>
              </w:rPr>
              <w:t>1.</w:t>
            </w:r>
          </w:p>
        </w:tc>
        <w:tc>
          <w:tcPr>
            <w:tcW w:w="3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391" w:leader="none"/>
                <w:tab w:val="left" w:pos="3222" w:leader="none"/>
                <w:tab w:val="left" w:pos="3768" w:leader="none"/>
              </w:tabs>
              <w:bidi w:val="0"/>
              <w:ind w:left="0" w:right="0" w:hanging="0"/>
              <w:jc w:val="left"/>
              <w:textAlignment w:val="auto"/>
              <w:rPr>
                <w:lang w:val="ro-MD"/>
              </w:rPr>
            </w:pPr>
            <w:r>
              <w:rPr>
                <w:bCs/>
                <w:i/>
                <w:sz w:val="22"/>
                <w:szCs w:val="22"/>
                <w:lang w:val="ro-MD"/>
              </w:rPr>
              <w:t xml:space="preserve">Ciubotaru Constantin </w:t>
            </w:r>
          </w:p>
        </w:tc>
        <w:tc>
          <w:tcPr>
            <w:tcW w:w="2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4003" w:leader="none"/>
              </w:tabs>
              <w:bidi w:val="0"/>
              <w:ind w:left="0" w:right="0" w:hanging="0"/>
              <w:jc w:val="left"/>
              <w:textAlignment w:val="auto"/>
              <w:rPr>
                <w:lang w:val="ro-MD"/>
              </w:rPr>
            </w:pPr>
            <w:r>
              <w:rPr>
                <w:bCs/>
                <w:i/>
                <w:sz w:val="22"/>
                <w:szCs w:val="22"/>
                <w:lang w:val="ro-MD"/>
              </w:rPr>
              <w:t>conduc</w:t>
            </w:r>
            <w:r>
              <w:rPr>
                <w:rFonts w:cs="Times New Roman CE" w:ascii="Times New Roman CE" w:hAnsi="Times New Roman CE"/>
                <w:bCs/>
                <w:i/>
                <w:sz w:val="22"/>
                <w:szCs w:val="22"/>
                <w:lang w:val="ro-RO"/>
              </w:rPr>
              <w:t>ătorul proectului</w:t>
            </w:r>
          </w:p>
        </w:tc>
        <w:tc>
          <w:tcPr>
            <w:tcW w:w="22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4003" w:leader="none"/>
              </w:tabs>
              <w:bidi w:val="0"/>
              <w:ind w:left="0" w:right="0" w:hanging="0"/>
              <w:jc w:val="left"/>
              <w:textAlignment w:val="auto"/>
              <w:rPr>
                <w:lang w:val="ro-RO"/>
              </w:rPr>
            </w:pPr>
            <w:r>
              <w:rPr>
                <w:bCs/>
                <w:i/>
                <w:sz w:val="22"/>
                <w:szCs w:val="22"/>
                <w:lang w:val="ro-RO"/>
              </w:rPr>
              <w:t>doctor</w:t>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MD"/>
              </w:rPr>
            </w:pPr>
            <w:r>
              <w:rPr>
                <w:bCs/>
                <w:i/>
                <w:sz w:val="22"/>
                <w:szCs w:val="22"/>
                <w:lang w:val="ro-MD"/>
              </w:rPr>
              <w:t>2.</w:t>
            </w:r>
          </w:p>
        </w:tc>
        <w:tc>
          <w:tcPr>
            <w:tcW w:w="3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391" w:leader="none"/>
                <w:tab w:val="left" w:pos="3222" w:leader="none"/>
                <w:tab w:val="left" w:pos="3768" w:leader="none"/>
              </w:tabs>
              <w:bidi w:val="0"/>
              <w:ind w:left="0" w:right="0" w:hanging="0"/>
              <w:jc w:val="left"/>
              <w:textAlignment w:val="auto"/>
              <w:rPr>
                <w:lang w:val="ro-MD"/>
              </w:rPr>
            </w:pPr>
            <w:r>
              <w:rPr>
                <w:bCs/>
                <w:i/>
                <w:sz w:val="22"/>
                <w:szCs w:val="22"/>
                <w:lang w:val="ro-MD"/>
              </w:rPr>
              <w:t xml:space="preserve">Cojocaru Svetlana </w:t>
            </w:r>
          </w:p>
        </w:tc>
        <w:tc>
          <w:tcPr>
            <w:tcW w:w="2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4003" w:leader="none"/>
              </w:tabs>
              <w:bidi w:val="0"/>
              <w:ind w:left="0" w:right="0" w:hanging="0"/>
              <w:jc w:val="left"/>
              <w:textAlignment w:val="auto"/>
              <w:rPr>
                <w:lang w:val="ro-MD"/>
              </w:rPr>
            </w:pPr>
            <w:r>
              <w:rPr>
                <w:rFonts w:cs="Times New Roman CE" w:ascii="Times New Roman CE" w:hAnsi="Times New Roman CE"/>
                <w:bCs/>
                <w:i/>
                <w:sz w:val="22"/>
                <w:szCs w:val="22"/>
                <w:lang w:val="ro-MD"/>
              </w:rPr>
              <w:t>cercetător ştiinţific principal</w:t>
            </w:r>
          </w:p>
        </w:tc>
        <w:tc>
          <w:tcPr>
            <w:tcW w:w="22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4003" w:leader="none"/>
              </w:tabs>
              <w:bidi w:val="0"/>
              <w:ind w:left="0" w:right="0" w:hanging="0"/>
              <w:jc w:val="left"/>
              <w:textAlignment w:val="auto"/>
              <w:rPr>
                <w:lang w:val="ro-MD"/>
              </w:rPr>
            </w:pPr>
            <w:r>
              <w:rPr>
                <w:bCs/>
                <w:i/>
                <w:sz w:val="22"/>
                <w:szCs w:val="22"/>
                <w:lang w:val="ro-MD"/>
              </w:rPr>
              <w:t>doctor habilitat</w:t>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MD"/>
              </w:rPr>
            </w:pPr>
            <w:r>
              <w:rPr>
                <w:bCs/>
                <w:i/>
                <w:sz w:val="22"/>
                <w:szCs w:val="22"/>
                <w:lang w:val="ro-MD"/>
              </w:rPr>
              <w:t>3.</w:t>
            </w:r>
          </w:p>
        </w:tc>
        <w:tc>
          <w:tcPr>
            <w:tcW w:w="3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391" w:leader="none"/>
                <w:tab w:val="left" w:pos="3222" w:leader="none"/>
                <w:tab w:val="left" w:pos="3768" w:leader="none"/>
              </w:tabs>
              <w:bidi w:val="0"/>
              <w:ind w:left="0" w:right="0" w:hanging="0"/>
              <w:jc w:val="left"/>
              <w:textAlignment w:val="auto"/>
              <w:rPr>
                <w:lang w:val="ro-MD"/>
              </w:rPr>
            </w:pPr>
            <w:r>
              <w:rPr>
                <w:bCs/>
                <w:i/>
                <w:sz w:val="22"/>
                <w:szCs w:val="22"/>
                <w:lang w:val="ro-MD"/>
              </w:rPr>
              <w:t>Alhazov Artiom</w:t>
            </w:r>
          </w:p>
        </w:tc>
        <w:tc>
          <w:tcPr>
            <w:tcW w:w="2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4003" w:leader="none"/>
              </w:tabs>
              <w:bidi w:val="0"/>
              <w:ind w:left="0" w:right="0" w:hanging="0"/>
              <w:jc w:val="left"/>
              <w:textAlignment w:val="auto"/>
              <w:rPr>
                <w:lang w:val="ro-MD"/>
              </w:rPr>
            </w:pPr>
            <w:r>
              <w:rPr>
                <w:rFonts w:cs="Times New Roman CE" w:ascii="Times New Roman CE" w:hAnsi="Times New Roman CE"/>
                <w:bCs/>
                <w:i/>
                <w:sz w:val="22"/>
                <w:szCs w:val="22"/>
                <w:lang w:val="ro-MD"/>
              </w:rPr>
              <w:t xml:space="preserve">cercetător ştiinţific </w:t>
            </w:r>
            <w:r>
              <w:rPr>
                <w:bCs/>
                <w:i/>
                <w:sz w:val="22"/>
                <w:szCs w:val="22"/>
                <w:lang w:val="ro-MD"/>
              </w:rPr>
              <w:t>superior</w:t>
            </w:r>
          </w:p>
        </w:tc>
        <w:tc>
          <w:tcPr>
            <w:tcW w:w="22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4003" w:leader="none"/>
              </w:tabs>
              <w:bidi w:val="0"/>
              <w:ind w:left="0" w:right="0" w:hanging="0"/>
              <w:jc w:val="left"/>
              <w:textAlignment w:val="auto"/>
              <w:rPr>
                <w:lang w:val="ro-MD"/>
              </w:rPr>
            </w:pPr>
            <w:r>
              <w:rPr>
                <w:bCs/>
                <w:i/>
                <w:sz w:val="22"/>
                <w:szCs w:val="22"/>
                <w:lang w:val="ro-MD"/>
              </w:rPr>
              <w:t>doctor habilitat</w:t>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MD"/>
              </w:rPr>
            </w:pPr>
            <w:r>
              <w:rPr>
                <w:bCs/>
                <w:i/>
                <w:sz w:val="22"/>
                <w:szCs w:val="22"/>
                <w:lang w:val="ro-MD"/>
              </w:rPr>
              <w:t>4.</w:t>
            </w:r>
          </w:p>
        </w:tc>
        <w:tc>
          <w:tcPr>
            <w:tcW w:w="3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391" w:leader="none"/>
                <w:tab w:val="left" w:pos="3222" w:leader="none"/>
                <w:tab w:val="left" w:pos="3768" w:leader="none"/>
              </w:tabs>
              <w:bidi w:val="0"/>
              <w:ind w:left="0" w:right="0" w:hanging="0"/>
              <w:jc w:val="left"/>
              <w:textAlignment w:val="auto"/>
              <w:rPr>
                <w:lang w:val="ro-MD"/>
              </w:rPr>
            </w:pPr>
            <w:r>
              <w:rPr>
                <w:bCs/>
                <w:i/>
                <w:sz w:val="22"/>
                <w:szCs w:val="22"/>
                <w:lang w:val="ro-MD"/>
              </w:rPr>
              <w:t>Magariu Galina</w:t>
            </w:r>
          </w:p>
        </w:tc>
        <w:tc>
          <w:tcPr>
            <w:tcW w:w="2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4003" w:leader="none"/>
              </w:tabs>
              <w:bidi w:val="0"/>
              <w:ind w:left="0" w:right="0" w:hanging="0"/>
              <w:jc w:val="left"/>
              <w:textAlignment w:val="auto"/>
              <w:rPr>
                <w:lang w:val="ro-MD"/>
              </w:rPr>
            </w:pPr>
            <w:r>
              <w:rPr>
                <w:rFonts w:cs="Times New Roman CE" w:ascii="Times New Roman CE" w:hAnsi="Times New Roman CE"/>
                <w:bCs/>
                <w:i/>
                <w:sz w:val="22"/>
                <w:szCs w:val="22"/>
                <w:lang w:val="ro-MD"/>
              </w:rPr>
              <w:t>cercetător ştiinţific coordonator</w:t>
            </w:r>
          </w:p>
        </w:tc>
        <w:tc>
          <w:tcPr>
            <w:tcW w:w="22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4003" w:leader="none"/>
              </w:tabs>
              <w:bidi w:val="0"/>
              <w:ind w:left="0" w:right="0" w:hanging="0"/>
              <w:jc w:val="left"/>
              <w:textAlignment w:val="auto"/>
              <w:rPr>
                <w:lang w:val="ro-RO"/>
              </w:rPr>
            </w:pPr>
            <w:r>
              <w:rPr>
                <w:bCs/>
                <w:i/>
                <w:sz w:val="22"/>
                <w:szCs w:val="22"/>
                <w:lang w:val="ro-RO"/>
              </w:rPr>
              <w:t>doctor</w:t>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MD"/>
              </w:rPr>
            </w:pPr>
            <w:r>
              <w:rPr>
                <w:bCs/>
                <w:i/>
                <w:sz w:val="22"/>
                <w:szCs w:val="22"/>
                <w:lang w:val="ro-MD"/>
              </w:rPr>
              <w:t>5.</w:t>
            </w:r>
          </w:p>
        </w:tc>
        <w:tc>
          <w:tcPr>
            <w:tcW w:w="3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391" w:leader="none"/>
                <w:tab w:val="left" w:pos="3222" w:leader="none"/>
                <w:tab w:val="left" w:pos="3768" w:leader="none"/>
              </w:tabs>
              <w:bidi w:val="0"/>
              <w:ind w:left="0" w:right="0" w:hanging="0"/>
              <w:jc w:val="left"/>
              <w:textAlignment w:val="auto"/>
              <w:rPr>
                <w:lang w:val="ro-MD"/>
              </w:rPr>
            </w:pPr>
            <w:r>
              <w:rPr>
                <w:bCs/>
                <w:i/>
                <w:sz w:val="22"/>
                <w:szCs w:val="22"/>
                <w:lang w:val="ro-MD"/>
              </w:rPr>
              <w:t>Colesnicov Alexandru</w:t>
            </w:r>
          </w:p>
        </w:tc>
        <w:tc>
          <w:tcPr>
            <w:tcW w:w="2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4003" w:leader="none"/>
              </w:tabs>
              <w:bidi w:val="0"/>
              <w:ind w:left="0" w:right="0" w:hanging="0"/>
              <w:jc w:val="left"/>
              <w:textAlignment w:val="auto"/>
              <w:rPr>
                <w:lang w:val="ro-MD"/>
              </w:rPr>
            </w:pPr>
            <w:r>
              <w:rPr>
                <w:rFonts w:cs="Times New Roman CE" w:ascii="Times New Roman CE" w:hAnsi="Times New Roman CE"/>
                <w:bCs/>
                <w:i/>
                <w:sz w:val="22"/>
                <w:szCs w:val="22"/>
                <w:lang w:val="ro-MD"/>
              </w:rPr>
              <w:t>cercetător ştiinţific coordonator</w:t>
            </w:r>
          </w:p>
        </w:tc>
        <w:tc>
          <w:tcPr>
            <w:tcW w:w="22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4003" w:leader="none"/>
              </w:tabs>
              <w:bidi w:val="0"/>
              <w:ind w:left="0" w:right="0" w:hanging="0"/>
              <w:jc w:val="left"/>
              <w:textAlignment w:val="auto"/>
              <w:rPr>
                <w:lang w:val="ro-RO"/>
              </w:rPr>
            </w:pPr>
            <w:r>
              <w:rPr>
                <w:bCs/>
                <w:i/>
                <w:sz w:val="22"/>
                <w:szCs w:val="22"/>
                <w:lang w:val="ro-RO"/>
              </w:rPr>
              <w:t>doctor</w:t>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MD"/>
              </w:rPr>
            </w:pPr>
            <w:r>
              <w:rPr>
                <w:bCs/>
                <w:i/>
                <w:sz w:val="22"/>
                <w:szCs w:val="22"/>
                <w:lang w:val="ro-MD"/>
              </w:rPr>
              <w:t>6.</w:t>
            </w:r>
          </w:p>
        </w:tc>
        <w:tc>
          <w:tcPr>
            <w:tcW w:w="3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391" w:leader="none"/>
                <w:tab w:val="left" w:pos="3222" w:leader="none"/>
                <w:tab w:val="left" w:pos="3768" w:leader="none"/>
              </w:tabs>
              <w:bidi w:val="0"/>
              <w:ind w:left="0" w:right="0" w:hanging="0"/>
              <w:jc w:val="left"/>
              <w:textAlignment w:val="auto"/>
              <w:rPr>
                <w:lang w:val="ro-MD"/>
              </w:rPr>
            </w:pPr>
            <w:r>
              <w:rPr>
                <w:bCs/>
                <w:i/>
                <w:sz w:val="22"/>
                <w:szCs w:val="22"/>
                <w:lang w:val="ro-MD"/>
              </w:rPr>
              <w:t>Bur</w:t>
            </w:r>
            <w:r>
              <w:rPr>
                <w:rFonts w:cs="Times New Roman CE" w:ascii="Times New Roman CE" w:hAnsi="Times New Roman CE"/>
                <w:bCs/>
                <w:i/>
                <w:sz w:val="22"/>
                <w:szCs w:val="22"/>
                <w:lang w:val="ro-MD"/>
              </w:rPr>
              <w:t>ţ</w:t>
            </w:r>
            <w:r>
              <w:rPr>
                <w:bCs/>
                <w:i/>
                <w:sz w:val="22"/>
                <w:szCs w:val="22"/>
                <w:lang w:val="ro-MD"/>
              </w:rPr>
              <w:t>eva Ludmila</w:t>
            </w:r>
          </w:p>
        </w:tc>
        <w:tc>
          <w:tcPr>
            <w:tcW w:w="2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4003" w:leader="none"/>
              </w:tabs>
              <w:bidi w:val="0"/>
              <w:ind w:left="0" w:right="0" w:hanging="0"/>
              <w:jc w:val="left"/>
              <w:textAlignment w:val="auto"/>
              <w:rPr>
                <w:lang w:val="ro-MD"/>
              </w:rPr>
            </w:pPr>
            <w:r>
              <w:rPr>
                <w:rFonts w:cs="Times New Roman CE" w:ascii="Times New Roman CE" w:hAnsi="Times New Roman CE"/>
                <w:bCs/>
                <w:i/>
                <w:sz w:val="22"/>
                <w:szCs w:val="22"/>
                <w:lang w:val="ro-MD"/>
              </w:rPr>
              <w:t>cercetător ştiinţific coordonator</w:t>
            </w:r>
          </w:p>
        </w:tc>
        <w:tc>
          <w:tcPr>
            <w:tcW w:w="22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4003" w:leader="none"/>
              </w:tabs>
              <w:bidi w:val="0"/>
              <w:ind w:left="0" w:right="0" w:hanging="0"/>
              <w:jc w:val="left"/>
              <w:textAlignment w:val="auto"/>
              <w:rPr>
                <w:lang w:val="ro-RO"/>
              </w:rPr>
            </w:pPr>
            <w:r>
              <w:rPr>
                <w:bCs/>
                <w:i/>
                <w:sz w:val="22"/>
                <w:szCs w:val="22"/>
                <w:lang w:val="ro-RO"/>
              </w:rPr>
              <w:t>doctor</w:t>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MD"/>
              </w:rPr>
            </w:pPr>
            <w:r>
              <w:rPr>
                <w:bCs/>
                <w:i/>
                <w:sz w:val="22"/>
                <w:szCs w:val="22"/>
                <w:lang w:val="ro-MD"/>
              </w:rPr>
              <w:t>7.</w:t>
            </w:r>
          </w:p>
        </w:tc>
        <w:tc>
          <w:tcPr>
            <w:tcW w:w="3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391" w:leader="none"/>
                <w:tab w:val="left" w:pos="3222" w:leader="none"/>
                <w:tab w:val="left" w:pos="3768" w:leader="none"/>
              </w:tabs>
              <w:bidi w:val="0"/>
              <w:ind w:left="0" w:right="0" w:hanging="0"/>
              <w:jc w:val="left"/>
              <w:textAlignment w:val="auto"/>
              <w:rPr>
                <w:lang w:val="ro-MD"/>
              </w:rPr>
            </w:pPr>
            <w:r>
              <w:rPr>
                <w:bCs/>
                <w:i/>
                <w:sz w:val="22"/>
                <w:szCs w:val="22"/>
                <w:lang w:val="ro-MD"/>
              </w:rPr>
              <w:t>Petic Mircea</w:t>
            </w:r>
          </w:p>
        </w:tc>
        <w:tc>
          <w:tcPr>
            <w:tcW w:w="2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4003" w:leader="none"/>
              </w:tabs>
              <w:bidi w:val="0"/>
              <w:ind w:left="0" w:right="0" w:hanging="0"/>
              <w:jc w:val="left"/>
              <w:textAlignment w:val="auto"/>
              <w:rPr>
                <w:lang w:val="ro-MD"/>
              </w:rPr>
            </w:pPr>
            <w:r>
              <w:rPr>
                <w:rFonts w:cs="Times New Roman CE" w:ascii="Times New Roman CE" w:hAnsi="Times New Roman CE"/>
                <w:bCs/>
                <w:i/>
                <w:sz w:val="22"/>
                <w:szCs w:val="22"/>
                <w:lang w:val="ro-MD"/>
              </w:rPr>
              <w:t>cercetător ştiinţific</w:t>
            </w:r>
          </w:p>
        </w:tc>
        <w:tc>
          <w:tcPr>
            <w:tcW w:w="22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4003" w:leader="none"/>
              </w:tabs>
              <w:bidi w:val="0"/>
              <w:ind w:left="0" w:right="0" w:hanging="0"/>
              <w:jc w:val="left"/>
              <w:textAlignment w:val="auto"/>
              <w:rPr>
                <w:lang w:val="ro-RO"/>
              </w:rPr>
            </w:pPr>
            <w:r>
              <w:rPr>
                <w:bCs/>
                <w:i/>
                <w:sz w:val="22"/>
                <w:szCs w:val="22"/>
                <w:lang w:val="ro-RO"/>
              </w:rPr>
              <w:t>doctor</w:t>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MD"/>
              </w:rPr>
            </w:pPr>
            <w:r>
              <w:rPr>
                <w:bCs/>
                <w:i/>
                <w:sz w:val="22"/>
                <w:szCs w:val="22"/>
                <w:lang w:val="ro-MD"/>
              </w:rPr>
              <w:t>8.</w:t>
            </w:r>
          </w:p>
        </w:tc>
        <w:tc>
          <w:tcPr>
            <w:tcW w:w="3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391" w:leader="none"/>
                <w:tab w:val="left" w:pos="3222" w:leader="none"/>
                <w:tab w:val="left" w:pos="3768" w:leader="none"/>
              </w:tabs>
              <w:bidi w:val="0"/>
              <w:ind w:left="0" w:right="0" w:hanging="0"/>
              <w:jc w:val="left"/>
              <w:textAlignment w:val="auto"/>
              <w:rPr>
                <w:lang w:val="ro-MD"/>
              </w:rPr>
            </w:pPr>
            <w:r>
              <w:rPr>
                <w:bCs/>
                <w:i/>
                <w:sz w:val="22"/>
                <w:szCs w:val="22"/>
                <w:lang w:val="ro-MD"/>
              </w:rPr>
              <w:t>Demidova Valentina</w:t>
            </w:r>
          </w:p>
        </w:tc>
        <w:tc>
          <w:tcPr>
            <w:tcW w:w="2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2106" w:leader="none"/>
                <w:tab w:val="left" w:pos="3051" w:leader="none"/>
                <w:tab w:val="left" w:pos="3996" w:leader="none"/>
                <w:tab w:val="left" w:pos="4944" w:leader="none"/>
                <w:tab w:val="left" w:pos="5889" w:leader="none"/>
                <w:tab w:val="left" w:pos="6834" w:leader="none"/>
                <w:tab w:val="left" w:pos="7540" w:leader="none"/>
              </w:tabs>
              <w:bidi w:val="0"/>
              <w:ind w:left="0" w:right="0" w:hanging="0"/>
              <w:jc w:val="left"/>
              <w:textAlignment w:val="auto"/>
              <w:rPr>
                <w:lang w:val="ro-MD"/>
              </w:rPr>
            </w:pPr>
            <w:r>
              <w:rPr>
                <w:bCs/>
                <w:i/>
                <w:sz w:val="22"/>
                <w:szCs w:val="22"/>
                <w:lang w:val="ro-MD"/>
              </w:rPr>
              <w:t>c</w:t>
            </w:r>
            <w:r>
              <w:rPr>
                <w:rFonts w:cs="Times New Roman CE" w:ascii="Times New Roman CE" w:hAnsi="Times New Roman CE"/>
                <w:bCs/>
                <w:i/>
                <w:sz w:val="22"/>
                <w:szCs w:val="22"/>
                <w:lang w:val="ro-MD"/>
              </w:rPr>
              <w:t>ercetător ştiinţific</w:t>
            </w:r>
          </w:p>
        </w:tc>
        <w:tc>
          <w:tcPr>
            <w:tcW w:w="22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2106" w:leader="none"/>
                <w:tab w:val="left" w:pos="3051" w:leader="none"/>
                <w:tab w:val="left" w:pos="3996" w:leader="none"/>
                <w:tab w:val="left" w:pos="4944" w:leader="none"/>
                <w:tab w:val="left" w:pos="5889" w:leader="none"/>
                <w:tab w:val="left" w:pos="6834" w:leader="none"/>
                <w:tab w:val="left" w:pos="7540" w:leader="none"/>
              </w:tabs>
              <w:bidi w:val="0"/>
              <w:ind w:left="0" w:right="0" w:hanging="0"/>
              <w:jc w:val="left"/>
              <w:textAlignment w:val="auto"/>
              <w:rPr>
                <w:rFonts w:ascii="Times New Roman" w:hAnsi="Times New Roman"/>
                <w:bCs/>
                <w:i/>
                <w:i/>
                <w:sz w:val="22"/>
                <w:szCs w:val="22"/>
                <w:lang w:val="ro-MD"/>
              </w:rPr>
            </w:pPr>
            <w:r>
              <w:rPr>
                <w:bCs/>
                <w:i/>
                <w:sz w:val="22"/>
                <w:szCs w:val="22"/>
                <w:lang w:val="ro-MD"/>
              </w:rPr>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MD"/>
              </w:rPr>
            </w:pPr>
            <w:r>
              <w:rPr>
                <w:bCs/>
                <w:i/>
                <w:sz w:val="22"/>
                <w:szCs w:val="22"/>
                <w:lang w:val="ro-MD"/>
              </w:rPr>
              <w:t>9.</w:t>
            </w:r>
          </w:p>
        </w:tc>
        <w:tc>
          <w:tcPr>
            <w:tcW w:w="3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391" w:leader="none"/>
                <w:tab w:val="left" w:pos="3222" w:leader="none"/>
                <w:tab w:val="left" w:pos="3768" w:leader="none"/>
              </w:tabs>
              <w:bidi w:val="0"/>
              <w:ind w:left="0" w:right="0" w:hanging="0"/>
              <w:jc w:val="left"/>
              <w:textAlignment w:val="auto"/>
              <w:rPr>
                <w:lang w:val="ro-MD"/>
              </w:rPr>
            </w:pPr>
            <w:r>
              <w:rPr>
                <w:bCs/>
                <w:i/>
                <w:sz w:val="22"/>
                <w:szCs w:val="22"/>
                <w:lang w:val="ro-MD"/>
              </w:rPr>
              <w:t>Malahov Ludmila</w:t>
            </w:r>
          </w:p>
        </w:tc>
        <w:tc>
          <w:tcPr>
            <w:tcW w:w="2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2106" w:leader="none"/>
                <w:tab w:val="left" w:pos="3051" w:leader="none"/>
                <w:tab w:val="left" w:pos="3996" w:leader="none"/>
                <w:tab w:val="left" w:pos="4944" w:leader="none"/>
                <w:tab w:val="left" w:pos="5889" w:leader="none"/>
                <w:tab w:val="left" w:pos="6834" w:leader="none"/>
                <w:tab w:val="left" w:pos="7540" w:leader="none"/>
              </w:tabs>
              <w:bidi w:val="0"/>
              <w:ind w:left="0" w:right="0" w:hanging="0"/>
              <w:jc w:val="left"/>
              <w:textAlignment w:val="auto"/>
              <w:rPr>
                <w:lang w:val="ro-MD"/>
              </w:rPr>
            </w:pPr>
            <w:r>
              <w:rPr>
                <w:bCs/>
                <w:i/>
                <w:sz w:val="22"/>
                <w:szCs w:val="22"/>
                <w:lang w:val="ro-MD"/>
              </w:rPr>
              <w:t>c</w:t>
            </w:r>
            <w:r>
              <w:rPr>
                <w:rFonts w:cs="Times New Roman CE" w:ascii="Times New Roman CE" w:hAnsi="Times New Roman CE"/>
                <w:bCs/>
                <w:i/>
                <w:sz w:val="22"/>
                <w:szCs w:val="22"/>
                <w:lang w:val="ro-MD"/>
              </w:rPr>
              <w:t>ercetător ştiinţific</w:t>
            </w:r>
          </w:p>
        </w:tc>
        <w:tc>
          <w:tcPr>
            <w:tcW w:w="22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2106" w:leader="none"/>
                <w:tab w:val="left" w:pos="3051" w:leader="none"/>
                <w:tab w:val="left" w:pos="3996" w:leader="none"/>
                <w:tab w:val="left" w:pos="4944" w:leader="none"/>
                <w:tab w:val="left" w:pos="5889" w:leader="none"/>
                <w:tab w:val="left" w:pos="6834" w:leader="none"/>
                <w:tab w:val="left" w:pos="7540" w:leader="none"/>
              </w:tabs>
              <w:bidi w:val="0"/>
              <w:ind w:left="0" w:right="0" w:hanging="0"/>
              <w:jc w:val="left"/>
              <w:textAlignment w:val="auto"/>
              <w:rPr>
                <w:rFonts w:ascii="Times New Roman" w:hAnsi="Times New Roman"/>
                <w:bCs/>
                <w:i/>
                <w:i/>
                <w:sz w:val="22"/>
                <w:szCs w:val="22"/>
                <w:lang w:val="ro-MD"/>
              </w:rPr>
            </w:pPr>
            <w:r>
              <w:rPr>
                <w:bCs/>
                <w:i/>
                <w:sz w:val="22"/>
                <w:szCs w:val="22"/>
                <w:lang w:val="ro-MD"/>
              </w:rPr>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MD"/>
              </w:rPr>
            </w:pPr>
            <w:r>
              <w:rPr>
                <w:bCs/>
                <w:i/>
                <w:sz w:val="22"/>
                <w:szCs w:val="22"/>
                <w:lang w:val="ro-MD"/>
              </w:rPr>
              <w:t>10.</w:t>
            </w:r>
          </w:p>
        </w:tc>
        <w:tc>
          <w:tcPr>
            <w:tcW w:w="3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391" w:leader="none"/>
                <w:tab w:val="left" w:pos="3222" w:leader="none"/>
                <w:tab w:val="left" w:pos="3768" w:leader="none"/>
              </w:tabs>
              <w:bidi w:val="0"/>
              <w:ind w:left="0" w:right="0" w:hanging="0"/>
              <w:jc w:val="left"/>
              <w:textAlignment w:val="auto"/>
              <w:rPr>
                <w:lang w:val="ro-MD"/>
              </w:rPr>
            </w:pPr>
            <w:r>
              <w:rPr>
                <w:bCs/>
                <w:i/>
                <w:sz w:val="22"/>
                <w:szCs w:val="22"/>
                <w:lang w:val="ro-MD"/>
              </w:rPr>
              <w:t>Verlan Tatiana</w:t>
            </w:r>
          </w:p>
        </w:tc>
        <w:tc>
          <w:tcPr>
            <w:tcW w:w="2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2106" w:leader="none"/>
                <w:tab w:val="left" w:pos="3051" w:leader="none"/>
                <w:tab w:val="left" w:pos="3996" w:leader="none"/>
                <w:tab w:val="left" w:pos="4944" w:leader="none"/>
                <w:tab w:val="left" w:pos="5889" w:leader="none"/>
                <w:tab w:val="left" w:pos="6834" w:leader="none"/>
                <w:tab w:val="left" w:pos="7540" w:leader="none"/>
              </w:tabs>
              <w:bidi w:val="0"/>
              <w:ind w:left="0" w:right="0" w:hanging="0"/>
              <w:jc w:val="left"/>
              <w:textAlignment w:val="auto"/>
              <w:rPr>
                <w:lang w:val="ro-MD"/>
              </w:rPr>
            </w:pPr>
            <w:r>
              <w:rPr>
                <w:bCs/>
                <w:i/>
                <w:sz w:val="22"/>
                <w:szCs w:val="22"/>
                <w:lang w:val="ro-MD"/>
              </w:rPr>
              <w:t>c</w:t>
            </w:r>
            <w:r>
              <w:rPr>
                <w:rFonts w:cs="Times New Roman CE" w:ascii="Times New Roman CE" w:hAnsi="Times New Roman CE"/>
                <w:bCs/>
                <w:i/>
                <w:sz w:val="22"/>
                <w:szCs w:val="22"/>
                <w:lang w:val="ro-MD"/>
              </w:rPr>
              <w:t>ercetător ştiinţific</w:t>
            </w:r>
          </w:p>
        </w:tc>
        <w:tc>
          <w:tcPr>
            <w:tcW w:w="22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2106" w:leader="none"/>
                <w:tab w:val="left" w:pos="3051" w:leader="none"/>
                <w:tab w:val="left" w:pos="3996" w:leader="none"/>
                <w:tab w:val="left" w:pos="4944" w:leader="none"/>
                <w:tab w:val="left" w:pos="5889" w:leader="none"/>
                <w:tab w:val="left" w:pos="6834" w:leader="none"/>
                <w:tab w:val="left" w:pos="7540" w:leader="none"/>
              </w:tabs>
              <w:bidi w:val="0"/>
              <w:ind w:left="0" w:right="0" w:hanging="0"/>
              <w:jc w:val="left"/>
              <w:textAlignment w:val="auto"/>
              <w:rPr>
                <w:rFonts w:ascii="Times New Roman" w:hAnsi="Times New Roman"/>
                <w:bCs/>
                <w:i/>
                <w:i/>
                <w:sz w:val="22"/>
                <w:szCs w:val="22"/>
                <w:lang w:val="ro-MD"/>
              </w:rPr>
            </w:pPr>
            <w:r>
              <w:rPr>
                <w:bCs/>
                <w:i/>
                <w:sz w:val="22"/>
                <w:szCs w:val="22"/>
                <w:lang w:val="ro-MD"/>
              </w:rPr>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MD"/>
              </w:rPr>
            </w:pPr>
            <w:r>
              <w:rPr>
                <w:bCs/>
                <w:i/>
                <w:sz w:val="22"/>
                <w:szCs w:val="22"/>
                <w:lang w:val="ro-MD"/>
              </w:rPr>
              <w:t>11.</w:t>
            </w:r>
          </w:p>
        </w:tc>
        <w:tc>
          <w:tcPr>
            <w:tcW w:w="3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391" w:leader="none"/>
                <w:tab w:val="left" w:pos="3222" w:leader="none"/>
                <w:tab w:val="left" w:pos="3768" w:leader="none"/>
              </w:tabs>
              <w:bidi w:val="0"/>
              <w:ind w:left="0" w:right="0" w:hanging="0"/>
              <w:jc w:val="left"/>
              <w:textAlignment w:val="auto"/>
              <w:rPr>
                <w:lang w:val="ro-MD"/>
              </w:rPr>
            </w:pPr>
            <w:r>
              <w:rPr>
                <w:bCs/>
                <w:i/>
                <w:sz w:val="22"/>
                <w:szCs w:val="22"/>
                <w:lang w:val="ro-MD"/>
              </w:rPr>
              <w:t>Tofan Tatiana</w:t>
            </w:r>
          </w:p>
        </w:tc>
        <w:tc>
          <w:tcPr>
            <w:tcW w:w="2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2106" w:leader="none"/>
                <w:tab w:val="left" w:pos="3051" w:leader="none"/>
                <w:tab w:val="left" w:pos="3996" w:leader="none"/>
                <w:tab w:val="left" w:pos="4944" w:leader="none"/>
                <w:tab w:val="left" w:pos="5889" w:leader="none"/>
                <w:tab w:val="left" w:pos="6834" w:leader="none"/>
                <w:tab w:val="left" w:pos="7540" w:leader="none"/>
              </w:tabs>
              <w:bidi w:val="0"/>
              <w:ind w:left="0" w:right="0" w:hanging="0"/>
              <w:jc w:val="left"/>
              <w:textAlignment w:val="auto"/>
              <w:rPr>
                <w:lang w:val="ro-MD"/>
              </w:rPr>
            </w:pPr>
            <w:r>
              <w:rPr>
                <w:bCs/>
                <w:i/>
                <w:sz w:val="22"/>
                <w:szCs w:val="22"/>
                <w:lang w:val="ro-MD"/>
              </w:rPr>
              <w:t>inginer coordonator</w:t>
            </w:r>
          </w:p>
        </w:tc>
        <w:tc>
          <w:tcPr>
            <w:tcW w:w="22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2106" w:leader="none"/>
                <w:tab w:val="left" w:pos="3051" w:leader="none"/>
                <w:tab w:val="left" w:pos="3996" w:leader="none"/>
                <w:tab w:val="left" w:pos="4944" w:leader="none"/>
                <w:tab w:val="left" w:pos="5889" w:leader="none"/>
                <w:tab w:val="left" w:pos="6834" w:leader="none"/>
                <w:tab w:val="left" w:pos="7540" w:leader="none"/>
              </w:tabs>
              <w:bidi w:val="0"/>
              <w:ind w:left="0" w:right="0" w:hanging="0"/>
              <w:jc w:val="left"/>
              <w:textAlignment w:val="auto"/>
              <w:rPr>
                <w:rFonts w:ascii="Times New Roman" w:hAnsi="Times New Roman"/>
                <w:bCs/>
                <w:i/>
                <w:i/>
                <w:sz w:val="22"/>
                <w:szCs w:val="22"/>
                <w:lang w:val="ro-MD"/>
              </w:rPr>
            </w:pPr>
            <w:r>
              <w:rPr>
                <w:bCs/>
                <w:i/>
                <w:sz w:val="22"/>
                <w:szCs w:val="22"/>
                <w:lang w:val="ro-MD"/>
              </w:rPr>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MD"/>
              </w:rPr>
            </w:pPr>
            <w:r>
              <w:rPr>
                <w:bCs/>
                <w:i/>
                <w:sz w:val="22"/>
                <w:szCs w:val="22"/>
                <w:lang w:val="ro-MD"/>
              </w:rPr>
              <w:t>12.</w:t>
            </w:r>
          </w:p>
        </w:tc>
        <w:tc>
          <w:tcPr>
            <w:tcW w:w="3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391" w:leader="none"/>
                <w:tab w:val="left" w:pos="3222" w:leader="none"/>
                <w:tab w:val="left" w:pos="3768" w:leader="none"/>
              </w:tabs>
              <w:bidi w:val="0"/>
              <w:ind w:left="0" w:right="0" w:hanging="0"/>
              <w:jc w:val="left"/>
              <w:textAlignment w:val="auto"/>
              <w:rPr>
                <w:lang w:val="ro-MD"/>
              </w:rPr>
            </w:pPr>
            <w:r>
              <w:rPr>
                <w:bCs/>
                <w:i/>
                <w:sz w:val="22"/>
                <w:szCs w:val="22"/>
                <w:lang w:val="ro-MD"/>
              </w:rPr>
              <w:t>Cojuhari Natalia</w:t>
            </w:r>
          </w:p>
        </w:tc>
        <w:tc>
          <w:tcPr>
            <w:tcW w:w="2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2106" w:leader="none"/>
                <w:tab w:val="left" w:pos="3051" w:leader="none"/>
                <w:tab w:val="left" w:pos="3996" w:leader="none"/>
                <w:tab w:val="left" w:pos="4944" w:leader="none"/>
                <w:tab w:val="left" w:pos="5889" w:leader="none"/>
                <w:tab w:val="left" w:pos="6834" w:leader="none"/>
                <w:tab w:val="left" w:pos="7540" w:leader="none"/>
              </w:tabs>
              <w:bidi w:val="0"/>
              <w:ind w:left="0" w:right="0" w:hanging="0"/>
              <w:jc w:val="left"/>
              <w:textAlignment w:val="auto"/>
              <w:rPr>
                <w:lang w:val="ro-MD"/>
              </w:rPr>
            </w:pPr>
            <w:r>
              <w:rPr>
                <w:rFonts w:cs="Times New Roman CE" w:ascii="Times New Roman CE" w:hAnsi="Times New Roman CE"/>
                <w:bCs/>
                <w:i/>
                <w:sz w:val="22"/>
                <w:szCs w:val="22"/>
                <w:lang w:val="ro-MD"/>
              </w:rPr>
              <w:t>cercetător ştiinţific stagiar</w:t>
            </w:r>
          </w:p>
        </w:tc>
        <w:tc>
          <w:tcPr>
            <w:tcW w:w="22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2106" w:leader="none"/>
                <w:tab w:val="left" w:pos="3051" w:leader="none"/>
                <w:tab w:val="left" w:pos="3996" w:leader="none"/>
                <w:tab w:val="left" w:pos="4944" w:leader="none"/>
                <w:tab w:val="left" w:pos="5889" w:leader="none"/>
                <w:tab w:val="left" w:pos="6834" w:leader="none"/>
                <w:tab w:val="left" w:pos="7540" w:leader="none"/>
              </w:tabs>
              <w:bidi w:val="0"/>
              <w:ind w:left="0" w:right="0" w:hanging="0"/>
              <w:jc w:val="left"/>
              <w:textAlignment w:val="auto"/>
              <w:rPr>
                <w:rFonts w:ascii="Times New Roman" w:hAnsi="Times New Roman"/>
                <w:bCs/>
                <w:i/>
                <w:i/>
                <w:sz w:val="22"/>
                <w:szCs w:val="22"/>
                <w:lang w:val="ro-MD"/>
              </w:rPr>
            </w:pPr>
            <w:r>
              <w:rPr>
                <w:bCs/>
                <w:i/>
                <w:sz w:val="22"/>
                <w:szCs w:val="22"/>
                <w:lang w:val="ro-MD"/>
              </w:rPr>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MD"/>
              </w:rPr>
            </w:pPr>
            <w:r>
              <w:rPr>
                <w:bCs/>
                <w:i/>
                <w:sz w:val="22"/>
                <w:szCs w:val="22"/>
                <w:lang w:val="ro-MD"/>
              </w:rPr>
              <w:t>13.</w:t>
            </w:r>
          </w:p>
        </w:tc>
        <w:tc>
          <w:tcPr>
            <w:tcW w:w="3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391" w:leader="none"/>
                <w:tab w:val="left" w:pos="3222" w:leader="none"/>
                <w:tab w:val="left" w:pos="3768" w:leader="none"/>
              </w:tabs>
              <w:bidi w:val="0"/>
              <w:ind w:left="0" w:right="0" w:hanging="0"/>
              <w:jc w:val="left"/>
              <w:textAlignment w:val="auto"/>
              <w:rPr>
                <w:lang w:val="ro-MD"/>
              </w:rPr>
            </w:pPr>
            <w:r>
              <w:rPr>
                <w:bCs/>
                <w:i/>
                <w:sz w:val="22"/>
                <w:szCs w:val="22"/>
                <w:lang w:val="ro-MD"/>
              </w:rPr>
              <w:t>Ivanov Sergiu</w:t>
            </w:r>
          </w:p>
        </w:tc>
        <w:tc>
          <w:tcPr>
            <w:tcW w:w="2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2106" w:leader="none"/>
                <w:tab w:val="left" w:pos="3051" w:leader="none"/>
                <w:tab w:val="left" w:pos="3996" w:leader="none"/>
                <w:tab w:val="left" w:pos="4944" w:leader="none"/>
                <w:tab w:val="left" w:pos="5889" w:leader="none"/>
                <w:tab w:val="left" w:pos="6834" w:leader="none"/>
                <w:tab w:val="left" w:pos="7540" w:leader="none"/>
              </w:tabs>
              <w:bidi w:val="0"/>
              <w:ind w:left="0" w:right="0" w:hanging="0"/>
              <w:jc w:val="left"/>
              <w:textAlignment w:val="auto"/>
              <w:rPr>
                <w:lang w:val="ro-MD"/>
              </w:rPr>
            </w:pPr>
            <w:r>
              <w:rPr>
                <w:bCs/>
                <w:i/>
                <w:sz w:val="22"/>
                <w:szCs w:val="22"/>
                <w:lang w:val="ro-MD"/>
              </w:rPr>
              <w:t>inginer programator</w:t>
            </w:r>
          </w:p>
        </w:tc>
        <w:tc>
          <w:tcPr>
            <w:tcW w:w="22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2106" w:leader="none"/>
                <w:tab w:val="left" w:pos="3051" w:leader="none"/>
                <w:tab w:val="left" w:pos="3996" w:leader="none"/>
                <w:tab w:val="left" w:pos="4944" w:leader="none"/>
                <w:tab w:val="left" w:pos="5889" w:leader="none"/>
                <w:tab w:val="left" w:pos="6834" w:leader="none"/>
                <w:tab w:val="left" w:pos="7540" w:leader="none"/>
              </w:tabs>
              <w:bidi w:val="0"/>
              <w:ind w:left="0" w:right="0" w:hanging="0"/>
              <w:jc w:val="left"/>
              <w:textAlignment w:val="auto"/>
              <w:rPr>
                <w:rFonts w:ascii="Times New Roman" w:hAnsi="Times New Roman"/>
                <w:bCs/>
                <w:i/>
                <w:i/>
                <w:sz w:val="22"/>
                <w:szCs w:val="22"/>
                <w:lang w:val="ro-MD"/>
              </w:rPr>
            </w:pPr>
            <w:r>
              <w:rPr>
                <w:bCs/>
                <w:i/>
                <w:sz w:val="22"/>
                <w:szCs w:val="22"/>
                <w:lang w:val="ro-MD"/>
              </w:rPr>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MD"/>
              </w:rPr>
            </w:pPr>
            <w:r>
              <w:rPr>
                <w:bCs/>
                <w:i/>
                <w:sz w:val="22"/>
                <w:szCs w:val="22"/>
                <w:lang w:val="ro-MD"/>
              </w:rPr>
              <w:t>14.</w:t>
            </w:r>
          </w:p>
        </w:tc>
        <w:tc>
          <w:tcPr>
            <w:tcW w:w="3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391" w:leader="none"/>
                <w:tab w:val="left" w:pos="3222" w:leader="none"/>
                <w:tab w:val="left" w:pos="3768" w:leader="none"/>
              </w:tabs>
              <w:bidi w:val="0"/>
              <w:ind w:left="0" w:right="0" w:hanging="0"/>
              <w:jc w:val="left"/>
              <w:textAlignment w:val="auto"/>
              <w:rPr>
                <w:lang w:val="ro-MD"/>
              </w:rPr>
            </w:pPr>
            <w:r>
              <w:rPr>
                <w:rFonts w:cs="Times New Roman CE" w:ascii="Times New Roman CE" w:hAnsi="Times New Roman CE"/>
                <w:bCs/>
                <w:i/>
                <w:sz w:val="22"/>
                <w:szCs w:val="22"/>
                <w:lang w:val="ro-MD"/>
              </w:rPr>
              <w:t>Zamşa Elen</w:t>
            </w:r>
            <w:r>
              <w:rPr>
                <w:bCs/>
                <w:i/>
                <w:sz w:val="22"/>
                <w:szCs w:val="22"/>
                <w:lang w:val="ro-MD"/>
              </w:rPr>
              <w:t>a</w:t>
            </w:r>
          </w:p>
        </w:tc>
        <w:tc>
          <w:tcPr>
            <w:tcW w:w="2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2106" w:leader="none"/>
                <w:tab w:val="left" w:pos="3051" w:leader="none"/>
                <w:tab w:val="left" w:pos="3996" w:leader="none"/>
                <w:tab w:val="left" w:pos="4944" w:leader="none"/>
                <w:tab w:val="left" w:pos="5889" w:leader="none"/>
                <w:tab w:val="left" w:pos="6834" w:leader="none"/>
                <w:tab w:val="left" w:pos="7540" w:leader="none"/>
              </w:tabs>
              <w:bidi w:val="0"/>
              <w:ind w:left="0" w:right="0" w:hanging="0"/>
              <w:jc w:val="left"/>
              <w:textAlignment w:val="auto"/>
              <w:rPr>
                <w:lang w:val="ro-MD"/>
              </w:rPr>
            </w:pPr>
            <w:r>
              <w:rPr>
                <w:bCs/>
                <w:i/>
                <w:sz w:val="22"/>
                <w:szCs w:val="22"/>
                <w:lang w:val="ro-MD"/>
              </w:rPr>
              <w:t>inginer programator</w:t>
            </w:r>
          </w:p>
        </w:tc>
        <w:tc>
          <w:tcPr>
            <w:tcW w:w="22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2106" w:leader="none"/>
                <w:tab w:val="left" w:pos="3051" w:leader="none"/>
                <w:tab w:val="left" w:pos="3996" w:leader="none"/>
                <w:tab w:val="left" w:pos="4944" w:leader="none"/>
                <w:tab w:val="left" w:pos="5889" w:leader="none"/>
                <w:tab w:val="left" w:pos="6834" w:leader="none"/>
                <w:tab w:val="left" w:pos="7540" w:leader="none"/>
              </w:tabs>
              <w:bidi w:val="0"/>
              <w:ind w:left="0" w:right="0" w:hanging="0"/>
              <w:jc w:val="left"/>
              <w:textAlignment w:val="auto"/>
              <w:rPr>
                <w:rFonts w:ascii="Times New Roman" w:hAnsi="Times New Roman"/>
                <w:bCs/>
                <w:i/>
                <w:i/>
                <w:sz w:val="22"/>
                <w:szCs w:val="22"/>
                <w:lang w:val="ro-MD"/>
              </w:rPr>
            </w:pPr>
            <w:r>
              <w:rPr>
                <w:bCs/>
                <w:i/>
                <w:sz w:val="22"/>
                <w:szCs w:val="22"/>
                <w:lang w:val="ro-MD"/>
              </w:rPr>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MD"/>
              </w:rPr>
            </w:pPr>
            <w:r>
              <w:rPr>
                <w:bCs/>
                <w:i/>
                <w:sz w:val="22"/>
                <w:szCs w:val="22"/>
                <w:lang w:val="ro-MD"/>
              </w:rPr>
              <w:t>15.</w:t>
            </w:r>
          </w:p>
        </w:tc>
        <w:tc>
          <w:tcPr>
            <w:tcW w:w="3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391" w:leader="none"/>
                <w:tab w:val="left" w:pos="3222" w:leader="none"/>
                <w:tab w:val="left" w:pos="3768" w:leader="none"/>
              </w:tabs>
              <w:bidi w:val="0"/>
              <w:ind w:left="0" w:right="0" w:hanging="0"/>
              <w:jc w:val="left"/>
              <w:textAlignment w:val="auto"/>
              <w:rPr>
                <w:lang w:val="ro-MD"/>
              </w:rPr>
            </w:pPr>
            <w:r>
              <w:rPr>
                <w:rFonts w:cs="Times New Roman CE" w:ascii="Times New Roman CE" w:hAnsi="Times New Roman CE"/>
                <w:bCs/>
                <w:i/>
                <w:sz w:val="22"/>
                <w:szCs w:val="22"/>
                <w:lang w:val="ro-MD"/>
              </w:rPr>
              <w:t>Gîscă Veronica</w:t>
            </w:r>
          </w:p>
        </w:tc>
        <w:tc>
          <w:tcPr>
            <w:tcW w:w="2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2106" w:leader="none"/>
                <w:tab w:val="left" w:pos="3051" w:leader="none"/>
                <w:tab w:val="left" w:pos="3996" w:leader="none"/>
                <w:tab w:val="left" w:pos="4944" w:leader="none"/>
                <w:tab w:val="left" w:pos="5889" w:leader="none"/>
                <w:tab w:val="left" w:pos="6834" w:leader="none"/>
                <w:tab w:val="left" w:pos="7540" w:leader="none"/>
              </w:tabs>
              <w:bidi w:val="0"/>
              <w:ind w:left="0" w:right="0" w:hanging="0"/>
              <w:jc w:val="left"/>
              <w:textAlignment w:val="auto"/>
              <w:rPr>
                <w:lang w:val="ro-MD"/>
              </w:rPr>
            </w:pPr>
            <w:r>
              <w:rPr>
                <w:bCs/>
                <w:i/>
                <w:sz w:val="22"/>
                <w:szCs w:val="22"/>
                <w:lang w:val="ro-MD"/>
              </w:rPr>
              <w:t>inginer programator</w:t>
            </w:r>
          </w:p>
        </w:tc>
        <w:tc>
          <w:tcPr>
            <w:tcW w:w="22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2106" w:leader="none"/>
                <w:tab w:val="left" w:pos="3051" w:leader="none"/>
                <w:tab w:val="left" w:pos="3996" w:leader="none"/>
                <w:tab w:val="left" w:pos="4944" w:leader="none"/>
                <w:tab w:val="left" w:pos="5889" w:leader="none"/>
                <w:tab w:val="left" w:pos="6834" w:leader="none"/>
                <w:tab w:val="left" w:pos="7540" w:leader="none"/>
              </w:tabs>
              <w:bidi w:val="0"/>
              <w:ind w:left="0" w:right="0" w:hanging="0"/>
              <w:jc w:val="left"/>
              <w:textAlignment w:val="auto"/>
              <w:rPr>
                <w:rFonts w:ascii="Times New Roman" w:hAnsi="Times New Roman"/>
                <w:bCs/>
                <w:i/>
                <w:i/>
                <w:sz w:val="22"/>
                <w:szCs w:val="22"/>
                <w:lang w:val="ro-MD"/>
              </w:rPr>
            </w:pPr>
            <w:r>
              <w:rPr>
                <w:bCs/>
                <w:i/>
                <w:sz w:val="22"/>
                <w:szCs w:val="22"/>
                <w:lang w:val="ro-MD"/>
              </w:rPr>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MD"/>
              </w:rPr>
            </w:pPr>
            <w:r>
              <w:rPr>
                <w:bCs/>
                <w:i/>
                <w:sz w:val="22"/>
                <w:szCs w:val="22"/>
                <w:lang w:val="ro-MD"/>
              </w:rPr>
              <w:t>16.</w:t>
            </w:r>
          </w:p>
        </w:tc>
        <w:tc>
          <w:tcPr>
            <w:tcW w:w="3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391" w:leader="none"/>
                <w:tab w:val="left" w:pos="3222" w:leader="none"/>
                <w:tab w:val="left" w:pos="3768" w:leader="none"/>
              </w:tabs>
              <w:bidi w:val="0"/>
              <w:ind w:left="0" w:right="0" w:hanging="0"/>
              <w:jc w:val="left"/>
              <w:textAlignment w:val="auto"/>
              <w:rPr>
                <w:lang w:val="ro-MD"/>
              </w:rPr>
            </w:pPr>
            <w:r>
              <w:rPr>
                <w:bCs/>
                <w:i/>
                <w:sz w:val="22"/>
                <w:szCs w:val="22"/>
                <w:lang w:val="ro-MD"/>
              </w:rPr>
              <w:t>Bumbu Tudor</w:t>
            </w:r>
          </w:p>
        </w:tc>
        <w:tc>
          <w:tcPr>
            <w:tcW w:w="2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2106" w:leader="none"/>
                <w:tab w:val="left" w:pos="3051" w:leader="none"/>
                <w:tab w:val="left" w:pos="4003" w:leader="none"/>
                <w:tab w:val="left" w:pos="4944" w:leader="none"/>
                <w:tab w:val="left" w:pos="5889" w:leader="none"/>
                <w:tab w:val="left" w:pos="6834" w:leader="none"/>
                <w:tab w:val="left" w:pos="7540" w:leader="none"/>
              </w:tabs>
              <w:bidi w:val="0"/>
              <w:ind w:left="0" w:right="0" w:hanging="0"/>
              <w:jc w:val="left"/>
              <w:textAlignment w:val="auto"/>
              <w:rPr>
                <w:lang w:val="ro-MD"/>
              </w:rPr>
            </w:pPr>
            <w:r>
              <w:rPr>
                <w:bCs/>
                <w:i/>
                <w:sz w:val="22"/>
                <w:szCs w:val="22"/>
                <w:lang w:val="ro-MD"/>
              </w:rPr>
              <w:t>inginer programator</w:t>
            </w:r>
          </w:p>
        </w:tc>
        <w:tc>
          <w:tcPr>
            <w:tcW w:w="22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4003" w:leader="none"/>
              </w:tabs>
              <w:bidi w:val="0"/>
              <w:ind w:left="0" w:right="0" w:hanging="0"/>
              <w:jc w:val="left"/>
              <w:textAlignment w:val="auto"/>
              <w:rPr>
                <w:rFonts w:ascii="Times New Roman" w:hAnsi="Times New Roman"/>
                <w:bCs/>
                <w:i/>
                <w:i/>
                <w:sz w:val="22"/>
                <w:szCs w:val="22"/>
                <w:lang w:val="ro-MD"/>
              </w:rPr>
            </w:pPr>
            <w:r>
              <w:rPr>
                <w:bCs/>
                <w:i/>
                <w:sz w:val="22"/>
                <w:szCs w:val="22"/>
                <w:lang w:val="ro-MD"/>
              </w:rPr>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MD"/>
              </w:rPr>
            </w:pPr>
            <w:r>
              <w:rPr>
                <w:bCs/>
                <w:i/>
                <w:sz w:val="22"/>
                <w:szCs w:val="22"/>
                <w:lang w:val="ro-MD"/>
              </w:rPr>
              <w:t>17.</w:t>
            </w:r>
          </w:p>
        </w:tc>
        <w:tc>
          <w:tcPr>
            <w:tcW w:w="3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391" w:leader="none"/>
                <w:tab w:val="left" w:pos="3222" w:leader="none"/>
                <w:tab w:val="left" w:pos="3768" w:leader="none"/>
              </w:tabs>
              <w:bidi w:val="0"/>
              <w:ind w:left="0" w:right="0" w:hanging="0"/>
              <w:jc w:val="left"/>
              <w:textAlignment w:val="auto"/>
              <w:rPr>
                <w:lang w:val="ro-MD"/>
              </w:rPr>
            </w:pPr>
            <w:r>
              <w:rPr>
                <w:rFonts w:cs="Times New Roman CE" w:ascii="Times New Roman CE" w:hAnsi="Times New Roman CE"/>
                <w:bCs/>
                <w:i/>
                <w:sz w:val="22"/>
                <w:szCs w:val="22"/>
                <w:lang w:val="ro-MD"/>
              </w:rPr>
              <w:t>Ungur Ştefan</w:t>
            </w:r>
          </w:p>
        </w:tc>
        <w:tc>
          <w:tcPr>
            <w:tcW w:w="2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2106" w:leader="none"/>
                <w:tab w:val="left" w:pos="3051" w:leader="none"/>
                <w:tab w:val="left" w:pos="3996" w:leader="none"/>
                <w:tab w:val="left" w:pos="4944" w:leader="none"/>
                <w:tab w:val="left" w:pos="5889" w:leader="none"/>
                <w:tab w:val="left" w:pos="6834" w:leader="none"/>
                <w:tab w:val="left" w:pos="7540" w:leader="none"/>
              </w:tabs>
              <w:bidi w:val="0"/>
              <w:ind w:left="0" w:right="0" w:hanging="0"/>
              <w:jc w:val="left"/>
              <w:textAlignment w:val="auto"/>
              <w:rPr>
                <w:lang w:val="ro-MD"/>
              </w:rPr>
            </w:pPr>
            <w:r>
              <w:rPr>
                <w:bCs/>
                <w:i/>
                <w:sz w:val="22"/>
                <w:szCs w:val="22"/>
                <w:lang w:val="ro-MD"/>
              </w:rPr>
              <w:t>inginer programator</w:t>
            </w:r>
          </w:p>
        </w:tc>
        <w:tc>
          <w:tcPr>
            <w:tcW w:w="22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2106" w:leader="none"/>
                <w:tab w:val="left" w:pos="3051" w:leader="none"/>
                <w:tab w:val="left" w:pos="3996" w:leader="none"/>
                <w:tab w:val="left" w:pos="4944" w:leader="none"/>
                <w:tab w:val="left" w:pos="5889" w:leader="none"/>
                <w:tab w:val="left" w:pos="6834" w:leader="none"/>
                <w:tab w:val="left" w:pos="7540" w:leader="none"/>
              </w:tabs>
              <w:bidi w:val="0"/>
              <w:ind w:left="0" w:right="0" w:hanging="0"/>
              <w:jc w:val="left"/>
              <w:textAlignment w:val="auto"/>
              <w:rPr>
                <w:rFonts w:ascii="Times New Roman" w:hAnsi="Times New Roman"/>
                <w:bCs/>
                <w:i/>
                <w:i/>
                <w:sz w:val="22"/>
                <w:szCs w:val="22"/>
                <w:lang w:val="ro-MD"/>
              </w:rPr>
            </w:pPr>
            <w:r>
              <w:rPr>
                <w:bCs/>
                <w:i/>
                <w:sz w:val="22"/>
                <w:szCs w:val="22"/>
                <w:lang w:val="ro-MD"/>
              </w:rPr>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MD"/>
              </w:rPr>
            </w:pPr>
            <w:r>
              <w:rPr>
                <w:bCs/>
                <w:i/>
                <w:sz w:val="22"/>
                <w:szCs w:val="22"/>
                <w:lang w:val="ro-MD"/>
              </w:rPr>
              <w:t>18.</w:t>
            </w:r>
          </w:p>
        </w:tc>
        <w:tc>
          <w:tcPr>
            <w:tcW w:w="3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391" w:leader="none"/>
                <w:tab w:val="left" w:pos="3222" w:leader="none"/>
                <w:tab w:val="left" w:pos="3768" w:leader="none"/>
              </w:tabs>
              <w:bidi w:val="0"/>
              <w:ind w:left="0" w:right="0" w:hanging="0"/>
              <w:jc w:val="left"/>
              <w:textAlignment w:val="auto"/>
              <w:rPr>
                <w:lang w:val="ro-MD"/>
              </w:rPr>
            </w:pPr>
            <w:r>
              <w:rPr>
                <w:bCs/>
                <w:i/>
                <w:sz w:val="22"/>
                <w:szCs w:val="22"/>
                <w:lang w:val="ro-MD"/>
              </w:rPr>
              <w:t>Luca Dorina</w:t>
            </w:r>
          </w:p>
        </w:tc>
        <w:tc>
          <w:tcPr>
            <w:tcW w:w="2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2106" w:leader="none"/>
                <w:tab w:val="left" w:pos="3051" w:leader="none"/>
                <w:tab w:val="left" w:pos="3996" w:leader="none"/>
                <w:tab w:val="left" w:pos="4944" w:leader="none"/>
                <w:tab w:val="left" w:pos="5889" w:leader="none"/>
                <w:tab w:val="left" w:pos="6834" w:leader="none"/>
                <w:tab w:val="left" w:pos="7540" w:leader="none"/>
              </w:tabs>
              <w:bidi w:val="0"/>
              <w:ind w:left="0" w:right="0" w:hanging="0"/>
              <w:jc w:val="left"/>
              <w:textAlignment w:val="auto"/>
              <w:rPr>
                <w:lang w:val="ro-MD"/>
              </w:rPr>
            </w:pPr>
            <w:r>
              <w:rPr>
                <w:bCs/>
                <w:i/>
                <w:sz w:val="22"/>
                <w:szCs w:val="22"/>
                <w:lang w:val="ro-MD"/>
              </w:rPr>
              <w:t>inginer programator</w:t>
            </w:r>
          </w:p>
        </w:tc>
        <w:tc>
          <w:tcPr>
            <w:tcW w:w="22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2106" w:leader="none"/>
                <w:tab w:val="left" w:pos="3051" w:leader="none"/>
                <w:tab w:val="left" w:pos="3996" w:leader="none"/>
                <w:tab w:val="left" w:pos="4944" w:leader="none"/>
                <w:tab w:val="left" w:pos="5889" w:leader="none"/>
                <w:tab w:val="left" w:pos="6834" w:leader="none"/>
                <w:tab w:val="left" w:pos="7540" w:leader="none"/>
              </w:tabs>
              <w:bidi w:val="0"/>
              <w:ind w:left="0" w:right="0" w:hanging="0"/>
              <w:jc w:val="left"/>
              <w:textAlignment w:val="auto"/>
              <w:rPr>
                <w:rFonts w:ascii="Times New Roman" w:hAnsi="Times New Roman"/>
                <w:bCs/>
                <w:i/>
                <w:i/>
                <w:sz w:val="22"/>
                <w:szCs w:val="22"/>
                <w:lang w:val="ro-MD"/>
              </w:rPr>
            </w:pPr>
            <w:r>
              <w:rPr>
                <w:bCs/>
                <w:i/>
                <w:sz w:val="22"/>
                <w:szCs w:val="22"/>
                <w:lang w:val="ro-MD"/>
              </w:rPr>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MD"/>
              </w:rPr>
            </w:pPr>
            <w:r>
              <w:rPr>
                <w:bCs/>
                <w:i/>
                <w:sz w:val="22"/>
                <w:szCs w:val="22"/>
                <w:lang w:val="ro-MD"/>
              </w:rPr>
              <w:t>19.</w:t>
            </w:r>
          </w:p>
        </w:tc>
        <w:tc>
          <w:tcPr>
            <w:tcW w:w="3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391" w:leader="none"/>
                <w:tab w:val="left" w:pos="3222" w:leader="none"/>
                <w:tab w:val="left" w:pos="3768" w:leader="none"/>
              </w:tabs>
              <w:bidi w:val="0"/>
              <w:ind w:left="0" w:right="0" w:hanging="0"/>
              <w:jc w:val="left"/>
              <w:textAlignment w:val="auto"/>
              <w:rPr>
                <w:lang w:val="ro-MD"/>
              </w:rPr>
            </w:pPr>
            <w:r>
              <w:rPr>
                <w:bCs/>
                <w:i/>
                <w:sz w:val="22"/>
                <w:szCs w:val="22"/>
                <w:lang w:val="ro-MD"/>
              </w:rPr>
              <w:t>Ivanov Dumitru</w:t>
            </w:r>
          </w:p>
        </w:tc>
        <w:tc>
          <w:tcPr>
            <w:tcW w:w="2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2106" w:leader="none"/>
                <w:tab w:val="left" w:pos="3051" w:leader="none"/>
                <w:tab w:val="left" w:pos="3996" w:leader="none"/>
                <w:tab w:val="left" w:pos="4944" w:leader="none"/>
                <w:tab w:val="left" w:pos="5889" w:leader="none"/>
                <w:tab w:val="left" w:pos="6834" w:leader="none"/>
                <w:tab w:val="left" w:pos="7540" w:leader="none"/>
              </w:tabs>
              <w:bidi w:val="0"/>
              <w:ind w:left="0" w:right="0" w:hanging="0"/>
              <w:jc w:val="left"/>
              <w:textAlignment w:val="auto"/>
              <w:rPr>
                <w:lang w:val="ro-MD"/>
              </w:rPr>
            </w:pPr>
            <w:r>
              <w:rPr>
                <w:bCs/>
                <w:i/>
                <w:sz w:val="22"/>
                <w:szCs w:val="22"/>
                <w:lang w:val="ro-MD"/>
              </w:rPr>
              <w:t>inginer programator</w:t>
            </w:r>
          </w:p>
        </w:tc>
        <w:tc>
          <w:tcPr>
            <w:tcW w:w="22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2106" w:leader="none"/>
                <w:tab w:val="left" w:pos="3051" w:leader="none"/>
                <w:tab w:val="left" w:pos="3996" w:leader="none"/>
                <w:tab w:val="left" w:pos="4944" w:leader="none"/>
                <w:tab w:val="left" w:pos="5889" w:leader="none"/>
                <w:tab w:val="left" w:pos="6834" w:leader="none"/>
                <w:tab w:val="left" w:pos="7540" w:leader="none"/>
              </w:tabs>
              <w:bidi w:val="0"/>
              <w:ind w:left="0" w:right="0" w:hanging="0"/>
              <w:jc w:val="left"/>
              <w:textAlignment w:val="auto"/>
              <w:rPr>
                <w:rFonts w:ascii="Times New Roman" w:hAnsi="Times New Roman"/>
                <w:bCs/>
                <w:i/>
                <w:i/>
                <w:sz w:val="22"/>
                <w:szCs w:val="22"/>
                <w:lang w:val="ro-MD"/>
              </w:rPr>
            </w:pPr>
            <w:r>
              <w:rPr>
                <w:bCs/>
                <w:i/>
                <w:sz w:val="22"/>
                <w:szCs w:val="22"/>
                <w:lang w:val="ro-MD"/>
              </w:rPr>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MD"/>
              </w:rPr>
            </w:pPr>
            <w:r>
              <w:rPr>
                <w:bCs/>
                <w:i/>
                <w:sz w:val="22"/>
                <w:szCs w:val="22"/>
                <w:lang w:val="ro-MD"/>
              </w:rPr>
              <w:t>20.</w:t>
            </w:r>
          </w:p>
        </w:tc>
        <w:tc>
          <w:tcPr>
            <w:tcW w:w="3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391" w:leader="none"/>
                <w:tab w:val="left" w:pos="3222" w:leader="none"/>
                <w:tab w:val="left" w:pos="3768" w:leader="none"/>
              </w:tabs>
              <w:bidi w:val="0"/>
              <w:ind w:left="0" w:right="0" w:hanging="0"/>
              <w:jc w:val="left"/>
              <w:textAlignment w:val="auto"/>
              <w:rPr>
                <w:lang w:val="ro-MD"/>
              </w:rPr>
            </w:pPr>
            <w:r>
              <w:rPr>
                <w:bCs/>
                <w:i/>
                <w:sz w:val="22"/>
                <w:szCs w:val="22"/>
                <w:lang w:val="ro-MD"/>
              </w:rPr>
              <w:t>Malachi Vitalie</w:t>
            </w:r>
          </w:p>
        </w:tc>
        <w:tc>
          <w:tcPr>
            <w:tcW w:w="29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2106" w:leader="none"/>
                <w:tab w:val="left" w:pos="3051" w:leader="none"/>
                <w:tab w:val="left" w:pos="3996" w:leader="none"/>
                <w:tab w:val="left" w:pos="4944" w:leader="none"/>
                <w:tab w:val="left" w:pos="5889" w:leader="none"/>
                <w:tab w:val="left" w:pos="6834" w:leader="none"/>
                <w:tab w:val="left" w:pos="7540" w:leader="none"/>
              </w:tabs>
              <w:bidi w:val="0"/>
              <w:ind w:left="0" w:right="0" w:hanging="0"/>
              <w:jc w:val="left"/>
              <w:textAlignment w:val="auto"/>
              <w:rPr>
                <w:lang w:val="ro-MD"/>
              </w:rPr>
            </w:pPr>
            <w:r>
              <w:rPr>
                <w:bCs/>
                <w:i/>
                <w:sz w:val="22"/>
                <w:szCs w:val="22"/>
                <w:lang w:val="ro-MD"/>
              </w:rPr>
              <w:t>inginer programator</w:t>
            </w:r>
          </w:p>
        </w:tc>
        <w:tc>
          <w:tcPr>
            <w:tcW w:w="22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2106" w:leader="none"/>
                <w:tab w:val="left" w:pos="3051" w:leader="none"/>
                <w:tab w:val="left" w:pos="3996" w:leader="none"/>
                <w:tab w:val="left" w:pos="4944" w:leader="none"/>
                <w:tab w:val="left" w:pos="5889" w:leader="none"/>
                <w:tab w:val="left" w:pos="6834" w:leader="none"/>
                <w:tab w:val="left" w:pos="7540" w:leader="none"/>
              </w:tabs>
              <w:bidi w:val="0"/>
              <w:ind w:left="0" w:right="0" w:hanging="0"/>
              <w:jc w:val="left"/>
              <w:textAlignment w:val="auto"/>
              <w:rPr>
                <w:rFonts w:ascii="Times New Roman" w:hAnsi="Times New Roman"/>
                <w:bCs/>
                <w:i/>
                <w:i/>
                <w:sz w:val="22"/>
                <w:szCs w:val="22"/>
                <w:lang w:val="ro-MD"/>
              </w:rPr>
            </w:pPr>
            <w:r>
              <w:rPr>
                <w:bCs/>
                <w:i/>
                <w:sz w:val="22"/>
                <w:szCs w:val="22"/>
                <w:lang w:val="ro-MD"/>
              </w:rPr>
            </w:r>
          </w:p>
        </w:tc>
      </w:tr>
    </w:tbl>
    <w:p>
      <w:pPr>
        <w:pStyle w:val="Normal"/>
        <w:widowControl/>
        <w:bidi w:val="0"/>
        <w:ind w:left="180" w:right="0" w:hanging="0"/>
        <w:jc w:val="left"/>
        <w:textAlignment w:val="auto"/>
        <w:rPr>
          <w:rFonts w:ascii="Times New Roman" w:hAnsi="Times New Roman"/>
          <w:bCs/>
          <w:sz w:val="22"/>
          <w:szCs w:val="22"/>
          <w:lang w:val="ro-RO"/>
        </w:rPr>
      </w:pPr>
      <w:r>
        <w:rPr>
          <w:bCs/>
          <w:sz w:val="22"/>
          <w:szCs w:val="22"/>
          <w:lang w:val="ro-RO"/>
        </w:rPr>
      </w:r>
    </w:p>
    <w:p>
      <w:pPr>
        <w:pStyle w:val="Normal"/>
        <w:widowControl/>
        <w:bidi w:val="0"/>
        <w:ind w:left="180" w:right="0" w:hanging="0"/>
        <w:jc w:val="left"/>
        <w:textAlignment w:val="auto"/>
        <w:rPr>
          <w:rFonts w:ascii="Times New Roman" w:hAnsi="Times New Roman"/>
          <w:bCs/>
          <w:sz w:val="22"/>
          <w:szCs w:val="22"/>
          <w:lang w:val="ro-RO"/>
        </w:rPr>
      </w:pPr>
      <w:r>
        <w:rPr>
          <w:bCs/>
          <w:sz w:val="22"/>
          <w:szCs w:val="22"/>
          <w:lang w:val="ro-RO"/>
        </w:rPr>
      </w:r>
    </w:p>
    <w:p>
      <w:pPr>
        <w:pStyle w:val="Normal"/>
        <w:widowControl/>
        <w:bidi w:val="0"/>
        <w:ind w:left="180" w:right="0" w:hanging="0"/>
        <w:jc w:val="left"/>
        <w:textAlignment w:val="auto"/>
        <w:rPr>
          <w:rFonts w:ascii="Times New Roman" w:hAnsi="Times New Roman"/>
          <w:bCs/>
          <w:sz w:val="22"/>
          <w:szCs w:val="22"/>
          <w:lang w:val="ro-RO"/>
        </w:rPr>
      </w:pPr>
      <w:r>
        <w:rPr>
          <w:bCs/>
          <w:sz w:val="22"/>
          <w:szCs w:val="22"/>
          <w:lang w:val="ro-RO"/>
        </w:rPr>
      </w:r>
    </w:p>
    <w:p>
      <w:pPr>
        <w:pStyle w:val="Normal"/>
        <w:widowControl/>
        <w:bidi w:val="0"/>
        <w:ind w:left="180" w:right="0" w:hanging="0"/>
        <w:jc w:val="left"/>
        <w:textAlignment w:val="auto"/>
        <w:rPr>
          <w:rFonts w:ascii="Times New Roman" w:hAnsi="Times New Roman"/>
          <w:bCs/>
          <w:sz w:val="22"/>
          <w:szCs w:val="22"/>
          <w:lang w:val="ro-RO"/>
        </w:rPr>
      </w:pPr>
      <w:r>
        <w:rPr>
          <w:bCs/>
          <w:sz w:val="22"/>
          <w:szCs w:val="22"/>
          <w:lang w:val="ro-RO"/>
        </w:rPr>
      </w:r>
    </w:p>
    <w:p>
      <w:pPr>
        <w:pStyle w:val="Normal"/>
        <w:widowControl/>
        <w:bidi w:val="0"/>
        <w:ind w:left="180" w:right="0" w:hanging="0"/>
        <w:jc w:val="left"/>
        <w:textAlignment w:val="auto"/>
        <w:rPr>
          <w:rFonts w:ascii="Times New Roman" w:hAnsi="Times New Roman"/>
          <w:bCs/>
          <w:sz w:val="22"/>
          <w:szCs w:val="22"/>
          <w:lang w:val="ro-RO"/>
        </w:rPr>
      </w:pPr>
      <w:r>
        <w:rPr>
          <w:bCs/>
          <w:sz w:val="22"/>
          <w:szCs w:val="22"/>
          <w:lang w:val="ro-RO"/>
        </w:rPr>
      </w:r>
    </w:p>
    <w:p>
      <w:pPr>
        <w:pStyle w:val="Normal"/>
        <w:widowControl/>
        <w:bidi w:val="0"/>
        <w:ind w:left="180" w:right="0" w:hanging="0"/>
        <w:jc w:val="left"/>
        <w:textAlignment w:val="auto"/>
        <w:rPr>
          <w:rFonts w:ascii="Times New Roman" w:hAnsi="Times New Roman"/>
          <w:bCs/>
          <w:sz w:val="22"/>
          <w:szCs w:val="22"/>
          <w:lang w:val="ro-RO"/>
        </w:rPr>
      </w:pPr>
      <w:r>
        <w:rPr>
          <w:bCs/>
          <w:sz w:val="22"/>
          <w:szCs w:val="22"/>
          <w:lang w:val="ro-RO"/>
        </w:rPr>
      </w:r>
    </w:p>
    <w:p>
      <w:pPr>
        <w:pStyle w:val="Normal"/>
        <w:widowControl/>
        <w:bidi w:val="0"/>
        <w:ind w:left="180" w:right="0" w:hanging="0"/>
        <w:jc w:val="left"/>
        <w:textAlignment w:val="auto"/>
        <w:rPr>
          <w:rFonts w:ascii="Times New Roman" w:hAnsi="Times New Roman"/>
          <w:bCs/>
          <w:sz w:val="22"/>
          <w:szCs w:val="22"/>
          <w:lang w:val="ro-RO"/>
        </w:rPr>
      </w:pPr>
      <w:r>
        <w:rPr>
          <w:bCs/>
          <w:sz w:val="22"/>
          <w:szCs w:val="22"/>
          <w:lang w:val="ro-RO"/>
        </w:rPr>
      </w:r>
    </w:p>
    <w:p>
      <w:pPr>
        <w:pStyle w:val="Normal"/>
        <w:widowControl/>
        <w:bidi w:val="0"/>
        <w:ind w:left="180" w:right="0" w:hanging="0"/>
        <w:jc w:val="left"/>
        <w:textAlignment w:val="auto"/>
        <w:rPr>
          <w:rFonts w:ascii="Times New Roman" w:hAnsi="Times New Roman"/>
          <w:bCs/>
          <w:sz w:val="22"/>
          <w:szCs w:val="22"/>
          <w:lang w:val="ro-RO"/>
        </w:rPr>
      </w:pPr>
      <w:r>
        <w:rPr>
          <w:bCs/>
          <w:sz w:val="22"/>
          <w:szCs w:val="22"/>
          <w:lang w:val="ro-RO"/>
        </w:rPr>
      </w:r>
    </w:p>
    <w:p>
      <w:pPr>
        <w:pStyle w:val="Normal"/>
        <w:widowControl/>
        <w:bidi w:val="0"/>
        <w:ind w:left="180" w:right="0" w:hanging="0"/>
        <w:jc w:val="left"/>
        <w:textAlignment w:val="auto"/>
        <w:rPr>
          <w:rFonts w:ascii="Times New Roman" w:hAnsi="Times New Roman"/>
          <w:bCs/>
          <w:sz w:val="22"/>
          <w:szCs w:val="22"/>
          <w:lang w:val="ro-RO"/>
        </w:rPr>
      </w:pPr>
      <w:r>
        <w:rPr>
          <w:bCs/>
          <w:sz w:val="22"/>
          <w:szCs w:val="22"/>
          <w:lang w:val="ro-RO"/>
        </w:rPr>
      </w:r>
    </w:p>
    <w:tbl>
      <w:tblPr>
        <w:tblW w:w="9513" w:type="dxa"/>
        <w:jc w:val="left"/>
        <w:tblInd w:w="56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3" w:type="dxa"/>
          <w:bottom w:w="0" w:type="dxa"/>
          <w:right w:w="108" w:type="dxa"/>
        </w:tblCellMar>
      </w:tblPr>
      <w:tblGrid>
        <w:gridCol w:w="1070"/>
        <w:gridCol w:w="3210"/>
        <w:gridCol w:w="3078"/>
        <w:gridCol w:w="2154"/>
      </w:tblGrid>
      <w:tr>
        <w:trPr/>
        <w:tc>
          <w:tcPr>
            <w:tcW w:w="9512"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2106" w:leader="none"/>
                <w:tab w:val="left" w:pos="3051" w:leader="none"/>
                <w:tab w:val="left" w:pos="4003" w:leader="none"/>
                <w:tab w:val="left" w:pos="4944" w:leader="none"/>
                <w:tab w:val="left" w:pos="5889" w:leader="none"/>
                <w:tab w:val="left" w:pos="6834" w:leader="none"/>
                <w:tab w:val="left" w:pos="7540" w:leader="none"/>
              </w:tabs>
              <w:bidi w:val="0"/>
              <w:ind w:left="93" w:right="0" w:hanging="0"/>
              <w:jc w:val="center"/>
              <w:textAlignment w:val="auto"/>
              <w:rPr>
                <w:lang w:val="ro-MD"/>
              </w:rPr>
            </w:pPr>
            <w:r>
              <w:rPr>
                <w:b/>
                <w:bCs/>
                <w:i/>
                <w:sz w:val="22"/>
                <w:szCs w:val="22"/>
                <w:lang w:val="ro-MD"/>
              </w:rPr>
              <w:t>Laborator “Sisteme  informatice”</w:t>
            </w:r>
          </w:p>
        </w:tc>
      </w:tr>
      <w:tr>
        <w:trPr/>
        <w:tc>
          <w:tcPr>
            <w:tcW w:w="428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MD"/>
              </w:rPr>
            </w:pPr>
            <w:r>
              <w:rPr>
                <w:bCs/>
                <w:i/>
                <w:sz w:val="22"/>
                <w:szCs w:val="22"/>
                <w:lang w:val="ro-MD"/>
              </w:rPr>
              <w:t>Nume, prenume</w:t>
            </w:r>
          </w:p>
        </w:tc>
        <w:tc>
          <w:tcPr>
            <w:tcW w:w="523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4003" w:leader="none"/>
              </w:tabs>
              <w:bidi w:val="0"/>
              <w:ind w:left="0" w:right="0" w:hanging="0"/>
              <w:jc w:val="center"/>
              <w:textAlignment w:val="auto"/>
              <w:rPr>
                <w:lang w:val="ro-MD"/>
              </w:rPr>
            </w:pPr>
            <w:r>
              <w:rPr>
                <w:bCs/>
                <w:i/>
                <w:sz w:val="22"/>
                <w:szCs w:val="22"/>
                <w:lang w:val="ro-MD"/>
              </w:rPr>
              <w:t>F</w:t>
            </w:r>
            <w:r>
              <w:rPr>
                <w:rFonts w:cs="Times New Roman CE" w:ascii="Times New Roman CE" w:hAnsi="Times New Roman CE"/>
                <w:bCs/>
                <w:i/>
                <w:sz w:val="22"/>
                <w:szCs w:val="22"/>
                <w:lang w:val="ro-MD"/>
              </w:rPr>
              <w:t>uncţia în cadrul p</w:t>
            </w:r>
            <w:r>
              <w:rPr>
                <w:bCs/>
                <w:i/>
                <w:sz w:val="22"/>
                <w:szCs w:val="22"/>
                <w:lang w:val="ro-MD"/>
              </w:rPr>
              <w:t>roiectului</w:t>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MD"/>
              </w:rPr>
            </w:pPr>
            <w:r>
              <w:rPr>
                <w:bCs/>
                <w:i/>
                <w:sz w:val="22"/>
                <w:szCs w:val="22"/>
                <w:lang w:val="ro-MD"/>
              </w:rPr>
              <w:t>1.</w:t>
            </w:r>
          </w:p>
        </w:tc>
        <w:tc>
          <w:tcPr>
            <w:tcW w:w="3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391" w:leader="none"/>
                <w:tab w:val="left" w:pos="3222" w:leader="none"/>
                <w:tab w:val="left" w:pos="3768" w:leader="none"/>
              </w:tabs>
              <w:bidi w:val="0"/>
              <w:ind w:left="0" w:right="0" w:hanging="0"/>
              <w:jc w:val="left"/>
              <w:textAlignment w:val="auto"/>
              <w:rPr>
                <w:lang w:val="ro-MD"/>
              </w:rPr>
            </w:pPr>
            <w:r>
              <w:rPr>
                <w:bCs/>
                <w:i/>
                <w:sz w:val="22"/>
                <w:szCs w:val="22"/>
                <w:lang w:val="ro-MD"/>
              </w:rPr>
              <w:t>Secrieru Iulian</w:t>
            </w:r>
          </w:p>
        </w:tc>
        <w:tc>
          <w:tcPr>
            <w:tcW w:w="30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4003" w:leader="none"/>
              </w:tabs>
              <w:bidi w:val="0"/>
              <w:ind w:left="0" w:right="0" w:hanging="0"/>
              <w:jc w:val="left"/>
              <w:textAlignment w:val="auto"/>
              <w:rPr>
                <w:lang w:val="ro-MD"/>
              </w:rPr>
            </w:pPr>
            <w:r>
              <w:rPr>
                <w:rFonts w:cs="Times New Roman CE" w:ascii="Times New Roman CE" w:hAnsi="Times New Roman CE"/>
                <w:bCs/>
                <w:i/>
                <w:sz w:val="22"/>
                <w:szCs w:val="22"/>
                <w:lang w:val="ro-MD"/>
              </w:rPr>
              <w:t>cercetător ştiinţific</w:t>
            </w:r>
          </w:p>
        </w:tc>
        <w:tc>
          <w:tcPr>
            <w:tcW w:w="21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4003" w:leader="none"/>
              </w:tabs>
              <w:bidi w:val="0"/>
              <w:ind w:left="0" w:right="0" w:hanging="0"/>
              <w:jc w:val="left"/>
              <w:textAlignment w:val="auto"/>
              <w:rPr>
                <w:rFonts w:ascii="Times New Roman" w:hAnsi="Times New Roman"/>
                <w:bCs/>
                <w:i/>
                <w:i/>
                <w:sz w:val="22"/>
                <w:szCs w:val="22"/>
                <w:lang w:val="ro-MD"/>
              </w:rPr>
            </w:pPr>
            <w:r>
              <w:rPr>
                <w:bCs/>
                <w:i/>
                <w:sz w:val="22"/>
                <w:szCs w:val="22"/>
                <w:lang w:val="ro-MD"/>
              </w:rPr>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MD"/>
              </w:rPr>
            </w:pPr>
            <w:r>
              <w:rPr>
                <w:bCs/>
                <w:i/>
                <w:sz w:val="22"/>
                <w:szCs w:val="22"/>
                <w:lang w:val="ro-MD"/>
              </w:rPr>
              <w:t>2.</w:t>
            </w:r>
          </w:p>
        </w:tc>
        <w:tc>
          <w:tcPr>
            <w:tcW w:w="3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391" w:leader="none"/>
                <w:tab w:val="left" w:pos="3222" w:leader="none"/>
                <w:tab w:val="left" w:pos="3768" w:leader="none"/>
              </w:tabs>
              <w:bidi w:val="0"/>
              <w:ind w:left="0" w:right="0" w:hanging="0"/>
              <w:jc w:val="left"/>
              <w:textAlignment w:val="auto"/>
              <w:rPr>
                <w:lang w:val="ro-MD"/>
              </w:rPr>
            </w:pPr>
            <w:r>
              <w:rPr>
                <w:bCs/>
                <w:i/>
                <w:sz w:val="22"/>
                <w:szCs w:val="22"/>
                <w:lang w:val="ro-MD"/>
              </w:rPr>
              <w:t>Gaindric Constantin</w:t>
            </w:r>
          </w:p>
        </w:tc>
        <w:tc>
          <w:tcPr>
            <w:tcW w:w="30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4003" w:leader="none"/>
              </w:tabs>
              <w:bidi w:val="0"/>
              <w:ind w:left="0" w:right="0" w:hanging="0"/>
              <w:jc w:val="left"/>
              <w:textAlignment w:val="auto"/>
              <w:rPr>
                <w:lang w:val="ro-MD"/>
              </w:rPr>
            </w:pPr>
            <w:r>
              <w:rPr>
                <w:rFonts w:cs="Times New Roman CE" w:ascii="Times New Roman CE" w:hAnsi="Times New Roman CE"/>
                <w:bCs/>
                <w:i/>
                <w:sz w:val="22"/>
                <w:szCs w:val="22"/>
                <w:lang w:val="ro-MD"/>
              </w:rPr>
              <w:t>cercetător ştiinţific principal</w:t>
            </w:r>
          </w:p>
        </w:tc>
        <w:tc>
          <w:tcPr>
            <w:tcW w:w="21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4003" w:leader="none"/>
              </w:tabs>
              <w:bidi w:val="0"/>
              <w:ind w:left="0" w:right="0" w:hanging="0"/>
              <w:jc w:val="left"/>
              <w:textAlignment w:val="auto"/>
              <w:rPr>
                <w:lang w:val="ro-RO"/>
              </w:rPr>
            </w:pPr>
            <w:r>
              <w:rPr>
                <w:bCs/>
                <w:i/>
                <w:sz w:val="22"/>
                <w:szCs w:val="22"/>
                <w:lang w:val="ro-RO"/>
              </w:rPr>
              <w:t>doctor habilitat</w:t>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MD"/>
              </w:rPr>
            </w:pPr>
            <w:r>
              <w:rPr>
                <w:bCs/>
                <w:i/>
                <w:sz w:val="22"/>
                <w:szCs w:val="22"/>
                <w:lang w:val="ro-MD"/>
              </w:rPr>
              <w:t>3.</w:t>
            </w:r>
          </w:p>
        </w:tc>
        <w:tc>
          <w:tcPr>
            <w:tcW w:w="3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391" w:leader="none"/>
                <w:tab w:val="left" w:pos="3222" w:leader="none"/>
                <w:tab w:val="left" w:pos="3768" w:leader="none"/>
              </w:tabs>
              <w:bidi w:val="0"/>
              <w:ind w:left="0" w:right="0" w:hanging="0"/>
              <w:jc w:val="left"/>
              <w:textAlignment w:val="auto"/>
              <w:rPr>
                <w:lang w:val="ro-MD"/>
              </w:rPr>
            </w:pPr>
            <w:r>
              <w:rPr>
                <w:rFonts w:cs="Times New Roman CE" w:ascii="Times New Roman CE" w:hAnsi="Times New Roman CE"/>
                <w:bCs/>
                <w:i/>
                <w:sz w:val="22"/>
                <w:szCs w:val="22"/>
                <w:lang w:val="ro-MD"/>
              </w:rPr>
              <w:t>Ţîţchiev Inga</w:t>
            </w:r>
          </w:p>
        </w:tc>
        <w:tc>
          <w:tcPr>
            <w:tcW w:w="30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4003" w:leader="none"/>
              </w:tabs>
              <w:bidi w:val="0"/>
              <w:ind w:left="0" w:right="0" w:hanging="0"/>
              <w:jc w:val="left"/>
              <w:textAlignment w:val="auto"/>
              <w:rPr>
                <w:lang w:val="ro-MD"/>
              </w:rPr>
            </w:pPr>
            <w:r>
              <w:rPr>
                <w:rFonts w:cs="Times New Roman CE" w:ascii="Times New Roman CE" w:hAnsi="Times New Roman CE"/>
                <w:bCs/>
                <w:i/>
                <w:sz w:val="22"/>
                <w:szCs w:val="22"/>
                <w:lang w:val="ro-MD"/>
              </w:rPr>
              <w:t>cercetător ştiinţific coordonator</w:t>
            </w:r>
          </w:p>
        </w:tc>
        <w:tc>
          <w:tcPr>
            <w:tcW w:w="21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4003" w:leader="none"/>
              </w:tabs>
              <w:bidi w:val="0"/>
              <w:ind w:left="0" w:right="0" w:hanging="0"/>
              <w:jc w:val="left"/>
              <w:textAlignment w:val="auto"/>
              <w:rPr>
                <w:lang w:val="ro-RO"/>
              </w:rPr>
            </w:pPr>
            <w:r>
              <w:rPr>
                <w:bCs/>
                <w:i/>
                <w:sz w:val="22"/>
                <w:szCs w:val="22"/>
                <w:lang w:val="ro-RO"/>
              </w:rPr>
              <w:t>doctor</w:t>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MD"/>
              </w:rPr>
            </w:pPr>
            <w:r>
              <w:rPr>
                <w:bCs/>
                <w:i/>
                <w:sz w:val="22"/>
                <w:szCs w:val="22"/>
                <w:lang w:val="ro-MD"/>
              </w:rPr>
              <w:t>4.</w:t>
            </w:r>
          </w:p>
        </w:tc>
        <w:tc>
          <w:tcPr>
            <w:tcW w:w="3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391" w:leader="none"/>
                <w:tab w:val="left" w:pos="3222" w:leader="none"/>
                <w:tab w:val="left" w:pos="3768" w:leader="none"/>
              </w:tabs>
              <w:bidi w:val="0"/>
              <w:ind w:left="0" w:right="0" w:hanging="0"/>
              <w:jc w:val="left"/>
              <w:textAlignment w:val="auto"/>
              <w:rPr>
                <w:lang w:val="ro-MD"/>
              </w:rPr>
            </w:pPr>
            <w:r>
              <w:rPr>
                <w:bCs/>
                <w:i/>
                <w:sz w:val="22"/>
                <w:szCs w:val="22"/>
                <w:lang w:val="ro-MD"/>
              </w:rPr>
              <w:t xml:space="preserve">Bogatencov Petru </w:t>
            </w:r>
          </w:p>
        </w:tc>
        <w:tc>
          <w:tcPr>
            <w:tcW w:w="30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4003" w:leader="none"/>
              </w:tabs>
              <w:bidi w:val="0"/>
              <w:ind w:left="0" w:right="0" w:hanging="0"/>
              <w:jc w:val="left"/>
              <w:textAlignment w:val="auto"/>
              <w:rPr>
                <w:lang w:val="ro-MD"/>
              </w:rPr>
            </w:pPr>
            <w:r>
              <w:rPr>
                <w:rFonts w:cs="Times New Roman CE" w:ascii="Times New Roman CE" w:hAnsi="Times New Roman CE"/>
                <w:bCs/>
                <w:i/>
                <w:sz w:val="22"/>
                <w:szCs w:val="22"/>
                <w:lang w:val="ro-MD"/>
              </w:rPr>
              <w:t>cercetător ştiinţific coordonator</w:t>
            </w:r>
          </w:p>
        </w:tc>
        <w:tc>
          <w:tcPr>
            <w:tcW w:w="21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4003" w:leader="none"/>
              </w:tabs>
              <w:bidi w:val="0"/>
              <w:ind w:left="0" w:right="0" w:hanging="0"/>
              <w:jc w:val="left"/>
              <w:textAlignment w:val="auto"/>
              <w:rPr>
                <w:lang w:val="ro-RO"/>
              </w:rPr>
            </w:pPr>
            <w:r>
              <w:rPr>
                <w:bCs/>
                <w:i/>
                <w:sz w:val="22"/>
                <w:szCs w:val="22"/>
                <w:lang w:val="ro-RO"/>
              </w:rPr>
              <w:t>doctor</w:t>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MD"/>
              </w:rPr>
            </w:pPr>
            <w:r>
              <w:rPr>
                <w:bCs/>
                <w:i/>
                <w:sz w:val="22"/>
                <w:szCs w:val="22"/>
                <w:lang w:val="ro-MD"/>
              </w:rPr>
              <w:t>5.</w:t>
            </w:r>
          </w:p>
        </w:tc>
        <w:tc>
          <w:tcPr>
            <w:tcW w:w="3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391" w:leader="none"/>
                <w:tab w:val="left" w:pos="3222" w:leader="none"/>
                <w:tab w:val="left" w:pos="3768" w:leader="none"/>
              </w:tabs>
              <w:bidi w:val="0"/>
              <w:ind w:left="0" w:right="0" w:hanging="0"/>
              <w:jc w:val="left"/>
              <w:textAlignment w:val="auto"/>
              <w:rPr>
                <w:lang w:val="ro-MD"/>
              </w:rPr>
            </w:pPr>
            <w:r>
              <w:rPr>
                <w:bCs/>
                <w:i/>
                <w:sz w:val="22"/>
                <w:szCs w:val="22"/>
                <w:lang w:val="ro-MD"/>
              </w:rPr>
              <w:t>Burlaca Oleg</w:t>
            </w:r>
          </w:p>
        </w:tc>
        <w:tc>
          <w:tcPr>
            <w:tcW w:w="30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4003" w:leader="none"/>
              </w:tabs>
              <w:bidi w:val="0"/>
              <w:ind w:left="0" w:right="0" w:hanging="0"/>
              <w:jc w:val="left"/>
              <w:textAlignment w:val="auto"/>
              <w:rPr>
                <w:lang w:val="ro-MD"/>
              </w:rPr>
            </w:pPr>
            <w:r>
              <w:rPr>
                <w:rFonts w:cs="Times New Roman CE" w:ascii="Times New Roman CE" w:hAnsi="Times New Roman CE"/>
                <w:bCs/>
                <w:i/>
                <w:sz w:val="22"/>
                <w:szCs w:val="22"/>
                <w:lang w:val="ro-MD"/>
              </w:rPr>
              <w:t>cercetător ştiinţific</w:t>
            </w:r>
          </w:p>
        </w:tc>
        <w:tc>
          <w:tcPr>
            <w:tcW w:w="21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4003" w:leader="none"/>
              </w:tabs>
              <w:bidi w:val="0"/>
              <w:ind w:left="0" w:right="0" w:hanging="0"/>
              <w:jc w:val="left"/>
              <w:textAlignment w:val="auto"/>
              <w:rPr>
                <w:lang w:val="ro-RO"/>
              </w:rPr>
            </w:pPr>
            <w:r>
              <w:rPr>
                <w:bCs/>
                <w:i/>
                <w:sz w:val="22"/>
                <w:szCs w:val="22"/>
                <w:lang w:val="ro-RO"/>
              </w:rPr>
              <w:t>doctor</w:t>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MD"/>
              </w:rPr>
            </w:pPr>
            <w:r>
              <w:rPr>
                <w:bCs/>
                <w:i/>
                <w:sz w:val="22"/>
                <w:szCs w:val="22"/>
                <w:lang w:val="ro-MD"/>
              </w:rPr>
              <w:t>6.</w:t>
            </w:r>
          </w:p>
        </w:tc>
        <w:tc>
          <w:tcPr>
            <w:tcW w:w="3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391" w:leader="none"/>
                <w:tab w:val="left" w:pos="3222" w:leader="none"/>
                <w:tab w:val="left" w:pos="3768" w:leader="none"/>
              </w:tabs>
              <w:bidi w:val="0"/>
              <w:ind w:left="0" w:right="0" w:hanging="0"/>
              <w:jc w:val="left"/>
              <w:textAlignment w:val="auto"/>
              <w:rPr>
                <w:lang w:val="ro-MD"/>
              </w:rPr>
            </w:pPr>
            <w:r>
              <w:rPr>
                <w:bCs/>
                <w:i/>
                <w:sz w:val="22"/>
                <w:szCs w:val="22"/>
                <w:lang w:val="ro-MD"/>
              </w:rPr>
              <w:t>Corlat Andrei</w:t>
            </w:r>
          </w:p>
        </w:tc>
        <w:tc>
          <w:tcPr>
            <w:tcW w:w="30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4003" w:leader="none"/>
              </w:tabs>
              <w:bidi w:val="0"/>
              <w:ind w:left="0" w:right="0" w:hanging="0"/>
              <w:jc w:val="left"/>
              <w:textAlignment w:val="auto"/>
              <w:rPr>
                <w:lang w:val="ro-MD"/>
              </w:rPr>
            </w:pPr>
            <w:r>
              <w:rPr>
                <w:rFonts w:cs="Times New Roman CE" w:ascii="Times New Roman CE" w:hAnsi="Times New Roman CE"/>
                <w:bCs/>
                <w:i/>
                <w:sz w:val="22"/>
                <w:szCs w:val="22"/>
                <w:lang w:val="ro-MD"/>
              </w:rPr>
              <w:t>cercetător ştiinţific</w:t>
            </w:r>
            <w:r>
              <w:rPr>
                <w:bCs/>
                <w:i/>
                <w:sz w:val="22"/>
                <w:szCs w:val="22"/>
                <w:lang w:val="ro-MD"/>
              </w:rPr>
              <w:t xml:space="preserve"> superior</w:t>
            </w:r>
          </w:p>
        </w:tc>
        <w:tc>
          <w:tcPr>
            <w:tcW w:w="21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4003" w:leader="none"/>
              </w:tabs>
              <w:bidi w:val="0"/>
              <w:ind w:left="0" w:right="0" w:hanging="0"/>
              <w:jc w:val="left"/>
              <w:textAlignment w:val="auto"/>
              <w:rPr>
                <w:lang w:val="ro-RO"/>
              </w:rPr>
            </w:pPr>
            <w:r>
              <w:rPr>
                <w:bCs/>
                <w:i/>
                <w:sz w:val="22"/>
                <w:szCs w:val="22"/>
                <w:lang w:val="ro-RO"/>
              </w:rPr>
              <w:t>doctor</w:t>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MD"/>
              </w:rPr>
            </w:pPr>
            <w:r>
              <w:rPr>
                <w:bCs/>
                <w:i/>
                <w:sz w:val="22"/>
                <w:szCs w:val="22"/>
                <w:lang w:val="ro-MD"/>
              </w:rPr>
              <w:t>7.</w:t>
            </w:r>
          </w:p>
        </w:tc>
        <w:tc>
          <w:tcPr>
            <w:tcW w:w="3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391" w:leader="none"/>
                <w:tab w:val="left" w:pos="3222" w:leader="none"/>
                <w:tab w:val="left" w:pos="3768" w:leader="none"/>
              </w:tabs>
              <w:bidi w:val="0"/>
              <w:ind w:left="0" w:right="0" w:hanging="0"/>
              <w:jc w:val="left"/>
              <w:textAlignment w:val="auto"/>
              <w:rPr>
                <w:lang w:val="ro-MD"/>
              </w:rPr>
            </w:pPr>
            <w:r>
              <w:rPr>
                <w:bCs/>
                <w:i/>
                <w:sz w:val="22"/>
                <w:szCs w:val="22"/>
                <w:lang w:val="ro-MD"/>
              </w:rPr>
              <w:t>Popcova Olga</w:t>
            </w:r>
          </w:p>
        </w:tc>
        <w:tc>
          <w:tcPr>
            <w:tcW w:w="30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4003" w:leader="none"/>
              </w:tabs>
              <w:bidi w:val="0"/>
              <w:ind w:left="0" w:right="0" w:hanging="0"/>
              <w:jc w:val="left"/>
              <w:textAlignment w:val="auto"/>
              <w:rPr>
                <w:lang w:val="ro-MD"/>
              </w:rPr>
            </w:pPr>
            <w:r>
              <w:rPr>
                <w:rFonts w:cs="Times New Roman CE" w:ascii="Times New Roman CE" w:hAnsi="Times New Roman CE"/>
                <w:bCs/>
                <w:i/>
                <w:sz w:val="22"/>
                <w:szCs w:val="22"/>
                <w:lang w:val="ro-MD"/>
              </w:rPr>
              <w:t>cercetător ştiinţific</w:t>
            </w:r>
          </w:p>
        </w:tc>
        <w:tc>
          <w:tcPr>
            <w:tcW w:w="21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4003" w:leader="none"/>
              </w:tabs>
              <w:bidi w:val="0"/>
              <w:ind w:left="0" w:right="0" w:hanging="0"/>
              <w:jc w:val="left"/>
              <w:textAlignment w:val="auto"/>
              <w:rPr>
                <w:rFonts w:ascii="Times New Roman" w:hAnsi="Times New Roman"/>
                <w:bCs/>
                <w:i/>
                <w:i/>
                <w:sz w:val="22"/>
                <w:szCs w:val="22"/>
                <w:lang w:val="ro-MD"/>
              </w:rPr>
            </w:pPr>
            <w:r>
              <w:rPr>
                <w:bCs/>
                <w:i/>
                <w:sz w:val="22"/>
                <w:szCs w:val="22"/>
                <w:lang w:val="ro-MD"/>
              </w:rPr>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MD"/>
              </w:rPr>
            </w:pPr>
            <w:r>
              <w:rPr>
                <w:bCs/>
                <w:i/>
                <w:sz w:val="22"/>
                <w:szCs w:val="22"/>
                <w:lang w:val="ro-MD"/>
              </w:rPr>
              <w:t>8.</w:t>
            </w:r>
          </w:p>
        </w:tc>
        <w:tc>
          <w:tcPr>
            <w:tcW w:w="3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391" w:leader="none"/>
                <w:tab w:val="left" w:pos="3222" w:leader="none"/>
                <w:tab w:val="left" w:pos="3768" w:leader="none"/>
              </w:tabs>
              <w:bidi w:val="0"/>
              <w:ind w:left="0" w:right="0" w:hanging="0"/>
              <w:jc w:val="left"/>
              <w:textAlignment w:val="auto"/>
              <w:rPr>
                <w:lang w:val="ro-MD"/>
              </w:rPr>
            </w:pPr>
            <w:r>
              <w:rPr>
                <w:bCs/>
                <w:i/>
                <w:sz w:val="22"/>
                <w:szCs w:val="22"/>
                <w:lang w:val="ro-MD"/>
              </w:rPr>
              <w:t>Iliuha Nicolai</w:t>
            </w:r>
          </w:p>
        </w:tc>
        <w:tc>
          <w:tcPr>
            <w:tcW w:w="30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4003" w:leader="none"/>
              </w:tabs>
              <w:bidi w:val="0"/>
              <w:ind w:left="0" w:right="0" w:hanging="0"/>
              <w:jc w:val="left"/>
              <w:textAlignment w:val="auto"/>
              <w:rPr>
                <w:lang w:val="ro-MD"/>
              </w:rPr>
            </w:pPr>
            <w:r>
              <w:rPr>
                <w:rFonts w:cs="Times New Roman CE" w:ascii="Times New Roman CE" w:hAnsi="Times New Roman CE"/>
                <w:bCs/>
                <w:i/>
                <w:sz w:val="22"/>
                <w:szCs w:val="22"/>
                <w:lang w:val="ro-MD"/>
              </w:rPr>
              <w:t>cercetător ştiinţific</w:t>
            </w:r>
          </w:p>
        </w:tc>
        <w:tc>
          <w:tcPr>
            <w:tcW w:w="21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4003" w:leader="none"/>
              </w:tabs>
              <w:bidi w:val="0"/>
              <w:ind w:left="0" w:right="0" w:hanging="0"/>
              <w:jc w:val="left"/>
              <w:textAlignment w:val="auto"/>
              <w:rPr>
                <w:rFonts w:ascii="Times New Roman" w:hAnsi="Times New Roman"/>
                <w:bCs/>
                <w:i/>
                <w:i/>
                <w:sz w:val="22"/>
                <w:szCs w:val="22"/>
                <w:lang w:val="ro-MD"/>
              </w:rPr>
            </w:pPr>
            <w:r>
              <w:rPr>
                <w:bCs/>
                <w:i/>
                <w:sz w:val="22"/>
                <w:szCs w:val="22"/>
                <w:lang w:val="ro-MD"/>
              </w:rPr>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MD"/>
              </w:rPr>
            </w:pPr>
            <w:r>
              <w:rPr>
                <w:bCs/>
                <w:i/>
                <w:sz w:val="22"/>
                <w:szCs w:val="22"/>
                <w:lang w:val="ro-MD"/>
              </w:rPr>
              <w:t>9.</w:t>
            </w:r>
          </w:p>
        </w:tc>
        <w:tc>
          <w:tcPr>
            <w:tcW w:w="3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391" w:leader="none"/>
                <w:tab w:val="left" w:pos="3222" w:leader="none"/>
                <w:tab w:val="left" w:pos="3768" w:leader="none"/>
              </w:tabs>
              <w:bidi w:val="0"/>
              <w:ind w:left="0" w:right="0" w:hanging="0"/>
              <w:jc w:val="left"/>
              <w:textAlignment w:val="auto"/>
              <w:rPr>
                <w:lang w:val="ro-MD"/>
              </w:rPr>
            </w:pPr>
            <w:r>
              <w:rPr>
                <w:rFonts w:cs="Times New Roman CE" w:ascii="Times New Roman CE" w:hAnsi="Times New Roman CE"/>
                <w:bCs/>
                <w:i/>
                <w:sz w:val="22"/>
                <w:szCs w:val="22"/>
                <w:lang w:val="ro-MD"/>
              </w:rPr>
              <w:t xml:space="preserve">Gheorghiţă </w:t>
            </w:r>
            <w:r>
              <w:rPr>
                <w:bCs/>
                <w:i/>
                <w:sz w:val="22"/>
                <w:szCs w:val="22"/>
                <w:lang w:val="ro-MD"/>
              </w:rPr>
              <w:t>Irina</w:t>
            </w:r>
          </w:p>
        </w:tc>
        <w:tc>
          <w:tcPr>
            <w:tcW w:w="30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2106" w:leader="none"/>
                <w:tab w:val="left" w:pos="3051" w:leader="none"/>
                <w:tab w:val="left" w:pos="3996" w:leader="none"/>
                <w:tab w:val="left" w:pos="4944" w:leader="none"/>
                <w:tab w:val="left" w:pos="5889" w:leader="none"/>
                <w:tab w:val="left" w:pos="6834" w:leader="none"/>
                <w:tab w:val="left" w:pos="7540" w:leader="none"/>
              </w:tabs>
              <w:bidi w:val="0"/>
              <w:ind w:left="0" w:right="0" w:hanging="0"/>
              <w:jc w:val="left"/>
              <w:textAlignment w:val="auto"/>
              <w:rPr>
                <w:lang w:val="ro-MD"/>
              </w:rPr>
            </w:pPr>
            <w:r>
              <w:rPr>
                <w:bCs/>
                <w:i/>
                <w:sz w:val="22"/>
                <w:szCs w:val="22"/>
                <w:lang w:val="ro-MD"/>
              </w:rPr>
              <w:t>inginer programator</w:t>
            </w:r>
          </w:p>
        </w:tc>
        <w:tc>
          <w:tcPr>
            <w:tcW w:w="21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4003" w:leader="none"/>
              </w:tabs>
              <w:bidi w:val="0"/>
              <w:ind w:left="0" w:right="0" w:hanging="0"/>
              <w:jc w:val="left"/>
              <w:textAlignment w:val="auto"/>
              <w:rPr>
                <w:rFonts w:ascii="Times New Roman" w:hAnsi="Times New Roman"/>
                <w:bCs/>
                <w:i/>
                <w:i/>
                <w:sz w:val="22"/>
                <w:szCs w:val="22"/>
                <w:lang w:val="ro-MD"/>
              </w:rPr>
            </w:pPr>
            <w:r>
              <w:rPr>
                <w:bCs/>
                <w:i/>
                <w:sz w:val="22"/>
                <w:szCs w:val="22"/>
                <w:lang w:val="ro-MD"/>
              </w:rPr>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MD"/>
              </w:rPr>
            </w:pPr>
            <w:r>
              <w:rPr>
                <w:bCs/>
                <w:i/>
                <w:sz w:val="22"/>
                <w:szCs w:val="22"/>
                <w:lang w:val="ro-MD"/>
              </w:rPr>
              <w:t>10.</w:t>
            </w:r>
          </w:p>
        </w:tc>
        <w:tc>
          <w:tcPr>
            <w:tcW w:w="3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391" w:leader="none"/>
                <w:tab w:val="left" w:pos="3222" w:leader="none"/>
                <w:tab w:val="left" w:pos="3768" w:leader="none"/>
              </w:tabs>
              <w:bidi w:val="0"/>
              <w:ind w:left="0" w:right="0" w:hanging="0"/>
              <w:jc w:val="left"/>
              <w:textAlignment w:val="auto"/>
              <w:rPr>
                <w:lang w:val="ro-MD"/>
              </w:rPr>
            </w:pPr>
            <w:r>
              <w:rPr>
                <w:bCs/>
                <w:i/>
                <w:sz w:val="22"/>
                <w:szCs w:val="22"/>
                <w:lang w:val="ro-MD"/>
              </w:rPr>
              <w:t>Horo</w:t>
            </w:r>
            <w:r>
              <w:rPr>
                <w:rFonts w:cs="Cambria Math" w:ascii="Cambria Math" w:hAnsi="Cambria Math"/>
                <w:bCs/>
                <w:i/>
                <w:sz w:val="22"/>
                <w:szCs w:val="22"/>
                <w:lang w:val="ro-MD"/>
              </w:rPr>
              <w:t>ș</w:t>
            </w:r>
            <w:r>
              <w:rPr>
                <w:bCs/>
                <w:i/>
                <w:sz w:val="22"/>
                <w:szCs w:val="22"/>
                <w:lang w:val="ro-MD"/>
              </w:rPr>
              <w:t xml:space="preserve"> Grigore </w:t>
            </w:r>
          </w:p>
        </w:tc>
        <w:tc>
          <w:tcPr>
            <w:tcW w:w="30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2106" w:leader="none"/>
                <w:tab w:val="left" w:pos="3051" w:leader="none"/>
                <w:tab w:val="left" w:pos="3996" w:leader="none"/>
                <w:tab w:val="left" w:pos="4944" w:leader="none"/>
                <w:tab w:val="left" w:pos="5889" w:leader="none"/>
                <w:tab w:val="left" w:pos="6834" w:leader="none"/>
                <w:tab w:val="left" w:pos="7540" w:leader="none"/>
              </w:tabs>
              <w:bidi w:val="0"/>
              <w:ind w:left="0" w:right="0" w:hanging="0"/>
              <w:jc w:val="left"/>
              <w:textAlignment w:val="auto"/>
              <w:rPr>
                <w:lang w:val="ro-MD"/>
              </w:rPr>
            </w:pPr>
            <w:r>
              <w:rPr>
                <w:rFonts w:cs="Times New Roman CE" w:ascii="Times New Roman CE" w:hAnsi="Times New Roman CE"/>
                <w:bCs/>
                <w:i/>
                <w:sz w:val="22"/>
                <w:szCs w:val="22"/>
                <w:lang w:val="ro-MD"/>
              </w:rPr>
              <w:t>cercetător ştiinţ</w:t>
            </w:r>
            <w:r>
              <w:rPr>
                <w:bCs/>
                <w:i/>
                <w:sz w:val="22"/>
                <w:szCs w:val="22"/>
                <w:lang w:val="ro-MD"/>
              </w:rPr>
              <w:t>ific stagiar</w:t>
            </w:r>
          </w:p>
        </w:tc>
        <w:tc>
          <w:tcPr>
            <w:tcW w:w="21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2106" w:leader="none"/>
                <w:tab w:val="left" w:pos="3051" w:leader="none"/>
                <w:tab w:val="left" w:pos="3996" w:leader="none"/>
                <w:tab w:val="left" w:pos="4944" w:leader="none"/>
                <w:tab w:val="left" w:pos="5889" w:leader="none"/>
                <w:tab w:val="left" w:pos="6834" w:leader="none"/>
                <w:tab w:val="left" w:pos="7540" w:leader="none"/>
              </w:tabs>
              <w:bidi w:val="0"/>
              <w:ind w:left="0" w:right="0" w:hanging="0"/>
              <w:jc w:val="left"/>
              <w:textAlignment w:val="auto"/>
              <w:rPr>
                <w:rFonts w:ascii="Times New Roman" w:hAnsi="Times New Roman"/>
                <w:bCs/>
                <w:i/>
                <w:i/>
                <w:sz w:val="22"/>
                <w:szCs w:val="22"/>
                <w:lang w:val="ro-MD"/>
              </w:rPr>
            </w:pPr>
            <w:r>
              <w:rPr>
                <w:bCs/>
                <w:i/>
                <w:sz w:val="22"/>
                <w:szCs w:val="22"/>
                <w:lang w:val="ro-MD"/>
              </w:rPr>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MD"/>
              </w:rPr>
            </w:pPr>
            <w:r>
              <w:rPr>
                <w:bCs/>
                <w:i/>
                <w:sz w:val="22"/>
                <w:szCs w:val="22"/>
                <w:lang w:val="ro-MD"/>
              </w:rPr>
              <w:t>11.</w:t>
            </w:r>
          </w:p>
        </w:tc>
        <w:tc>
          <w:tcPr>
            <w:tcW w:w="3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sz w:val="22"/>
                <w:szCs w:val="22"/>
                <w:lang w:val="ro-MD"/>
              </w:rPr>
              <w:t>Degtiariov Nichita</w:t>
            </w:r>
          </w:p>
        </w:tc>
        <w:tc>
          <w:tcPr>
            <w:tcW w:w="30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2106" w:leader="none"/>
                <w:tab w:val="left" w:pos="3051" w:leader="none"/>
                <w:tab w:val="left" w:pos="3996" w:leader="none"/>
                <w:tab w:val="left" w:pos="4944" w:leader="none"/>
                <w:tab w:val="left" w:pos="5889" w:leader="none"/>
                <w:tab w:val="left" w:pos="6834" w:leader="none"/>
                <w:tab w:val="left" w:pos="7540" w:leader="none"/>
              </w:tabs>
              <w:bidi w:val="0"/>
              <w:ind w:left="0" w:right="0" w:hanging="0"/>
              <w:jc w:val="left"/>
              <w:textAlignment w:val="auto"/>
              <w:rPr>
                <w:lang w:val="ro-MD"/>
              </w:rPr>
            </w:pPr>
            <w:r>
              <w:rPr>
                <w:rFonts w:cs="Times New Roman CE" w:ascii="Times New Roman CE" w:hAnsi="Times New Roman CE"/>
                <w:bCs/>
                <w:i/>
                <w:sz w:val="22"/>
                <w:szCs w:val="22"/>
                <w:lang w:val="ro-MD"/>
              </w:rPr>
              <w:t>cercetător ştiinţific</w:t>
            </w:r>
            <w:r>
              <w:rPr>
                <w:bCs/>
                <w:i/>
                <w:sz w:val="22"/>
                <w:szCs w:val="22"/>
                <w:lang w:val="ro-MD"/>
              </w:rPr>
              <w:t xml:space="preserve"> stagiar</w:t>
            </w:r>
          </w:p>
        </w:tc>
        <w:tc>
          <w:tcPr>
            <w:tcW w:w="21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2106" w:leader="none"/>
                <w:tab w:val="left" w:pos="3051" w:leader="none"/>
                <w:tab w:val="left" w:pos="3996" w:leader="none"/>
                <w:tab w:val="left" w:pos="4944" w:leader="none"/>
                <w:tab w:val="left" w:pos="5889" w:leader="none"/>
                <w:tab w:val="left" w:pos="6834" w:leader="none"/>
                <w:tab w:val="left" w:pos="7540" w:leader="none"/>
              </w:tabs>
              <w:bidi w:val="0"/>
              <w:ind w:left="0" w:right="0" w:hanging="0"/>
              <w:jc w:val="left"/>
              <w:textAlignment w:val="auto"/>
              <w:rPr>
                <w:rFonts w:ascii="Times New Roman" w:hAnsi="Times New Roman"/>
                <w:bCs/>
                <w:i/>
                <w:i/>
                <w:sz w:val="22"/>
                <w:szCs w:val="22"/>
                <w:lang w:val="ro-MD"/>
              </w:rPr>
            </w:pPr>
            <w:r>
              <w:rPr>
                <w:bCs/>
                <w:i/>
                <w:sz w:val="22"/>
                <w:szCs w:val="22"/>
                <w:lang w:val="ro-MD"/>
              </w:rPr>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MD"/>
              </w:rPr>
            </w:pPr>
            <w:r>
              <w:rPr>
                <w:bCs/>
                <w:i/>
                <w:sz w:val="22"/>
                <w:szCs w:val="22"/>
                <w:lang w:val="ro-MD"/>
              </w:rPr>
              <w:t>12.</w:t>
            </w:r>
          </w:p>
        </w:tc>
        <w:tc>
          <w:tcPr>
            <w:tcW w:w="3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sz w:val="22"/>
                <w:szCs w:val="22"/>
                <w:lang w:val="ro-MD"/>
              </w:rPr>
              <w:t>Albu Veaceslav</w:t>
            </w:r>
          </w:p>
        </w:tc>
        <w:tc>
          <w:tcPr>
            <w:tcW w:w="30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2106" w:leader="none"/>
                <w:tab w:val="left" w:pos="3051" w:leader="none"/>
                <w:tab w:val="left" w:pos="3996" w:leader="none"/>
                <w:tab w:val="left" w:pos="4944" w:leader="none"/>
                <w:tab w:val="left" w:pos="5889" w:leader="none"/>
                <w:tab w:val="left" w:pos="6834" w:leader="none"/>
                <w:tab w:val="left" w:pos="7540" w:leader="none"/>
              </w:tabs>
              <w:bidi w:val="0"/>
              <w:ind w:left="0" w:right="0" w:hanging="0"/>
              <w:jc w:val="left"/>
              <w:textAlignment w:val="auto"/>
              <w:rPr>
                <w:lang w:val="ro-MD"/>
              </w:rPr>
            </w:pPr>
            <w:r>
              <w:rPr>
                <w:rFonts w:cs="Times New Roman CE" w:ascii="Times New Roman CE" w:hAnsi="Times New Roman CE"/>
                <w:bCs/>
                <w:i/>
                <w:sz w:val="22"/>
                <w:szCs w:val="22"/>
                <w:lang w:val="ro-MD"/>
              </w:rPr>
              <w:t>cercetător ştiinţific</w:t>
            </w:r>
          </w:p>
        </w:tc>
        <w:tc>
          <w:tcPr>
            <w:tcW w:w="21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2106" w:leader="none"/>
                <w:tab w:val="left" w:pos="3051" w:leader="none"/>
                <w:tab w:val="left" w:pos="3996" w:leader="none"/>
                <w:tab w:val="left" w:pos="4944" w:leader="none"/>
                <w:tab w:val="left" w:pos="5889" w:leader="none"/>
                <w:tab w:val="left" w:pos="6834" w:leader="none"/>
                <w:tab w:val="left" w:pos="7540" w:leader="none"/>
              </w:tabs>
              <w:bidi w:val="0"/>
              <w:ind w:left="0" w:right="0" w:hanging="0"/>
              <w:jc w:val="left"/>
              <w:textAlignment w:val="auto"/>
              <w:rPr>
                <w:rFonts w:ascii="Times New Roman" w:hAnsi="Times New Roman"/>
                <w:bCs/>
                <w:i/>
                <w:i/>
                <w:sz w:val="22"/>
                <w:szCs w:val="22"/>
                <w:lang w:val="ro-MD"/>
              </w:rPr>
            </w:pPr>
            <w:r>
              <w:rPr>
                <w:bCs/>
                <w:i/>
                <w:sz w:val="22"/>
                <w:szCs w:val="22"/>
                <w:lang w:val="ro-MD"/>
              </w:rPr>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MD"/>
              </w:rPr>
            </w:pPr>
            <w:r>
              <w:rPr>
                <w:bCs/>
                <w:i/>
                <w:sz w:val="22"/>
                <w:szCs w:val="22"/>
                <w:lang w:val="ro-MD"/>
              </w:rPr>
              <w:t>13.</w:t>
            </w:r>
          </w:p>
        </w:tc>
        <w:tc>
          <w:tcPr>
            <w:tcW w:w="3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sz w:val="22"/>
                <w:szCs w:val="22"/>
                <w:lang w:val="ro-MD"/>
              </w:rPr>
              <w:t>Macari Dorin</w:t>
            </w:r>
          </w:p>
        </w:tc>
        <w:tc>
          <w:tcPr>
            <w:tcW w:w="30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2106" w:leader="none"/>
                <w:tab w:val="left" w:pos="3051" w:leader="none"/>
                <w:tab w:val="left" w:pos="3996" w:leader="none"/>
                <w:tab w:val="left" w:pos="4944" w:leader="none"/>
                <w:tab w:val="left" w:pos="5889" w:leader="none"/>
                <w:tab w:val="left" w:pos="6834" w:leader="none"/>
                <w:tab w:val="left" w:pos="7540" w:leader="none"/>
              </w:tabs>
              <w:bidi w:val="0"/>
              <w:ind w:left="0" w:right="0" w:hanging="0"/>
              <w:jc w:val="left"/>
              <w:textAlignment w:val="auto"/>
              <w:rPr>
                <w:lang w:val="ro-MD"/>
              </w:rPr>
            </w:pPr>
            <w:r>
              <w:rPr>
                <w:rFonts w:cs="Times New Roman CE" w:ascii="Times New Roman CE" w:hAnsi="Times New Roman CE"/>
                <w:bCs/>
                <w:i/>
                <w:sz w:val="22"/>
                <w:szCs w:val="22"/>
                <w:lang w:val="ro-MD"/>
              </w:rPr>
              <w:t>cercetător ştiinţific</w:t>
            </w:r>
            <w:r>
              <w:rPr>
                <w:bCs/>
                <w:i/>
                <w:sz w:val="22"/>
                <w:szCs w:val="22"/>
                <w:lang w:val="ro-MD"/>
              </w:rPr>
              <w:t xml:space="preserve"> stagiar</w:t>
            </w:r>
          </w:p>
        </w:tc>
        <w:tc>
          <w:tcPr>
            <w:tcW w:w="21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2106" w:leader="none"/>
                <w:tab w:val="left" w:pos="3051" w:leader="none"/>
                <w:tab w:val="left" w:pos="3996" w:leader="none"/>
                <w:tab w:val="left" w:pos="4944" w:leader="none"/>
                <w:tab w:val="left" w:pos="5889" w:leader="none"/>
                <w:tab w:val="left" w:pos="6834" w:leader="none"/>
                <w:tab w:val="left" w:pos="7540" w:leader="none"/>
              </w:tabs>
              <w:bidi w:val="0"/>
              <w:ind w:left="0" w:right="0" w:hanging="0"/>
              <w:jc w:val="left"/>
              <w:textAlignment w:val="auto"/>
              <w:rPr>
                <w:rFonts w:ascii="Times New Roman" w:hAnsi="Times New Roman"/>
                <w:bCs/>
                <w:i/>
                <w:i/>
                <w:sz w:val="22"/>
                <w:szCs w:val="22"/>
                <w:lang w:val="ro-MD"/>
              </w:rPr>
            </w:pPr>
            <w:r>
              <w:rPr>
                <w:bCs/>
                <w:i/>
                <w:sz w:val="22"/>
                <w:szCs w:val="22"/>
                <w:lang w:val="ro-MD"/>
              </w:rPr>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MD"/>
              </w:rPr>
            </w:pPr>
            <w:r>
              <w:rPr>
                <w:bCs/>
                <w:i/>
                <w:sz w:val="22"/>
                <w:szCs w:val="22"/>
                <w:lang w:val="ro-MD"/>
              </w:rPr>
              <w:t>14.</w:t>
            </w:r>
          </w:p>
        </w:tc>
        <w:tc>
          <w:tcPr>
            <w:tcW w:w="3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sz w:val="22"/>
                <w:szCs w:val="22"/>
                <w:lang w:val="ro-MD"/>
              </w:rPr>
              <w:t>Rotaru Victoria</w:t>
            </w:r>
          </w:p>
        </w:tc>
        <w:tc>
          <w:tcPr>
            <w:tcW w:w="30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2106" w:leader="none"/>
                <w:tab w:val="left" w:pos="3051" w:leader="none"/>
                <w:tab w:val="left" w:pos="3996" w:leader="none"/>
                <w:tab w:val="left" w:pos="4944" w:leader="none"/>
                <w:tab w:val="left" w:pos="5889" w:leader="none"/>
                <w:tab w:val="left" w:pos="6834" w:leader="none"/>
                <w:tab w:val="left" w:pos="7540" w:leader="none"/>
              </w:tabs>
              <w:bidi w:val="0"/>
              <w:ind w:left="0" w:right="0" w:hanging="0"/>
              <w:jc w:val="left"/>
              <w:textAlignment w:val="auto"/>
              <w:rPr>
                <w:lang w:val="ro-MD"/>
              </w:rPr>
            </w:pPr>
            <w:r>
              <w:rPr>
                <w:bCs/>
                <w:i/>
                <w:sz w:val="22"/>
                <w:szCs w:val="22"/>
                <w:lang w:val="ro-MD"/>
              </w:rPr>
              <w:t>inginer programator</w:t>
            </w:r>
          </w:p>
        </w:tc>
        <w:tc>
          <w:tcPr>
            <w:tcW w:w="21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2106" w:leader="none"/>
                <w:tab w:val="left" w:pos="3051" w:leader="none"/>
                <w:tab w:val="left" w:pos="3996" w:leader="none"/>
                <w:tab w:val="left" w:pos="4944" w:leader="none"/>
                <w:tab w:val="left" w:pos="5889" w:leader="none"/>
                <w:tab w:val="left" w:pos="6834" w:leader="none"/>
                <w:tab w:val="left" w:pos="7540" w:leader="none"/>
              </w:tabs>
              <w:bidi w:val="0"/>
              <w:ind w:left="0" w:right="0" w:hanging="0"/>
              <w:jc w:val="left"/>
              <w:textAlignment w:val="auto"/>
              <w:rPr>
                <w:rFonts w:ascii="Times New Roman" w:hAnsi="Times New Roman"/>
                <w:bCs/>
                <w:i/>
                <w:i/>
                <w:sz w:val="22"/>
                <w:szCs w:val="22"/>
                <w:lang w:val="ro-MD"/>
              </w:rPr>
            </w:pPr>
            <w:r>
              <w:rPr>
                <w:bCs/>
                <w:i/>
                <w:sz w:val="22"/>
                <w:szCs w:val="22"/>
                <w:lang w:val="ro-MD"/>
              </w:rPr>
            </w:r>
          </w:p>
        </w:tc>
      </w:tr>
      <w:tr>
        <w:trPr/>
        <w:tc>
          <w:tcPr>
            <w:tcW w:w="107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MD"/>
              </w:rPr>
            </w:pPr>
            <w:r>
              <w:rPr>
                <w:bCs/>
                <w:i/>
                <w:sz w:val="22"/>
                <w:szCs w:val="22"/>
                <w:lang w:val="ro-MD"/>
              </w:rPr>
              <w:t>15.</w:t>
            </w:r>
          </w:p>
        </w:tc>
        <w:tc>
          <w:tcPr>
            <w:tcW w:w="32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sz w:val="22"/>
                <w:szCs w:val="22"/>
                <w:lang w:val="ro-MD"/>
              </w:rPr>
              <w:t>Nastasiu Ana</w:t>
            </w:r>
          </w:p>
        </w:tc>
        <w:tc>
          <w:tcPr>
            <w:tcW w:w="30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2106" w:leader="none"/>
                <w:tab w:val="left" w:pos="3051" w:leader="none"/>
                <w:tab w:val="left" w:pos="3996" w:leader="none"/>
                <w:tab w:val="left" w:pos="4944" w:leader="none"/>
                <w:tab w:val="left" w:pos="5889" w:leader="none"/>
                <w:tab w:val="left" w:pos="6834" w:leader="none"/>
                <w:tab w:val="left" w:pos="7540" w:leader="none"/>
              </w:tabs>
              <w:bidi w:val="0"/>
              <w:ind w:left="0" w:right="0" w:hanging="0"/>
              <w:jc w:val="left"/>
              <w:textAlignment w:val="auto"/>
              <w:rPr>
                <w:lang w:val="ro-MD"/>
              </w:rPr>
            </w:pPr>
            <w:r>
              <w:rPr>
                <w:bCs/>
                <w:i/>
                <w:sz w:val="22"/>
                <w:szCs w:val="22"/>
                <w:lang w:val="ro-MD"/>
              </w:rPr>
              <w:t>inginer programator</w:t>
            </w:r>
          </w:p>
        </w:tc>
        <w:tc>
          <w:tcPr>
            <w:tcW w:w="215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2106" w:leader="none"/>
                <w:tab w:val="left" w:pos="3051" w:leader="none"/>
                <w:tab w:val="left" w:pos="3996" w:leader="none"/>
                <w:tab w:val="left" w:pos="4944" w:leader="none"/>
                <w:tab w:val="left" w:pos="5889" w:leader="none"/>
                <w:tab w:val="left" w:pos="6834" w:leader="none"/>
                <w:tab w:val="left" w:pos="7540" w:leader="none"/>
              </w:tabs>
              <w:bidi w:val="0"/>
              <w:ind w:left="0" w:right="0" w:hanging="0"/>
              <w:jc w:val="left"/>
              <w:textAlignment w:val="auto"/>
              <w:rPr>
                <w:rFonts w:ascii="Times New Roman" w:hAnsi="Times New Roman"/>
                <w:bCs/>
                <w:i/>
                <w:i/>
                <w:sz w:val="22"/>
                <w:szCs w:val="22"/>
                <w:lang w:val="ro-MD"/>
              </w:rPr>
            </w:pPr>
            <w:r>
              <w:rPr>
                <w:bCs/>
                <w:i/>
                <w:sz w:val="22"/>
                <w:szCs w:val="22"/>
                <w:lang w:val="ro-MD"/>
              </w:rPr>
            </w:r>
          </w:p>
        </w:tc>
      </w:tr>
    </w:tbl>
    <w:p>
      <w:pPr>
        <w:pStyle w:val="Normal"/>
        <w:widowControl/>
        <w:bidi w:val="0"/>
        <w:ind w:left="180" w:right="0" w:hanging="0"/>
        <w:jc w:val="left"/>
        <w:textAlignment w:val="auto"/>
        <w:rPr>
          <w:rFonts w:ascii="Times New Roman" w:hAnsi="Times New Roman"/>
          <w:bCs/>
          <w:sz w:val="22"/>
          <w:szCs w:val="22"/>
          <w:lang w:val="ro-RO"/>
        </w:rPr>
      </w:pPr>
      <w:r>
        <w:rPr>
          <w:bCs/>
          <w:sz w:val="22"/>
          <w:szCs w:val="22"/>
          <w:lang w:val="ro-RO"/>
        </w:rPr>
      </w:r>
    </w:p>
    <w:p>
      <w:pPr>
        <w:pStyle w:val="Normal"/>
        <w:widowControl/>
        <w:numPr>
          <w:ilvl w:val="0"/>
          <w:numId w:val="5"/>
        </w:numPr>
        <w:tabs>
          <w:tab w:val="left" w:pos="142" w:leader="none"/>
        </w:tabs>
        <w:bidi w:val="0"/>
        <w:ind w:left="180" w:right="0" w:hanging="0"/>
        <w:jc w:val="left"/>
        <w:textAlignment w:val="auto"/>
        <w:rPr>
          <w:lang w:val="ro-RO"/>
        </w:rPr>
      </w:pPr>
      <w:r>
        <w:rPr>
          <w:sz w:val="22"/>
          <w:szCs w:val="22"/>
          <w:lang w:val="ro-RO"/>
        </w:rPr>
        <w:t>Sumarul acti</w:t>
      </w:r>
      <w:r>
        <w:rPr>
          <w:rFonts w:cs="Times New Roman CE" w:ascii="Times New Roman CE" w:hAnsi="Times New Roman CE"/>
          <w:sz w:val="22"/>
          <w:szCs w:val="22"/>
          <w:lang w:val="ro-RO"/>
        </w:rPr>
        <w:t>vităţilor proiectului realizate în anul 201</w:t>
      </w:r>
      <w:r>
        <w:rPr>
          <w:sz w:val="22"/>
          <w:szCs w:val="22"/>
          <w:lang w:val="ro-RO"/>
        </w:rPr>
        <w:t>6</w:t>
      </w:r>
    </w:p>
    <w:tbl>
      <w:tblPr>
        <w:tblW w:w="8931" w:type="dxa"/>
        <w:jc w:val="left"/>
        <w:tblInd w:w="0"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426"/>
        <w:gridCol w:w="3598"/>
        <w:gridCol w:w="4907"/>
      </w:tblGrid>
      <w:tr>
        <w:trPr/>
        <w:tc>
          <w:tcPr>
            <w:tcW w:w="426"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rFonts w:ascii="Times New Roman" w:hAnsi="Times New Roman"/>
                <w:bCs/>
                <w:color w:val="000000"/>
                <w:lang w:val="ro-MD"/>
              </w:rPr>
            </w:pPr>
            <w:r>
              <w:rPr>
                <w:bCs/>
                <w:color w:val="000000"/>
                <w:lang w:val="ro-MD"/>
              </w:rPr>
            </w:r>
          </w:p>
        </w:tc>
        <w:tc>
          <w:tcPr>
            <w:tcW w:w="3598"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bCs/>
                <w:i/>
                <w:color w:val="000000"/>
                <w:sz w:val="22"/>
                <w:szCs w:val="22"/>
                <w:lang w:val="ro-MD"/>
              </w:rPr>
              <w:t>Activităţi planificate</w:t>
            </w:r>
          </w:p>
        </w:tc>
        <w:tc>
          <w:tcPr>
            <w:tcW w:w="4907"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bCs/>
                <w:i/>
                <w:color w:val="000000"/>
                <w:sz w:val="22"/>
                <w:szCs w:val="22"/>
                <w:lang w:val="ro-MD"/>
              </w:rPr>
              <w:t>Activităţi realizate şi rezultate noi obţinute în cadrul proiectului</w:t>
            </w:r>
            <w:r>
              <w:rPr>
                <w:bCs/>
                <w:i/>
                <w:color w:val="000000"/>
                <w:sz w:val="22"/>
                <w:szCs w:val="22"/>
                <w:lang w:val="ro-MD"/>
              </w:rPr>
              <w:t xml:space="preserve"> (150 de  cuvinte) </w:t>
            </w:r>
          </w:p>
        </w:tc>
      </w:tr>
      <w:tr>
        <w:trPr/>
        <w:tc>
          <w:tcPr>
            <w:tcW w:w="426"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MD"/>
              </w:rPr>
            </w:pPr>
            <w:r>
              <w:rPr>
                <w:color w:val="000000"/>
                <w:sz w:val="22"/>
                <w:szCs w:val="22"/>
                <w:lang w:val="ro-MD"/>
              </w:rPr>
              <w:t>1.</w:t>
            </w:r>
          </w:p>
        </w:tc>
        <w:tc>
          <w:tcPr>
            <w:tcW w:w="3598"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ListParagraph"/>
              <w:widowControl/>
              <w:numPr>
                <w:ilvl w:val="0"/>
                <w:numId w:val="30"/>
              </w:numPr>
              <w:bidi w:val="0"/>
              <w:spacing w:before="0" w:after="0"/>
              <w:ind w:left="175" w:right="0" w:hanging="0"/>
              <w:contextualSpacing/>
              <w:jc w:val="both"/>
              <w:textAlignment w:val="baseline"/>
              <w:rPr>
                <w:lang w:val="ro-RO"/>
              </w:rPr>
            </w:pPr>
            <w:r>
              <w:rPr>
                <w:i/>
                <w:sz w:val="22"/>
                <w:szCs w:val="22"/>
                <w:lang w:val="ro-RO"/>
              </w:rPr>
              <w:t>Elaborarea modelelor hibrid bio-cuantice ca modele de calcul performant.</w:t>
            </w:r>
          </w:p>
          <w:p>
            <w:pPr>
              <w:pStyle w:val="ListParagraph"/>
              <w:widowControl/>
              <w:bidi w:val="0"/>
              <w:spacing w:before="0" w:after="0"/>
              <w:ind w:left="175" w:right="0" w:hanging="0"/>
              <w:contextualSpacing/>
              <w:jc w:val="both"/>
              <w:textAlignment w:val="baseline"/>
              <w:rPr>
                <w:rFonts w:ascii="Times New Roman" w:hAnsi="Times New Roman"/>
                <w:i/>
                <w:i/>
                <w:sz w:val="22"/>
                <w:szCs w:val="22"/>
                <w:lang w:val="ro-RO"/>
              </w:rPr>
            </w:pPr>
            <w:r>
              <w:rPr>
                <w:i/>
                <w:sz w:val="22"/>
                <w:szCs w:val="22"/>
                <w:lang w:val="ro-RO"/>
              </w:rPr>
            </w:r>
          </w:p>
          <w:p>
            <w:pPr>
              <w:pStyle w:val="ListParagraph"/>
              <w:widowControl/>
              <w:bidi w:val="0"/>
              <w:spacing w:before="0" w:after="0"/>
              <w:ind w:left="175" w:right="0" w:hanging="0"/>
              <w:contextualSpacing/>
              <w:jc w:val="both"/>
              <w:textAlignment w:val="baseline"/>
              <w:rPr>
                <w:rFonts w:ascii="Times New Roman" w:hAnsi="Times New Roman"/>
                <w:i/>
                <w:i/>
                <w:sz w:val="22"/>
                <w:szCs w:val="22"/>
                <w:lang w:val="ro-RO"/>
              </w:rPr>
            </w:pPr>
            <w:r>
              <w:rPr>
                <w:i/>
                <w:sz w:val="22"/>
                <w:szCs w:val="22"/>
                <w:lang w:val="ro-RO"/>
              </w:rPr>
            </w:r>
          </w:p>
          <w:p>
            <w:pPr>
              <w:pStyle w:val="ListParagraph"/>
              <w:widowControl/>
              <w:bidi w:val="0"/>
              <w:spacing w:before="0" w:after="0"/>
              <w:ind w:left="175" w:right="0" w:hanging="0"/>
              <w:contextualSpacing/>
              <w:jc w:val="both"/>
              <w:textAlignment w:val="baseline"/>
              <w:rPr>
                <w:rFonts w:ascii="Times New Roman" w:hAnsi="Times New Roman"/>
                <w:i/>
                <w:i/>
                <w:sz w:val="22"/>
                <w:szCs w:val="22"/>
                <w:lang w:val="ro-RO"/>
              </w:rPr>
            </w:pPr>
            <w:r>
              <w:rPr>
                <w:i/>
                <w:sz w:val="22"/>
                <w:szCs w:val="22"/>
                <w:lang w:val="ro-RO"/>
              </w:rPr>
            </w:r>
          </w:p>
          <w:p>
            <w:pPr>
              <w:pStyle w:val="ListParagraph"/>
              <w:widowControl/>
              <w:bidi w:val="0"/>
              <w:spacing w:before="0" w:after="0"/>
              <w:ind w:left="175" w:right="0" w:hanging="0"/>
              <w:contextualSpacing/>
              <w:jc w:val="both"/>
              <w:textAlignment w:val="baseline"/>
              <w:rPr>
                <w:rFonts w:ascii="Times New Roman" w:hAnsi="Times New Roman"/>
                <w:i/>
                <w:i/>
                <w:sz w:val="22"/>
                <w:szCs w:val="22"/>
                <w:lang w:val="ro-RO"/>
              </w:rPr>
            </w:pPr>
            <w:r>
              <w:rPr>
                <w:i/>
                <w:sz w:val="22"/>
                <w:szCs w:val="22"/>
                <w:lang w:val="ro-RO"/>
              </w:rPr>
            </w:r>
          </w:p>
          <w:p>
            <w:pPr>
              <w:pStyle w:val="ListParagraph"/>
              <w:widowControl/>
              <w:bidi w:val="0"/>
              <w:spacing w:before="0" w:after="0"/>
              <w:ind w:left="175" w:right="0" w:hanging="0"/>
              <w:contextualSpacing/>
              <w:jc w:val="both"/>
              <w:textAlignment w:val="baseline"/>
              <w:rPr>
                <w:rFonts w:ascii="Times New Roman" w:hAnsi="Times New Roman"/>
                <w:i/>
                <w:i/>
                <w:sz w:val="22"/>
                <w:szCs w:val="22"/>
                <w:lang w:val="ro-RO"/>
              </w:rPr>
            </w:pPr>
            <w:r>
              <w:rPr>
                <w:i/>
                <w:sz w:val="22"/>
                <w:szCs w:val="22"/>
                <w:lang w:val="ro-RO"/>
              </w:rPr>
            </w:r>
          </w:p>
          <w:p>
            <w:pPr>
              <w:pStyle w:val="ListParagraph"/>
              <w:widowControl/>
              <w:numPr>
                <w:ilvl w:val="0"/>
                <w:numId w:val="30"/>
              </w:numPr>
              <w:bidi w:val="0"/>
              <w:spacing w:before="0" w:after="0"/>
              <w:ind w:left="175" w:right="0" w:hanging="0"/>
              <w:contextualSpacing/>
              <w:jc w:val="both"/>
              <w:textAlignment w:val="baseline"/>
              <w:rPr>
                <w:lang w:val="ro-RO"/>
              </w:rPr>
            </w:pPr>
            <w:r>
              <w:rPr>
                <w:i/>
                <w:sz w:val="22"/>
                <w:szCs w:val="22"/>
                <w:lang w:val="ro-RO"/>
              </w:rPr>
              <w:t>Construirea modelelor</w:t>
            </w:r>
            <w:r>
              <w:rPr>
                <w:rFonts w:cs="Times New Roman CE" w:ascii="Times New Roman CE" w:hAnsi="Times New Roman CE"/>
                <w:i/>
                <w:sz w:val="22"/>
                <w:szCs w:val="22"/>
                <w:lang w:val="ro-RO"/>
              </w:rPr>
              <w:t xml:space="preserve"> catalitice de calcul paralel ca o forma slabă de cooperare, cu control sau fără control. Stabilirea puterii de calcul, eficienţ</w:t>
            </w:r>
            <w:r>
              <w:rPr>
                <w:i/>
                <w:sz w:val="22"/>
                <w:szCs w:val="22"/>
                <w:lang w:val="ro-RO"/>
              </w:rPr>
              <w:t>ei</w:t>
            </w:r>
            <w:r>
              <w:rPr>
                <w:rFonts w:cs="Times New Roman CE" w:ascii="Times New Roman CE" w:hAnsi="Times New Roman CE"/>
                <w:i/>
                <w:sz w:val="22"/>
                <w:szCs w:val="22"/>
                <w:lang w:val="ro-RO"/>
              </w:rPr>
              <w:t xml:space="preserve"> şi complexităţii</w:t>
            </w:r>
            <w:r>
              <w:rPr>
                <w:i/>
                <w:sz w:val="22"/>
                <w:szCs w:val="22"/>
                <w:lang w:val="ro-RO"/>
              </w:rPr>
              <w:t xml:space="preserve"> descriptive a modelelor. Se vor rezolva probleme concrete. </w:t>
            </w:r>
          </w:p>
          <w:p>
            <w:pPr>
              <w:pStyle w:val="ListParagraph"/>
              <w:widowControl/>
              <w:bidi w:val="0"/>
              <w:spacing w:before="0" w:after="0"/>
              <w:ind w:left="175" w:right="0" w:hanging="0"/>
              <w:contextualSpacing/>
              <w:jc w:val="both"/>
              <w:textAlignment w:val="baseline"/>
              <w:rPr>
                <w:rFonts w:ascii="Times New Roman" w:hAnsi="Times New Roman"/>
                <w:i/>
                <w:i/>
                <w:sz w:val="22"/>
                <w:szCs w:val="22"/>
                <w:lang w:val="ro-RO"/>
              </w:rPr>
            </w:pPr>
            <w:r>
              <w:rPr>
                <w:i/>
                <w:sz w:val="22"/>
                <w:szCs w:val="22"/>
                <w:lang w:val="ro-RO"/>
              </w:rPr>
            </w:r>
          </w:p>
          <w:p>
            <w:pPr>
              <w:pStyle w:val="ListParagraph"/>
              <w:widowControl/>
              <w:bidi w:val="0"/>
              <w:spacing w:before="0" w:after="0"/>
              <w:ind w:left="175" w:right="0" w:hanging="0"/>
              <w:contextualSpacing/>
              <w:jc w:val="both"/>
              <w:textAlignment w:val="baseline"/>
              <w:rPr>
                <w:rFonts w:ascii="Times New Roman" w:hAnsi="Times New Roman"/>
                <w:i/>
                <w:i/>
                <w:sz w:val="22"/>
                <w:szCs w:val="22"/>
                <w:lang w:val="ro-RO"/>
              </w:rPr>
            </w:pPr>
            <w:r>
              <w:rPr>
                <w:i/>
                <w:sz w:val="22"/>
                <w:szCs w:val="22"/>
                <w:lang w:val="ro-RO"/>
              </w:rPr>
            </w:r>
          </w:p>
          <w:p>
            <w:pPr>
              <w:pStyle w:val="ListParagraph"/>
              <w:widowControl/>
              <w:bidi w:val="0"/>
              <w:spacing w:before="0" w:after="0"/>
              <w:ind w:left="175" w:right="0" w:hanging="0"/>
              <w:contextualSpacing/>
              <w:jc w:val="both"/>
              <w:textAlignment w:val="baseline"/>
              <w:rPr>
                <w:rFonts w:ascii="Times New Roman" w:hAnsi="Times New Roman"/>
                <w:i/>
                <w:i/>
                <w:sz w:val="22"/>
                <w:szCs w:val="22"/>
                <w:lang w:val="ro-RO"/>
              </w:rPr>
            </w:pPr>
            <w:r>
              <w:rPr>
                <w:i/>
                <w:sz w:val="22"/>
                <w:szCs w:val="22"/>
                <w:lang w:val="ro-RO"/>
              </w:rPr>
            </w:r>
          </w:p>
          <w:p>
            <w:pPr>
              <w:pStyle w:val="ListParagraph"/>
              <w:widowControl/>
              <w:numPr>
                <w:ilvl w:val="0"/>
                <w:numId w:val="30"/>
              </w:numPr>
              <w:bidi w:val="0"/>
              <w:spacing w:before="0" w:after="0"/>
              <w:ind w:left="175" w:right="0" w:hanging="0"/>
              <w:contextualSpacing/>
              <w:jc w:val="both"/>
              <w:textAlignment w:val="baseline"/>
              <w:rPr>
                <w:lang w:val="ro-RO"/>
              </w:rPr>
            </w:pPr>
            <w:r>
              <w:rPr>
                <w:i/>
                <w:sz w:val="22"/>
                <w:szCs w:val="22"/>
                <w:lang w:val="ro-RO"/>
              </w:rPr>
              <w:t>Elaborarea instrumentarului pentru segmen</w:t>
            </w:r>
            <w:r>
              <w:rPr>
                <w:rFonts w:cs="Times New Roman CE" w:ascii="Times New Roman CE" w:hAnsi="Times New Roman CE"/>
                <w:i/>
                <w:sz w:val="22"/>
                <w:szCs w:val="22"/>
                <w:lang w:val="ro-RO"/>
              </w:rPr>
              <w:t>tarea şi transliterarea textelor româneşti scrise cu caractere chirilice.</w:t>
            </w:r>
          </w:p>
          <w:p>
            <w:pPr>
              <w:pStyle w:val="ListParagraph"/>
              <w:widowControl/>
              <w:bidi w:val="0"/>
              <w:spacing w:before="0" w:after="0"/>
              <w:ind w:left="175" w:right="0" w:hanging="0"/>
              <w:contextualSpacing/>
              <w:jc w:val="both"/>
              <w:textAlignment w:val="baseline"/>
              <w:rPr>
                <w:rFonts w:ascii="Times New Roman" w:hAnsi="Times New Roman"/>
                <w:i/>
                <w:i/>
                <w:sz w:val="22"/>
                <w:szCs w:val="22"/>
                <w:lang w:val="ro-RO"/>
              </w:rPr>
            </w:pPr>
            <w:r>
              <w:rPr>
                <w:i/>
                <w:sz w:val="22"/>
                <w:szCs w:val="22"/>
                <w:lang w:val="ro-RO"/>
              </w:rPr>
            </w:r>
          </w:p>
          <w:p>
            <w:pPr>
              <w:pStyle w:val="ListParagraph"/>
              <w:widowControl/>
              <w:bidi w:val="0"/>
              <w:spacing w:before="0" w:after="0"/>
              <w:ind w:left="175" w:right="0" w:hanging="0"/>
              <w:contextualSpacing/>
              <w:jc w:val="both"/>
              <w:textAlignment w:val="baseline"/>
              <w:rPr>
                <w:rFonts w:ascii="Times New Roman" w:hAnsi="Times New Roman"/>
                <w:i/>
                <w:i/>
                <w:sz w:val="22"/>
                <w:szCs w:val="22"/>
                <w:lang w:val="ro-RO"/>
              </w:rPr>
            </w:pPr>
            <w:r>
              <w:rPr>
                <w:i/>
                <w:sz w:val="22"/>
                <w:szCs w:val="22"/>
                <w:lang w:val="ro-RO"/>
              </w:rPr>
            </w:r>
          </w:p>
          <w:p>
            <w:pPr>
              <w:pStyle w:val="ListParagraph"/>
              <w:widowControl/>
              <w:bidi w:val="0"/>
              <w:spacing w:before="0" w:after="0"/>
              <w:ind w:left="175" w:right="0" w:hanging="0"/>
              <w:contextualSpacing/>
              <w:jc w:val="both"/>
              <w:textAlignment w:val="baseline"/>
              <w:rPr>
                <w:rFonts w:ascii="Times New Roman" w:hAnsi="Times New Roman"/>
                <w:i/>
                <w:i/>
                <w:sz w:val="22"/>
                <w:szCs w:val="22"/>
                <w:lang w:val="ro-RO"/>
              </w:rPr>
            </w:pPr>
            <w:r>
              <w:rPr>
                <w:i/>
                <w:sz w:val="22"/>
                <w:szCs w:val="22"/>
                <w:lang w:val="ro-RO"/>
              </w:rPr>
            </w:r>
          </w:p>
          <w:p>
            <w:pPr>
              <w:pStyle w:val="ListParagraph"/>
              <w:widowControl/>
              <w:numPr>
                <w:ilvl w:val="0"/>
                <w:numId w:val="30"/>
              </w:numPr>
              <w:bidi w:val="0"/>
              <w:spacing w:before="0" w:after="0"/>
              <w:ind w:left="175" w:right="0" w:hanging="0"/>
              <w:contextualSpacing/>
              <w:jc w:val="both"/>
              <w:textAlignment w:val="baseline"/>
              <w:rPr>
                <w:lang w:val="ro-RO"/>
              </w:rPr>
            </w:pPr>
            <w:r>
              <w:rPr>
                <w:rFonts w:cs="Times New Roman CE" w:ascii="Times New Roman CE" w:hAnsi="Times New Roman CE"/>
                <w:i/>
                <w:sz w:val="22"/>
                <w:szCs w:val="22"/>
                <w:lang w:val="ro-RO"/>
              </w:rPr>
              <w:t>Extinderea posibilităţil</w:t>
            </w:r>
            <w:r>
              <w:rPr>
                <w:i/>
                <w:sz w:val="22"/>
                <w:szCs w:val="22"/>
                <w:lang w:val="ro-RO"/>
              </w:rPr>
              <w:t>or</w:t>
            </w:r>
            <w:r>
              <w:rPr>
                <w:rFonts w:cs="Times New Roman CE" w:ascii="Times New Roman CE" w:hAnsi="Times New Roman CE"/>
                <w:i/>
                <w:sz w:val="22"/>
                <w:szCs w:val="22"/>
                <w:lang w:val="ro-RO"/>
              </w:rPr>
              <w:t xml:space="preserve"> sistemului ABBYY FineReader cu facilităţi de recunoaştere a semnelor grafice specifice şi a resurselor lingvistice.</w:t>
            </w:r>
            <w:r>
              <w:rPr>
                <w:i/>
                <w:sz w:val="22"/>
                <w:szCs w:val="22"/>
                <w:lang w:val="ro-RO"/>
              </w:rPr>
              <w:t xml:space="preserve"> Se va elabora un instrumentar pentru</w:t>
            </w:r>
            <w:r>
              <w:rPr>
                <w:rFonts w:cs="Times New Roman CE" w:ascii="Times New Roman CE" w:hAnsi="Times New Roman CE"/>
                <w:i/>
                <w:sz w:val="22"/>
                <w:szCs w:val="22"/>
                <w:lang w:val="ro-RO"/>
              </w:rPr>
              <w:t xml:space="preserve"> recunoaşterea, digitizarea, segmentarea şi transliterarea textelor româneşti scrise cu caractere chirilice.</w:t>
            </w:r>
          </w:p>
          <w:p>
            <w:pPr>
              <w:pStyle w:val="ListParagraph"/>
              <w:widowControl/>
              <w:numPr>
                <w:ilvl w:val="0"/>
                <w:numId w:val="30"/>
              </w:numPr>
              <w:bidi w:val="0"/>
              <w:spacing w:before="0" w:after="0"/>
              <w:ind w:left="175" w:right="0" w:hanging="0"/>
              <w:contextualSpacing/>
              <w:jc w:val="both"/>
              <w:textAlignment w:val="baseline"/>
              <w:rPr/>
            </w:pPr>
            <w:r>
              <w:rPr>
                <w:rFonts w:cs="Times New Roman CE" w:ascii="Times New Roman CE" w:hAnsi="Times New Roman CE"/>
                <w:i/>
                <w:sz w:val="22"/>
                <w:szCs w:val="22"/>
                <w:lang w:val="ro-RO"/>
              </w:rPr>
              <w:t>Studierea tehnologiilor de integrare a informaţiei medicale centrate pe pacient cu baze de cunoştinţe destinate diagnosticului medical.</w:t>
            </w:r>
          </w:p>
          <w:p>
            <w:pPr>
              <w:pStyle w:val="ListParagraph"/>
              <w:widowControl/>
              <w:bidi w:val="0"/>
              <w:spacing w:before="0" w:after="0"/>
              <w:ind w:left="175" w:right="0" w:hanging="0"/>
              <w:contextualSpacing/>
              <w:jc w:val="both"/>
              <w:textAlignment w:val="baseline"/>
              <w:rPr>
                <w:rFonts w:ascii="Times New Roman" w:hAnsi="Times New Roman"/>
                <w:i/>
                <w:i/>
                <w:sz w:val="22"/>
                <w:szCs w:val="22"/>
                <w:lang w:val="ro-RO"/>
              </w:rPr>
            </w:pPr>
            <w:r>
              <w:rPr>
                <w:i/>
                <w:sz w:val="22"/>
                <w:szCs w:val="22"/>
                <w:lang w:val="ro-RO"/>
              </w:rPr>
            </w:r>
          </w:p>
          <w:p>
            <w:pPr>
              <w:pStyle w:val="ListParagraph"/>
              <w:widowControl/>
              <w:bidi w:val="0"/>
              <w:spacing w:before="0" w:after="0"/>
              <w:ind w:left="175" w:right="0" w:hanging="0"/>
              <w:contextualSpacing/>
              <w:jc w:val="both"/>
              <w:textAlignment w:val="baseline"/>
              <w:rPr>
                <w:rFonts w:ascii="Times New Roman" w:hAnsi="Times New Roman"/>
                <w:i/>
                <w:i/>
                <w:sz w:val="22"/>
                <w:szCs w:val="22"/>
                <w:lang w:val="ro-RO"/>
              </w:rPr>
            </w:pPr>
            <w:r>
              <w:rPr>
                <w:i/>
                <w:sz w:val="22"/>
                <w:szCs w:val="22"/>
                <w:lang w:val="ro-RO"/>
              </w:rPr>
            </w:r>
          </w:p>
          <w:p>
            <w:pPr>
              <w:pStyle w:val="ListParagraph"/>
              <w:widowControl/>
              <w:bidi w:val="0"/>
              <w:spacing w:before="0" w:after="0"/>
              <w:ind w:left="175" w:right="0" w:hanging="0"/>
              <w:contextualSpacing/>
              <w:jc w:val="both"/>
              <w:textAlignment w:val="baseline"/>
              <w:rPr>
                <w:rFonts w:ascii="Times New Roman" w:hAnsi="Times New Roman"/>
                <w:i/>
                <w:i/>
                <w:sz w:val="22"/>
                <w:szCs w:val="22"/>
                <w:lang w:val="ro-RO"/>
              </w:rPr>
            </w:pPr>
            <w:r>
              <w:rPr>
                <w:i/>
                <w:sz w:val="22"/>
                <w:szCs w:val="22"/>
                <w:lang w:val="ro-RO"/>
              </w:rPr>
            </w:r>
          </w:p>
          <w:p>
            <w:pPr>
              <w:pStyle w:val="ListParagraph"/>
              <w:widowControl/>
              <w:numPr>
                <w:ilvl w:val="0"/>
                <w:numId w:val="30"/>
              </w:numPr>
              <w:bidi w:val="0"/>
              <w:spacing w:before="0" w:after="0"/>
              <w:ind w:left="175" w:right="0" w:hanging="0"/>
              <w:contextualSpacing/>
              <w:jc w:val="both"/>
              <w:textAlignment w:val="baseline"/>
              <w:rPr>
                <w:lang w:val="ro-RO"/>
              </w:rPr>
            </w:pPr>
            <w:r>
              <w:rPr>
                <w:i/>
                <w:sz w:val="22"/>
                <w:szCs w:val="22"/>
                <w:lang w:val="ro-RO"/>
              </w:rPr>
              <w:t>Dezvolta</w:t>
            </w:r>
            <w:r>
              <w:rPr>
                <w:rFonts w:cs="Times New Roman CE" w:ascii="Times New Roman CE" w:hAnsi="Times New Roman CE"/>
                <w:i/>
                <w:sz w:val="22"/>
                <w:szCs w:val="22"/>
                <w:lang w:val="ro-RO"/>
              </w:rPr>
              <w:t>rea versiunii upgradate (extinse) a bazei de cunoştinţe profesionale din domeniul examinării ultrasonografice cu informaţii,</w:t>
            </w:r>
            <w:r>
              <w:rPr>
                <w:i/>
                <w:sz w:val="22"/>
                <w:szCs w:val="22"/>
                <w:lang w:val="ro-RO"/>
              </w:rPr>
              <w:t xml:space="preserve"> </w:t>
            </w:r>
            <w:r>
              <w:rPr>
                <w:rFonts w:cs="Times New Roman CE" w:ascii="Times New Roman CE" w:hAnsi="Times New Roman CE"/>
                <w:i/>
                <w:sz w:val="22"/>
                <w:szCs w:val="22"/>
                <w:lang w:val="ro-RO"/>
              </w:rPr>
              <w:t>date, cunoştinţe centrate pe pacient.</w:t>
            </w:r>
          </w:p>
          <w:p>
            <w:pPr>
              <w:pStyle w:val="ListParagraph"/>
              <w:widowControl/>
              <w:numPr>
                <w:ilvl w:val="0"/>
                <w:numId w:val="30"/>
              </w:numPr>
              <w:bidi w:val="0"/>
              <w:spacing w:before="0" w:after="0"/>
              <w:ind w:left="175" w:right="0" w:hanging="0"/>
              <w:contextualSpacing/>
              <w:jc w:val="both"/>
              <w:textAlignment w:val="baseline"/>
              <w:rPr>
                <w:lang w:val="ro-RO"/>
              </w:rPr>
            </w:pPr>
            <w:r>
              <w:rPr>
                <w:i/>
                <w:sz w:val="22"/>
                <w:szCs w:val="22"/>
                <w:lang w:val="ro-RO"/>
              </w:rPr>
              <w:t>Instalarea versiunii experimentale „</w:t>
            </w:r>
            <w:r>
              <w:rPr>
                <w:rFonts w:cs="Times New Roman CE" w:ascii="Times New Roman CE" w:hAnsi="Times New Roman CE"/>
                <w:i/>
                <w:sz w:val="22"/>
                <w:szCs w:val="22"/>
                <w:lang w:val="ro-RO"/>
              </w:rPr>
              <w:t>midleware” Open source pentru testarea soluţiilor propuse</w:t>
            </w:r>
            <w:r>
              <w:rPr>
                <w:i/>
                <w:sz w:val="22"/>
                <w:szCs w:val="22"/>
                <w:lang w:val="ro-RO"/>
              </w:rPr>
              <w:t>.</w:t>
            </w:r>
          </w:p>
          <w:p>
            <w:pPr>
              <w:pStyle w:val="ListParagraph"/>
              <w:widowControl/>
              <w:bidi w:val="0"/>
              <w:spacing w:before="0" w:after="0"/>
              <w:ind w:left="175" w:right="0" w:hanging="0"/>
              <w:contextualSpacing/>
              <w:jc w:val="both"/>
              <w:textAlignment w:val="baseline"/>
              <w:rPr>
                <w:rFonts w:ascii="Times New Roman" w:hAnsi="Times New Roman"/>
                <w:i/>
                <w:i/>
                <w:sz w:val="22"/>
                <w:szCs w:val="22"/>
                <w:lang w:val="ro-RO"/>
              </w:rPr>
            </w:pPr>
            <w:r>
              <w:rPr>
                <w:i/>
                <w:sz w:val="22"/>
                <w:szCs w:val="22"/>
                <w:lang w:val="ro-RO"/>
              </w:rPr>
            </w:r>
          </w:p>
          <w:p>
            <w:pPr>
              <w:pStyle w:val="ListParagraph"/>
              <w:widowControl/>
              <w:bidi w:val="0"/>
              <w:spacing w:before="0" w:after="0"/>
              <w:ind w:left="0" w:right="0" w:hanging="0"/>
              <w:contextualSpacing/>
              <w:jc w:val="both"/>
              <w:textAlignment w:val="baseline"/>
              <w:rPr>
                <w:rFonts w:ascii="Times New Roman" w:hAnsi="Times New Roman"/>
                <w:i/>
                <w:i/>
                <w:sz w:val="22"/>
                <w:szCs w:val="22"/>
                <w:lang w:val="ro-RO"/>
              </w:rPr>
            </w:pPr>
            <w:r>
              <w:rPr>
                <w:i/>
                <w:sz w:val="22"/>
                <w:szCs w:val="22"/>
                <w:lang w:val="ro-RO"/>
              </w:rPr>
            </w:r>
          </w:p>
          <w:p>
            <w:pPr>
              <w:pStyle w:val="ListParagraph"/>
              <w:widowControl/>
              <w:bidi w:val="0"/>
              <w:spacing w:before="0" w:after="0"/>
              <w:ind w:left="175" w:right="0" w:hanging="0"/>
              <w:contextualSpacing/>
              <w:jc w:val="both"/>
              <w:textAlignment w:val="baseline"/>
              <w:rPr>
                <w:rFonts w:ascii="Times New Roman" w:hAnsi="Times New Roman"/>
                <w:i/>
                <w:i/>
                <w:sz w:val="22"/>
                <w:szCs w:val="22"/>
                <w:lang w:val="ro-RO"/>
              </w:rPr>
            </w:pPr>
            <w:r>
              <w:rPr>
                <w:i/>
                <w:sz w:val="22"/>
                <w:szCs w:val="22"/>
                <w:lang w:val="ro-RO"/>
              </w:rPr>
            </w:r>
          </w:p>
          <w:p>
            <w:pPr>
              <w:pStyle w:val="ListParagraph"/>
              <w:widowControl/>
              <w:bidi w:val="0"/>
              <w:spacing w:before="0" w:after="0"/>
              <w:ind w:left="175" w:right="0" w:hanging="0"/>
              <w:contextualSpacing/>
              <w:jc w:val="both"/>
              <w:textAlignment w:val="baseline"/>
              <w:rPr>
                <w:rFonts w:ascii="Times New Roman" w:hAnsi="Times New Roman"/>
                <w:i/>
                <w:i/>
                <w:sz w:val="22"/>
                <w:szCs w:val="22"/>
                <w:lang w:val="ro-RO"/>
              </w:rPr>
            </w:pPr>
            <w:r>
              <w:rPr>
                <w:i/>
                <w:sz w:val="22"/>
                <w:szCs w:val="22"/>
                <w:lang w:val="ro-RO"/>
              </w:rPr>
            </w:r>
          </w:p>
          <w:p>
            <w:pPr>
              <w:pStyle w:val="ListParagraph"/>
              <w:widowControl/>
              <w:bidi w:val="0"/>
              <w:spacing w:before="0" w:after="0"/>
              <w:ind w:left="175" w:right="0" w:hanging="0"/>
              <w:contextualSpacing/>
              <w:jc w:val="both"/>
              <w:textAlignment w:val="baseline"/>
              <w:rPr>
                <w:rFonts w:ascii="Times New Roman" w:hAnsi="Times New Roman"/>
                <w:i/>
                <w:i/>
                <w:sz w:val="22"/>
                <w:szCs w:val="22"/>
                <w:lang w:val="ro-RO"/>
              </w:rPr>
            </w:pPr>
            <w:r>
              <w:rPr>
                <w:i/>
                <w:sz w:val="22"/>
                <w:szCs w:val="22"/>
                <w:lang w:val="ro-RO"/>
              </w:rPr>
            </w:r>
          </w:p>
          <w:p>
            <w:pPr>
              <w:pStyle w:val="ListParagraph"/>
              <w:widowControl/>
              <w:bidi w:val="0"/>
              <w:spacing w:before="0" w:after="0"/>
              <w:ind w:left="175" w:right="0" w:hanging="0"/>
              <w:contextualSpacing/>
              <w:jc w:val="both"/>
              <w:textAlignment w:val="baseline"/>
              <w:rPr>
                <w:rFonts w:ascii="Times New Roman" w:hAnsi="Times New Roman"/>
                <w:i/>
                <w:i/>
                <w:sz w:val="22"/>
                <w:szCs w:val="22"/>
                <w:lang w:val="ro-RO"/>
              </w:rPr>
            </w:pPr>
            <w:r>
              <w:rPr>
                <w:i/>
                <w:sz w:val="22"/>
                <w:szCs w:val="22"/>
                <w:lang w:val="ro-RO"/>
              </w:rPr>
            </w:r>
          </w:p>
          <w:p>
            <w:pPr>
              <w:pStyle w:val="ListParagraph"/>
              <w:widowControl/>
              <w:bidi w:val="0"/>
              <w:spacing w:before="0" w:after="0"/>
              <w:ind w:left="175" w:right="0" w:hanging="0"/>
              <w:contextualSpacing/>
              <w:jc w:val="both"/>
              <w:textAlignment w:val="baseline"/>
              <w:rPr>
                <w:rFonts w:ascii="Times New Roman" w:hAnsi="Times New Roman"/>
                <w:i/>
                <w:i/>
                <w:sz w:val="22"/>
                <w:szCs w:val="22"/>
                <w:lang w:val="ro-RO"/>
              </w:rPr>
            </w:pPr>
            <w:r>
              <w:rPr>
                <w:i/>
                <w:sz w:val="22"/>
                <w:szCs w:val="22"/>
                <w:lang w:val="ro-RO"/>
              </w:rPr>
            </w:r>
          </w:p>
          <w:p>
            <w:pPr>
              <w:pStyle w:val="ListParagraph"/>
              <w:widowControl/>
              <w:bidi w:val="0"/>
              <w:spacing w:before="0" w:after="0"/>
              <w:ind w:left="175" w:right="0" w:hanging="0"/>
              <w:contextualSpacing/>
              <w:jc w:val="both"/>
              <w:textAlignment w:val="baseline"/>
              <w:rPr>
                <w:rFonts w:ascii="Times New Roman" w:hAnsi="Times New Roman"/>
                <w:i/>
                <w:i/>
                <w:sz w:val="22"/>
                <w:szCs w:val="22"/>
                <w:lang w:val="ro-RO"/>
              </w:rPr>
            </w:pPr>
            <w:r>
              <w:rPr>
                <w:i/>
                <w:sz w:val="22"/>
                <w:szCs w:val="22"/>
                <w:lang w:val="ro-RO"/>
              </w:rPr>
            </w:r>
          </w:p>
          <w:p>
            <w:pPr>
              <w:pStyle w:val="ListParagraph"/>
              <w:widowControl/>
              <w:numPr>
                <w:ilvl w:val="0"/>
                <w:numId w:val="30"/>
              </w:numPr>
              <w:bidi w:val="0"/>
              <w:spacing w:before="0" w:after="0"/>
              <w:ind w:left="175" w:right="0" w:hanging="0"/>
              <w:contextualSpacing/>
              <w:jc w:val="both"/>
              <w:textAlignment w:val="baseline"/>
              <w:rPr>
                <w:lang w:val="ro-RO"/>
              </w:rPr>
            </w:pPr>
            <w:r>
              <w:rPr>
                <w:rFonts w:cs="Times New Roman CE" w:ascii="Times New Roman CE" w:hAnsi="Times New Roman CE"/>
                <w:i/>
                <w:sz w:val="22"/>
                <w:szCs w:val="22"/>
                <w:lang w:val="ro-RO"/>
              </w:rPr>
              <w:t>Extinderea SIA IC cu posibilităţi de adoptare la specificul instituţiilor de cercetare. Elaborarea facilităţilor de generare a indicatorilor de raportare în cadrul SIA IC.</w:t>
            </w:r>
          </w:p>
          <w:p>
            <w:pPr>
              <w:pStyle w:val="ListParagraph"/>
              <w:widowControl/>
              <w:bidi w:val="0"/>
              <w:spacing w:before="0" w:after="0"/>
              <w:ind w:left="175" w:right="0" w:hanging="0"/>
              <w:contextualSpacing/>
              <w:jc w:val="both"/>
              <w:textAlignment w:val="baseline"/>
              <w:rPr>
                <w:rFonts w:ascii="Times New Roman" w:hAnsi="Times New Roman"/>
                <w:i/>
                <w:i/>
                <w:sz w:val="22"/>
                <w:szCs w:val="22"/>
                <w:lang w:val="ro-RO"/>
              </w:rPr>
            </w:pPr>
            <w:r>
              <w:rPr>
                <w:i/>
                <w:sz w:val="22"/>
                <w:szCs w:val="22"/>
                <w:lang w:val="ro-RO"/>
              </w:rPr>
            </w:r>
          </w:p>
        </w:tc>
        <w:tc>
          <w:tcPr>
            <w:tcW w:w="4907"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ListParagraph"/>
              <w:widowControl/>
              <w:numPr>
                <w:ilvl w:val="0"/>
                <w:numId w:val="30"/>
              </w:numPr>
              <w:bidi w:val="0"/>
              <w:spacing w:before="0" w:after="0"/>
              <w:ind w:left="175" w:right="0" w:hanging="0"/>
              <w:contextualSpacing/>
              <w:jc w:val="both"/>
              <w:textAlignment w:val="baseline"/>
              <w:rPr>
                <w:lang w:val="ro-RO"/>
              </w:rPr>
            </w:pPr>
            <w:r>
              <w:rPr>
                <w:i/>
                <w:sz w:val="22"/>
                <w:szCs w:val="22"/>
                <w:lang w:val="ro-RO"/>
              </w:rPr>
              <w:t>Au fost cercetate extensiunile curente ale P sistemelor. A fost studiat f</w:t>
            </w:r>
            <w:r>
              <w:rPr>
                <w:rFonts w:cs="Times New Roman CE" w:ascii="Times New Roman CE" w:hAnsi="Times New Roman CE"/>
                <w:i/>
                <w:sz w:val="22"/>
                <w:szCs w:val="22"/>
                <w:lang w:val="ro-RO"/>
              </w:rPr>
              <w:t>ramework-ul general pentru P sisteme cu stări. S-au studiat variaţii de P sisteme cu o membrană activă fără polarizări şi P sisteme neurale spiking cu două stări. A fost demonstrată completitudinea computaţională a reţelelor procesoarelor evoluţioniste hib</w:t>
            </w:r>
            <w:r>
              <w:rPr>
                <w:i/>
                <w:sz w:val="22"/>
                <w:szCs w:val="22"/>
                <w:lang w:val="ro-RO"/>
              </w:rPr>
              <w:t xml:space="preserve">ride cu cinci noduri. </w:t>
            </w:r>
          </w:p>
          <w:p>
            <w:pPr>
              <w:pStyle w:val="ListParagraph"/>
              <w:widowControl/>
              <w:numPr>
                <w:ilvl w:val="0"/>
                <w:numId w:val="30"/>
              </w:numPr>
              <w:bidi w:val="0"/>
              <w:spacing w:before="0" w:after="0"/>
              <w:ind w:left="175" w:right="0" w:hanging="0"/>
              <w:contextualSpacing/>
              <w:jc w:val="both"/>
              <w:textAlignment w:val="baseline"/>
              <w:rPr>
                <w:lang w:val="ro-RO"/>
              </w:rPr>
            </w:pPr>
            <w:r>
              <w:rPr>
                <w:rFonts w:cs="Times New Roman CE" w:ascii="Times New Roman CE" w:hAnsi="Times New Roman CE"/>
                <w:i/>
                <w:sz w:val="22"/>
                <w:szCs w:val="22"/>
                <w:lang w:val="ro-RO"/>
              </w:rPr>
              <w:t>S-au construit sisteme membranare de dimensiuni mici care generează seturi de baz</w:t>
            </w:r>
            <w:r>
              <w:rPr>
                <w:i/>
                <w:sz w:val="22"/>
                <w:szCs w:val="22"/>
                <w:lang w:val="ro-RO"/>
              </w:rPr>
              <w:t>e</w:t>
            </w:r>
            <w:r>
              <w:rPr>
                <w:rFonts w:cs="Times New Roman CE" w:ascii="Times New Roman CE" w:hAnsi="Times New Roman CE"/>
                <w:i/>
                <w:sz w:val="22"/>
                <w:szCs w:val="22"/>
                <w:lang w:val="ro-RO"/>
              </w:rPr>
              <w:t xml:space="preserve"> non-semiliniare. Se acordă atenţie următorilor parametri ai complexităţii descripţionale: dimensiunea alfabetului, numărul de reguli, numărul de inhibitori utiliza şi dimensiunea maximală a unei reguli. S-au descris 54 astfel de sisteme în dependenţă de restricţiile înaintate. Se arată că pentru unele şi aceleaşi restricţii există sisteme incomparabile.</w:t>
            </w:r>
          </w:p>
          <w:p>
            <w:pPr>
              <w:pStyle w:val="ListParagraph"/>
              <w:widowControl/>
              <w:numPr>
                <w:ilvl w:val="0"/>
                <w:numId w:val="30"/>
              </w:numPr>
              <w:bidi w:val="0"/>
              <w:spacing w:before="0" w:after="0"/>
              <w:ind w:left="175" w:right="0" w:hanging="0"/>
              <w:contextualSpacing/>
              <w:jc w:val="both"/>
              <w:textAlignment w:val="baseline"/>
              <w:rPr>
                <w:lang w:val="ro-RO"/>
              </w:rPr>
            </w:pPr>
            <w:r>
              <w:rPr>
                <w:i/>
                <w:sz w:val="22"/>
                <w:szCs w:val="22"/>
                <w:lang w:val="ro-RO"/>
              </w:rPr>
              <w:t>A fost elaborat un instrumentar de procesare a tex</w:t>
            </w:r>
            <w:r>
              <w:rPr>
                <w:rFonts w:cs="Times New Roman CE" w:ascii="Times New Roman CE" w:hAnsi="Times New Roman CE"/>
                <w:i/>
                <w:sz w:val="22"/>
                <w:szCs w:val="22"/>
                <w:lang w:val="ro-RO"/>
              </w:rPr>
              <w:t>tului istoric digitizat, care conversează caracterele alfabetului chirilic de tranziţie românesc în ca</w:t>
            </w:r>
            <w:r>
              <w:rPr>
                <w:i/>
                <w:sz w:val="22"/>
                <w:szCs w:val="22"/>
                <w:lang w:val="ro-RO"/>
              </w:rPr>
              <w:t>r</w:t>
            </w:r>
            <w:r>
              <w:rPr>
                <w:rFonts w:cs="Times New Roman CE" w:ascii="Times New Roman CE" w:hAnsi="Times New Roman CE"/>
                <w:i/>
                <w:sz w:val="22"/>
                <w:szCs w:val="22"/>
                <w:lang w:val="ro-RO"/>
              </w:rPr>
              <w:t>actere ale alfabetului latin. Problema de vizualizare a textelor istorice a fost rezolvată utilizând garnituri specializate Unicode</w:t>
              <w:noBreakHyphen/>
              <w:t xml:space="preserve">16. </w:t>
            </w:r>
          </w:p>
          <w:p>
            <w:pPr>
              <w:pStyle w:val="ListParagraph"/>
              <w:widowControl/>
              <w:numPr>
                <w:ilvl w:val="0"/>
                <w:numId w:val="30"/>
              </w:numPr>
              <w:bidi w:val="0"/>
              <w:spacing w:before="0" w:after="0"/>
              <w:ind w:left="175" w:right="0" w:hanging="0"/>
              <w:contextualSpacing/>
              <w:jc w:val="both"/>
              <w:textAlignment w:val="baseline"/>
              <w:rPr/>
            </w:pPr>
            <w:r>
              <w:rPr>
                <w:rFonts w:cs="Times New Roman CE" w:ascii="Times New Roman CE" w:hAnsi="Times New Roman CE"/>
                <w:i/>
                <w:sz w:val="22"/>
                <w:szCs w:val="22"/>
                <w:lang w:val="ro-RO"/>
              </w:rPr>
              <w:t>A fost elaborată o tehnologie de generare a lexiconului chirilic românesc pentru perioada 1967-1989.</w:t>
            </w:r>
          </w:p>
          <w:p>
            <w:pPr>
              <w:pStyle w:val="ListParagraph"/>
              <w:widowControl/>
              <w:bidi w:val="0"/>
              <w:spacing w:before="0" w:after="0"/>
              <w:ind w:left="175" w:right="0" w:hanging="0"/>
              <w:contextualSpacing/>
              <w:jc w:val="both"/>
              <w:textAlignment w:val="baseline"/>
              <w:rPr>
                <w:rFonts w:ascii="Times New Roman" w:hAnsi="Times New Roman"/>
                <w:i/>
                <w:i/>
                <w:sz w:val="22"/>
                <w:szCs w:val="22"/>
                <w:lang w:val="ro-RO"/>
              </w:rPr>
            </w:pPr>
            <w:r>
              <w:rPr>
                <w:i/>
                <w:sz w:val="22"/>
                <w:szCs w:val="22"/>
                <w:lang w:val="ro-RO"/>
              </w:rPr>
            </w:r>
          </w:p>
          <w:p>
            <w:pPr>
              <w:pStyle w:val="ListParagraph"/>
              <w:widowControl/>
              <w:bidi w:val="0"/>
              <w:spacing w:before="0" w:after="0"/>
              <w:ind w:left="175" w:right="0" w:hanging="0"/>
              <w:contextualSpacing/>
              <w:jc w:val="both"/>
              <w:textAlignment w:val="baseline"/>
              <w:rPr>
                <w:rFonts w:ascii="Times New Roman" w:hAnsi="Times New Roman"/>
                <w:i/>
                <w:i/>
                <w:sz w:val="22"/>
                <w:szCs w:val="22"/>
                <w:lang w:val="ro-RO"/>
              </w:rPr>
            </w:pPr>
            <w:r>
              <w:rPr>
                <w:i/>
                <w:sz w:val="22"/>
                <w:szCs w:val="22"/>
                <w:lang w:val="ro-RO"/>
              </w:rPr>
            </w:r>
          </w:p>
          <w:p>
            <w:pPr>
              <w:pStyle w:val="ListParagraph"/>
              <w:widowControl/>
              <w:bidi w:val="0"/>
              <w:spacing w:before="0" w:after="0"/>
              <w:ind w:left="175" w:right="0" w:hanging="0"/>
              <w:contextualSpacing/>
              <w:jc w:val="both"/>
              <w:textAlignment w:val="baseline"/>
              <w:rPr>
                <w:rFonts w:ascii="Times New Roman" w:hAnsi="Times New Roman"/>
                <w:i/>
                <w:i/>
                <w:sz w:val="22"/>
                <w:szCs w:val="22"/>
                <w:lang w:val="ro-RO"/>
              </w:rPr>
            </w:pPr>
            <w:r>
              <w:rPr>
                <w:i/>
                <w:sz w:val="22"/>
                <w:szCs w:val="22"/>
                <w:lang w:val="ro-RO"/>
              </w:rPr>
            </w:r>
          </w:p>
          <w:p>
            <w:pPr>
              <w:pStyle w:val="ListParagraph"/>
              <w:widowControl/>
              <w:bidi w:val="0"/>
              <w:spacing w:before="0" w:after="0"/>
              <w:ind w:left="175" w:right="0" w:hanging="0"/>
              <w:contextualSpacing/>
              <w:jc w:val="both"/>
              <w:textAlignment w:val="baseline"/>
              <w:rPr>
                <w:rFonts w:ascii="Times New Roman" w:hAnsi="Times New Roman"/>
                <w:i/>
                <w:i/>
                <w:sz w:val="22"/>
                <w:szCs w:val="22"/>
                <w:lang w:val="ro-RO"/>
              </w:rPr>
            </w:pPr>
            <w:r>
              <w:rPr>
                <w:i/>
                <w:sz w:val="22"/>
                <w:szCs w:val="22"/>
                <w:lang w:val="ro-RO"/>
              </w:rPr>
            </w:r>
          </w:p>
          <w:p>
            <w:pPr>
              <w:pStyle w:val="ListParagraph"/>
              <w:widowControl/>
              <w:bidi w:val="0"/>
              <w:spacing w:before="0" w:after="0"/>
              <w:ind w:left="175" w:right="0" w:hanging="0"/>
              <w:contextualSpacing/>
              <w:jc w:val="both"/>
              <w:textAlignment w:val="baseline"/>
              <w:rPr>
                <w:rFonts w:ascii="Times New Roman" w:hAnsi="Times New Roman"/>
                <w:i/>
                <w:i/>
                <w:sz w:val="22"/>
                <w:szCs w:val="22"/>
                <w:lang w:val="ro-RO"/>
              </w:rPr>
            </w:pPr>
            <w:r>
              <w:rPr>
                <w:i/>
                <w:sz w:val="22"/>
                <w:szCs w:val="22"/>
                <w:lang w:val="ro-RO"/>
              </w:rPr>
            </w:r>
          </w:p>
          <w:p>
            <w:pPr>
              <w:pStyle w:val="ListParagraph"/>
              <w:widowControl/>
              <w:bidi w:val="0"/>
              <w:spacing w:before="0" w:after="0"/>
              <w:ind w:left="175" w:right="0" w:hanging="0"/>
              <w:contextualSpacing/>
              <w:jc w:val="both"/>
              <w:textAlignment w:val="baseline"/>
              <w:rPr>
                <w:rFonts w:ascii="Times New Roman" w:hAnsi="Times New Roman"/>
                <w:i/>
                <w:i/>
                <w:sz w:val="22"/>
                <w:szCs w:val="22"/>
                <w:lang w:val="ro-RO"/>
              </w:rPr>
            </w:pPr>
            <w:r>
              <w:rPr>
                <w:i/>
                <w:sz w:val="22"/>
                <w:szCs w:val="22"/>
                <w:lang w:val="ro-RO"/>
              </w:rPr>
            </w:r>
          </w:p>
          <w:p>
            <w:pPr>
              <w:pStyle w:val="ListParagraph"/>
              <w:widowControl/>
              <w:numPr>
                <w:ilvl w:val="0"/>
                <w:numId w:val="30"/>
              </w:numPr>
              <w:bidi w:val="0"/>
              <w:spacing w:before="0" w:after="0"/>
              <w:ind w:left="175" w:right="0" w:hanging="0"/>
              <w:contextualSpacing/>
              <w:jc w:val="both"/>
              <w:textAlignment w:val="baseline"/>
              <w:rPr>
                <w:lang w:val="ro-RO"/>
              </w:rPr>
            </w:pPr>
            <w:r>
              <w:rPr>
                <w:rFonts w:cs="Times New Roman CE" w:ascii="Times New Roman CE" w:hAnsi="Times New Roman CE"/>
                <w:i/>
                <w:sz w:val="22"/>
                <w:szCs w:val="22"/>
                <w:lang w:val="ro-RO"/>
              </w:rPr>
              <w:t xml:space="preserve">A fost dezvoltată o tehnologie pentru digitizarea şi recunoaşterea patrimoniului istoric şi lingvistic românesc tipărit cu alfabet chirilic în secolele 17-20. Tehnologia include: alfabete pentru ABBYY FineReader, dicţionare (liste de cuvinte), modele de recunoaştere, fonturi care acoperă glifurile rare şi un manual de utilizare </w:t>
            </w:r>
          </w:p>
          <w:p>
            <w:pPr>
              <w:pStyle w:val="ListParagraph"/>
              <w:widowControl/>
              <w:numPr>
                <w:ilvl w:val="0"/>
                <w:numId w:val="30"/>
              </w:numPr>
              <w:bidi w:val="0"/>
              <w:spacing w:before="0" w:after="0"/>
              <w:ind w:left="175" w:right="0" w:hanging="0"/>
              <w:contextualSpacing/>
              <w:jc w:val="both"/>
              <w:textAlignment w:val="baseline"/>
              <w:rPr>
                <w:lang w:val="ro-RO"/>
              </w:rPr>
            </w:pPr>
            <w:r>
              <w:rPr>
                <w:rFonts w:cs="Times New Roman CE" w:ascii="Times New Roman CE" w:hAnsi="Times New Roman CE"/>
                <w:i/>
                <w:sz w:val="22"/>
                <w:szCs w:val="22"/>
                <w:lang w:val="ro-RO"/>
              </w:rPr>
              <w:t>Integrarea se face în baza unei stratificări (structurări)</w:t>
            </w:r>
            <w:r>
              <w:rPr>
                <w:i/>
                <w:sz w:val="22"/>
                <w:szCs w:val="22"/>
                <w:lang w:val="ro-RO"/>
              </w:rPr>
              <w:t xml:space="preserve"> </w:t>
            </w:r>
            <w:r>
              <w:rPr>
                <w:rFonts w:cs="Times New Roman CE" w:ascii="Times New Roman CE" w:hAnsi="Times New Roman CE"/>
                <w:i/>
                <w:sz w:val="22"/>
                <w:szCs w:val="22"/>
                <w:lang w:val="ro-RO"/>
              </w:rPr>
              <w:t>a cohortei de pacienţi şi respectiv a informaţiei ce descrie fiecare pacient în parte.</w:t>
            </w:r>
          </w:p>
          <w:p>
            <w:pPr>
              <w:pStyle w:val="ListParagraph"/>
              <w:widowControl/>
              <w:bidi w:val="0"/>
              <w:spacing w:before="0" w:after="0"/>
              <w:ind w:left="175" w:right="0" w:hanging="0"/>
              <w:contextualSpacing/>
              <w:jc w:val="both"/>
              <w:textAlignment w:val="baseline"/>
              <w:rPr>
                <w:rFonts w:ascii="Times New Roman" w:hAnsi="Times New Roman"/>
                <w:i/>
                <w:i/>
                <w:sz w:val="22"/>
                <w:szCs w:val="22"/>
                <w:lang w:val="ro-RO"/>
              </w:rPr>
            </w:pPr>
            <w:r>
              <w:rPr>
                <w:i/>
                <w:sz w:val="22"/>
                <w:szCs w:val="22"/>
                <w:lang w:val="ro-RO"/>
              </w:rPr>
            </w:r>
          </w:p>
          <w:p>
            <w:pPr>
              <w:pStyle w:val="ListParagraph"/>
              <w:widowControl/>
              <w:bidi w:val="0"/>
              <w:spacing w:before="0" w:after="0"/>
              <w:ind w:left="175" w:right="0" w:hanging="0"/>
              <w:contextualSpacing/>
              <w:jc w:val="both"/>
              <w:textAlignment w:val="baseline"/>
              <w:rPr>
                <w:rFonts w:ascii="Times New Roman" w:hAnsi="Times New Roman"/>
                <w:i/>
                <w:i/>
                <w:sz w:val="22"/>
                <w:szCs w:val="22"/>
                <w:lang w:val="ro-RO"/>
              </w:rPr>
            </w:pPr>
            <w:r>
              <w:rPr>
                <w:i/>
                <w:sz w:val="22"/>
                <w:szCs w:val="22"/>
                <w:lang w:val="ro-RO"/>
              </w:rPr>
            </w:r>
          </w:p>
          <w:p>
            <w:pPr>
              <w:pStyle w:val="ListParagraph"/>
              <w:widowControl/>
              <w:bidi w:val="0"/>
              <w:spacing w:before="0" w:after="0"/>
              <w:ind w:left="175" w:right="0" w:hanging="0"/>
              <w:contextualSpacing/>
              <w:jc w:val="both"/>
              <w:textAlignment w:val="baseline"/>
              <w:rPr>
                <w:rFonts w:ascii="Times New Roman" w:hAnsi="Times New Roman"/>
                <w:i/>
                <w:i/>
                <w:sz w:val="22"/>
                <w:szCs w:val="22"/>
                <w:lang w:val="ro-RO"/>
              </w:rPr>
            </w:pPr>
            <w:r>
              <w:rPr>
                <w:i/>
                <w:sz w:val="22"/>
                <w:szCs w:val="22"/>
                <w:lang w:val="ro-RO"/>
              </w:rPr>
            </w:r>
          </w:p>
          <w:p>
            <w:pPr>
              <w:pStyle w:val="ListParagraph"/>
              <w:widowControl/>
              <w:numPr>
                <w:ilvl w:val="0"/>
                <w:numId w:val="30"/>
              </w:numPr>
              <w:bidi w:val="0"/>
              <w:spacing w:before="0" w:after="0"/>
              <w:ind w:left="175" w:right="0" w:hanging="0"/>
              <w:contextualSpacing/>
              <w:jc w:val="both"/>
              <w:textAlignment w:val="baseline"/>
              <w:rPr>
                <w:lang w:val="ro-RO"/>
              </w:rPr>
            </w:pPr>
            <w:r>
              <w:rPr>
                <w:rFonts w:cs="Times New Roman CE" w:ascii="Times New Roman CE" w:hAnsi="Times New Roman CE"/>
                <w:i/>
                <w:sz w:val="22"/>
                <w:szCs w:val="22"/>
                <w:lang w:val="ro-RO"/>
              </w:rPr>
              <w:t>A fost şi propus conceptul de remodelare a bazei de cunoştinţe Sonares cu scopul utilizării acesteea în triajul medical la locul accidentelor cu multiple victime. Abordarea permite diferenţierea procesului de triaj la faţa locului, în funcţie de timpul disponibil pentru luarea deciziilor. BC Sonares remodelată constă din 3 nivele: nivelurile 1-2 corespund stării de severitate a victimei, iar nivelul 3 – patologiilor, când lichidul liber este prezent în cavitatea abdominală, dar nu este consecinţa unei leziuni abdominale.</w:t>
            </w:r>
          </w:p>
          <w:p>
            <w:pPr>
              <w:pStyle w:val="ListParagraph"/>
              <w:widowControl/>
              <w:numPr>
                <w:ilvl w:val="0"/>
                <w:numId w:val="30"/>
              </w:numPr>
              <w:bidi w:val="0"/>
              <w:spacing w:before="0" w:after="0"/>
              <w:ind w:left="175" w:right="0" w:hanging="0"/>
              <w:contextualSpacing/>
              <w:jc w:val="both"/>
              <w:textAlignment w:val="baseline"/>
              <w:rPr>
                <w:lang w:val="ro-RO"/>
              </w:rPr>
            </w:pPr>
            <w:r>
              <w:rPr>
                <w:rFonts w:cs="Times New Roman CE" w:ascii="Times New Roman CE" w:hAnsi="Times New Roman CE"/>
                <w:i/>
                <w:sz w:val="22"/>
                <w:szCs w:val="22"/>
                <w:lang w:val="ro-RO"/>
              </w:rPr>
              <w:t>Au fost instalate, examinate şi testate soluţiile bazate pe ”middleware” Open source pentru ingineria sistemelor de perspectivă pentru organizarea funcţionării resurselor de calcul distribuit tip „calcul de cloud ştiinţific”. A fost instalat şi testat softul open source pentru desfăşurare a cluster-OpenStack folosind soluţii pentru proiecte Mirantis Fuel (v7, v8) şi creat model optim de desfăşurare a infrastructurii OpenStack Cloud.</w:t>
            </w:r>
          </w:p>
          <w:p>
            <w:pPr>
              <w:pStyle w:val="ListParagraph"/>
              <w:widowControl/>
              <w:numPr>
                <w:ilvl w:val="0"/>
                <w:numId w:val="30"/>
              </w:numPr>
              <w:bidi w:val="0"/>
              <w:spacing w:before="0" w:after="0"/>
              <w:ind w:left="175" w:right="0" w:hanging="0"/>
              <w:contextualSpacing/>
              <w:jc w:val="both"/>
              <w:textAlignment w:val="baseline"/>
              <w:rPr>
                <w:lang w:val="ro-RO"/>
              </w:rPr>
            </w:pPr>
            <w:r>
              <w:rPr>
                <w:rFonts w:cs="Times New Roman CE" w:ascii="Times New Roman CE" w:hAnsi="Times New Roman CE"/>
                <w:i/>
                <w:sz w:val="22"/>
                <w:szCs w:val="22"/>
                <w:lang w:val="ro-RO"/>
              </w:rPr>
              <w:t xml:space="preserve">În cadrul dezvoltării Sistemului Informaţional Analitic al potenţialului </w:t>
            </w:r>
            <w:r>
              <w:rPr>
                <w:rFonts w:ascii="Cambria Math" w:hAnsi="Cambria Math"/>
                <w:i/>
                <w:sz w:val="22"/>
                <w:szCs w:val="22"/>
                <w:lang w:val="ro-RO"/>
              </w:rPr>
              <w:t>ș</w:t>
            </w:r>
            <w:r>
              <w:rPr>
                <w:i/>
                <w:sz w:val="22"/>
                <w:szCs w:val="22"/>
                <w:lang w:val="ro-RO"/>
              </w:rPr>
              <w:t>tiin</w:t>
            </w:r>
            <w:r>
              <w:rPr>
                <w:rFonts w:ascii="Cambria Math" w:hAnsi="Cambria Math"/>
                <w:i/>
                <w:sz w:val="22"/>
                <w:szCs w:val="22"/>
                <w:lang w:val="ro-RO"/>
              </w:rPr>
              <w:t>ț</w:t>
            </w:r>
            <w:r>
              <w:rPr>
                <w:rFonts w:cs="Times New Roman CE" w:ascii="Times New Roman CE" w:hAnsi="Times New Roman CE"/>
                <w:i/>
                <w:sz w:val="22"/>
                <w:szCs w:val="22"/>
                <w:lang w:val="ro-RO"/>
              </w:rPr>
              <w:t xml:space="preserve">ific al Institutului de Matematică </w:t>
            </w:r>
            <w:r>
              <w:rPr>
                <w:rFonts w:ascii="Cambria Math" w:hAnsi="Cambria Math"/>
                <w:i/>
                <w:sz w:val="22"/>
                <w:szCs w:val="22"/>
                <w:lang w:val="ro-RO"/>
              </w:rPr>
              <w:t>ș</w:t>
            </w:r>
            <w:r>
              <w:rPr>
                <w:rFonts w:cs="Times New Roman CE" w:ascii="Times New Roman CE" w:hAnsi="Times New Roman CE"/>
                <w:i/>
                <w:sz w:val="22"/>
                <w:szCs w:val="22"/>
                <w:lang w:val="ro-RO"/>
              </w:rPr>
              <w:t>i Informatică au fost elaborate instrumente pentru achizi</w:t>
            </w:r>
            <w:r>
              <w:rPr>
                <w:rFonts w:ascii="Cambria Math" w:hAnsi="Cambria Math"/>
                <w:i/>
                <w:sz w:val="22"/>
                <w:szCs w:val="22"/>
                <w:lang w:val="ro-RO"/>
              </w:rPr>
              <w:t>ț</w:t>
            </w:r>
            <w:r>
              <w:rPr>
                <w:i/>
                <w:sz w:val="22"/>
                <w:szCs w:val="22"/>
                <w:lang w:val="ro-RO"/>
              </w:rPr>
              <w:t>ionarea indicatorilor de raportare despre resursele umane (angaja</w:t>
            </w:r>
            <w:r>
              <w:rPr>
                <w:rFonts w:ascii="Cambria Math" w:hAnsi="Cambria Math"/>
                <w:i/>
                <w:sz w:val="22"/>
                <w:szCs w:val="22"/>
                <w:lang w:val="ro-RO"/>
              </w:rPr>
              <w:t>ț</w:t>
            </w:r>
            <w:r>
              <w:rPr>
                <w:i/>
                <w:sz w:val="22"/>
                <w:szCs w:val="22"/>
                <w:lang w:val="ro-RO"/>
              </w:rPr>
              <w:t xml:space="preserve">i) </w:t>
            </w:r>
            <w:r>
              <w:rPr>
                <w:rFonts w:ascii="Cambria Math" w:hAnsi="Cambria Math"/>
                <w:i/>
                <w:sz w:val="22"/>
                <w:szCs w:val="22"/>
                <w:lang w:val="ro-RO"/>
              </w:rPr>
              <w:t>ș</w:t>
            </w:r>
            <w:r>
              <w:rPr>
                <w:i/>
                <w:sz w:val="22"/>
                <w:szCs w:val="22"/>
                <w:lang w:val="ro-RO"/>
              </w:rPr>
              <w:t>i despre publica</w:t>
            </w:r>
            <w:r>
              <w:rPr>
                <w:rFonts w:ascii="Cambria Math" w:hAnsi="Cambria Math"/>
                <w:i/>
                <w:sz w:val="22"/>
                <w:szCs w:val="22"/>
                <w:lang w:val="ro-RO"/>
              </w:rPr>
              <w:t>ț</w:t>
            </w:r>
            <w:r>
              <w:rPr>
                <w:rFonts w:cs="Times New Roman CE" w:ascii="Times New Roman CE" w:hAnsi="Times New Roman CE"/>
                <w:i/>
                <w:sz w:val="22"/>
                <w:szCs w:val="22"/>
                <w:lang w:val="ro-RO"/>
              </w:rPr>
              <w:t>ii. A fost realizată func</w:t>
            </w:r>
            <w:r>
              <w:rPr>
                <w:rFonts w:ascii="Cambria Math" w:hAnsi="Cambria Math"/>
                <w:i/>
                <w:sz w:val="22"/>
                <w:szCs w:val="22"/>
                <w:lang w:val="ro-RO"/>
              </w:rPr>
              <w:t>ț</w:t>
            </w:r>
            <w:r>
              <w:rPr>
                <w:rFonts w:cs="Times New Roman CE" w:ascii="Times New Roman CE" w:hAnsi="Times New Roman CE"/>
                <w:i/>
                <w:sz w:val="22"/>
                <w:szCs w:val="22"/>
                <w:lang w:val="ro-RO"/>
              </w:rPr>
              <w:t>ia de generare a raportului în format XML.</w:t>
            </w:r>
          </w:p>
        </w:tc>
      </w:tr>
    </w:tbl>
    <w:p>
      <w:pPr>
        <w:pStyle w:val="Normal"/>
        <w:widowControl/>
        <w:bidi w:val="0"/>
        <w:ind w:left="180" w:right="0" w:hanging="0"/>
        <w:jc w:val="left"/>
        <w:textAlignment w:val="auto"/>
        <w:rPr>
          <w:rFonts w:ascii="Times New Roman" w:hAnsi="Times New Roman"/>
          <w:b/>
          <w:b/>
          <w:bCs/>
          <w:sz w:val="22"/>
          <w:szCs w:val="22"/>
          <w:lang w:val="ro-MD"/>
        </w:rPr>
      </w:pPr>
      <w:r>
        <w:rPr>
          <w:b/>
          <w:bCs/>
          <w:sz w:val="22"/>
          <w:szCs w:val="22"/>
          <w:lang w:val="ro-MD"/>
        </w:rPr>
      </w:r>
    </w:p>
    <w:p>
      <w:pPr>
        <w:pStyle w:val="Normal"/>
        <w:widowControl/>
        <w:numPr>
          <w:ilvl w:val="0"/>
          <w:numId w:val="103"/>
        </w:numPr>
        <w:tabs>
          <w:tab w:val="left" w:pos="180" w:leader="none"/>
        </w:tabs>
        <w:bidi w:val="0"/>
        <w:ind w:left="180" w:right="0" w:hanging="0"/>
        <w:jc w:val="left"/>
        <w:textAlignment w:val="auto"/>
        <w:rPr>
          <w:lang w:val="ro-MD"/>
        </w:rPr>
      </w:pPr>
      <w:r>
        <w:rPr>
          <w:rFonts w:cs="Times New Roman CE" w:ascii="Times New Roman CE" w:hAnsi="Times New Roman CE"/>
          <w:bCs/>
          <w:sz w:val="22"/>
          <w:szCs w:val="22"/>
          <w:lang w:val="ro-MD"/>
        </w:rPr>
        <w:t>Lista lucrărilor ştiinţifice (monografii, articole, obiecte de proprietate intelectuală) cu referinţă la proiectul dat pe anul 201</w:t>
      </w:r>
      <w:r>
        <w:rPr>
          <w:bCs/>
          <w:sz w:val="22"/>
          <w:szCs w:val="22"/>
          <w:lang w:val="ro-MD"/>
        </w:rPr>
        <w:t>6 (conform formei 4 din structura raportului)</w:t>
      </w:r>
    </w:p>
    <w:p>
      <w:pPr>
        <w:pStyle w:val="Normal"/>
        <w:widowControl/>
        <w:bidi w:val="0"/>
        <w:ind w:left="0" w:right="0" w:hanging="0"/>
        <w:jc w:val="both"/>
        <w:textAlignment w:val="auto"/>
        <w:rPr>
          <w:lang w:val="ro-RO"/>
        </w:rPr>
      </w:pPr>
      <w:r>
        <w:rPr>
          <w:b/>
          <w:i/>
          <w:sz w:val="22"/>
          <w:szCs w:val="22"/>
          <w:lang w:val="ro-RO"/>
        </w:rPr>
        <w:t>Capito</w:t>
      </w:r>
      <w:r>
        <w:rPr>
          <w:rFonts w:cs="Times New Roman CE" w:ascii="Times New Roman CE" w:hAnsi="Times New Roman CE"/>
          <w:b/>
          <w:i/>
          <w:sz w:val="22"/>
          <w:szCs w:val="22"/>
          <w:lang w:val="ro-RO"/>
        </w:rPr>
        <w:t>le în monografii editate în străinătate:</w:t>
      </w:r>
    </w:p>
    <w:p>
      <w:pPr>
        <w:pStyle w:val="ListParagraph"/>
        <w:widowControl/>
        <w:numPr>
          <w:ilvl w:val="0"/>
          <w:numId w:val="83"/>
        </w:numPr>
        <w:tabs>
          <w:tab w:val="left" w:pos="360" w:leader="none"/>
        </w:tabs>
        <w:bidi w:val="0"/>
        <w:spacing w:before="0" w:after="0"/>
        <w:ind w:left="360" w:right="0" w:hanging="0"/>
        <w:contextualSpacing/>
        <w:jc w:val="left"/>
        <w:textAlignment w:val="auto"/>
        <w:rPr>
          <w:lang w:val="en-US"/>
        </w:rPr>
      </w:pPr>
      <w:r>
        <w:rPr>
          <w:sz w:val="22"/>
          <w:szCs w:val="22"/>
          <w:lang w:val="en-US"/>
        </w:rPr>
        <w:t>ALHAZOV, A; FREUND, R.; IVANOV, S.; OSWALD, M. Observations on P Systems with States. In: Multidisciplinary Creativity. Homage to Gheorghe Paun on His 65th Birthday (M. Gheorghe, I. Petre, M.J. Pérez-Jiménez, G. Rozenberg, A. Salomaa, Eds.), editura Spandugino, Bucharest, 2015, 17-28.</w:t>
      </w:r>
    </w:p>
    <w:p>
      <w:pPr>
        <w:pStyle w:val="Normal"/>
        <w:widowControl/>
        <w:bidi w:val="0"/>
        <w:ind w:left="0" w:right="0" w:hanging="0"/>
        <w:jc w:val="both"/>
        <w:textAlignment w:val="auto"/>
        <w:rPr>
          <w:lang w:val="ro-RO"/>
        </w:rPr>
      </w:pPr>
      <w:r>
        <w:rPr>
          <w:b/>
          <w:i/>
          <w:sz w:val="22"/>
          <w:szCs w:val="22"/>
          <w:lang w:val="ro-RO"/>
        </w:rPr>
        <w:t>Articole din reviste cu factor de impact 1,0-2,9</w:t>
      </w:r>
    </w:p>
    <w:p>
      <w:pPr>
        <w:pStyle w:val="Normal"/>
        <w:widowControl/>
        <w:bidi w:val="0"/>
        <w:ind w:left="0" w:right="0" w:hanging="0"/>
        <w:jc w:val="left"/>
        <w:textAlignment w:val="auto"/>
        <w:rPr>
          <w:lang w:val="ro-RO"/>
        </w:rPr>
      </w:pPr>
      <w:r>
        <w:rPr>
          <w:sz w:val="22"/>
          <w:szCs w:val="22"/>
          <w:lang w:val="ro-RO"/>
        </w:rPr>
        <w:t xml:space="preserve">1. </w:t>
      </w:r>
      <w:r>
        <w:rPr>
          <w:sz w:val="22"/>
          <w:szCs w:val="22"/>
          <w:lang w:val="en-US"/>
        </w:rPr>
        <w:t xml:space="preserve">ALHAZOV, A; FREUND, R.; ROGOZHIN, V.; ROGOZHIN, YU. Computational Completeness of Complete, Star-Like, and Linear Hybrid Networks of Evolutionary Processors with a Small Number of Processors. </w:t>
      </w:r>
      <w:r>
        <w:rPr>
          <w:sz w:val="22"/>
          <w:szCs w:val="22"/>
        </w:rPr>
        <w:t xml:space="preserve">Natural Computing 15, 1, 2016, 51-68. </w:t>
      </w:r>
      <w:r>
        <w:rPr>
          <w:sz w:val="22"/>
          <w:szCs w:val="22"/>
          <w:lang w:val="ro-RO"/>
        </w:rPr>
        <w:t>(</w:t>
      </w:r>
      <w:r>
        <w:rPr>
          <w:sz w:val="22"/>
          <w:szCs w:val="22"/>
        </w:rPr>
        <w:t>IF: 1.310</w:t>
      </w:r>
      <w:r>
        <w:rPr>
          <w:sz w:val="22"/>
          <w:szCs w:val="22"/>
          <w:lang w:val="ro-RO"/>
        </w:rPr>
        <w:t>)</w:t>
      </w:r>
    </w:p>
    <w:p>
      <w:pPr>
        <w:pStyle w:val="Normal"/>
        <w:widowControl/>
        <w:bidi w:val="0"/>
        <w:ind w:left="0" w:right="0" w:hanging="0"/>
        <w:jc w:val="both"/>
        <w:textAlignment w:val="auto"/>
        <w:rPr>
          <w:lang w:val="ro-RO"/>
        </w:rPr>
      </w:pPr>
      <w:r>
        <w:rPr>
          <w:rFonts w:cs="Times New Roman CE" w:ascii="Times New Roman CE" w:hAnsi="Times New Roman CE"/>
          <w:b/>
          <w:i/>
          <w:sz w:val="22"/>
          <w:szCs w:val="22"/>
          <w:lang w:val="ro-RO"/>
        </w:rPr>
        <w:t xml:space="preserve">Articole în reviste cu factor de impact </w:t>
      </w:r>
      <w:r>
        <w:rPr>
          <w:b/>
          <w:i/>
          <w:color w:val="000000"/>
          <w:sz w:val="22"/>
          <w:szCs w:val="22"/>
          <w:lang w:val="ro-RO"/>
        </w:rPr>
        <w:t>0,1-0,9</w:t>
      </w:r>
    </w:p>
    <w:p>
      <w:pPr>
        <w:pStyle w:val="ListParagraph"/>
        <w:widowControl/>
        <w:numPr>
          <w:ilvl w:val="0"/>
          <w:numId w:val="91"/>
        </w:numPr>
        <w:tabs>
          <w:tab w:val="left" w:pos="360" w:leader="none"/>
        </w:tabs>
        <w:bidi w:val="0"/>
        <w:spacing w:before="0" w:after="0"/>
        <w:ind w:left="360" w:right="0" w:hanging="0"/>
        <w:contextualSpacing/>
        <w:jc w:val="left"/>
        <w:textAlignment w:val="auto"/>
        <w:rPr>
          <w:lang w:val="en-US"/>
        </w:rPr>
      </w:pPr>
      <w:r>
        <w:rPr>
          <w:sz w:val="22"/>
          <w:szCs w:val="22"/>
          <w:lang w:val="en-US"/>
        </w:rPr>
        <w:t xml:space="preserve">ALHAZOV, A; FREUND, R. Polarizationless P Systems with One Active Membrane. In: G. Rozenberg, A. Salomaa, J.M. Sempere, C. Zandron: Membrane Computing - 16th International Conference, CMC 2015, Valencia, Revised Selected Papers. </w:t>
      </w:r>
      <w:r>
        <w:rPr>
          <w:sz w:val="22"/>
          <w:szCs w:val="22"/>
        </w:rPr>
        <w:t xml:space="preserve">Lecture Notes in Computer Science 9504, 2015, 51-62. </w:t>
      </w:r>
      <w:r>
        <w:rPr>
          <w:sz w:val="22"/>
          <w:szCs w:val="22"/>
          <w:lang w:val="ro-RO"/>
        </w:rPr>
        <w:t>(</w:t>
      </w:r>
      <w:r>
        <w:rPr>
          <w:sz w:val="22"/>
          <w:szCs w:val="22"/>
        </w:rPr>
        <w:t>IF:0.402</w:t>
      </w:r>
      <w:r>
        <w:rPr>
          <w:sz w:val="22"/>
          <w:szCs w:val="22"/>
          <w:lang w:val="ro-RO"/>
        </w:rPr>
        <w:t>)</w:t>
      </w:r>
    </w:p>
    <w:p>
      <w:pPr>
        <w:pStyle w:val="ListParagraph"/>
        <w:widowControl/>
        <w:numPr>
          <w:ilvl w:val="0"/>
          <w:numId w:val="91"/>
        </w:numPr>
        <w:tabs>
          <w:tab w:val="left" w:pos="360" w:leader="none"/>
        </w:tabs>
        <w:bidi w:val="0"/>
        <w:spacing w:before="0" w:after="0"/>
        <w:ind w:left="360" w:right="0" w:hanging="0"/>
        <w:contextualSpacing/>
        <w:jc w:val="left"/>
        <w:textAlignment w:val="auto"/>
        <w:rPr/>
      </w:pPr>
      <w:r>
        <w:rPr>
          <w:sz w:val="22"/>
          <w:szCs w:val="22"/>
          <w:lang w:val="en-US"/>
        </w:rPr>
        <w:t xml:space="preserve">ALHAZOV, A; FREUND, R.Variants of Small Universal P Systems with Catalysts. </w:t>
      </w:r>
      <w:hyperlink r:id="rId20">
        <w:r>
          <w:rPr>
            <w:webHidden/>
            <w:rStyle w:val="Style5"/>
            <w:sz w:val="22"/>
            <w:szCs w:val="22"/>
          </w:rPr>
          <w:t>Fundamenta Informaticae</w:t>
        </w:r>
      </w:hyperlink>
      <w:r>
        <w:rPr>
          <w:sz w:val="22"/>
          <w:szCs w:val="22"/>
        </w:rPr>
        <w:t xml:space="preserve">, 138(1-2), 2015, 227-250. </w:t>
      </w:r>
      <w:r>
        <w:rPr>
          <w:sz w:val="22"/>
          <w:szCs w:val="22"/>
          <w:lang w:val="ro-RO"/>
        </w:rPr>
        <w:t>(</w:t>
      </w:r>
      <w:r>
        <w:rPr>
          <w:sz w:val="22"/>
          <w:szCs w:val="22"/>
        </w:rPr>
        <w:t>IF: 0.717</w:t>
      </w:r>
      <w:r>
        <w:rPr>
          <w:sz w:val="22"/>
          <w:szCs w:val="22"/>
          <w:lang w:val="ro-RO"/>
        </w:rPr>
        <w:t>)</w:t>
      </w:r>
    </w:p>
    <w:p>
      <w:pPr>
        <w:pStyle w:val="ListParagraph"/>
        <w:widowControl/>
        <w:numPr>
          <w:ilvl w:val="0"/>
          <w:numId w:val="91"/>
        </w:numPr>
        <w:tabs>
          <w:tab w:val="left" w:pos="360" w:leader="none"/>
        </w:tabs>
        <w:bidi w:val="0"/>
        <w:spacing w:before="0" w:after="0"/>
        <w:ind w:left="360" w:right="0" w:hanging="0"/>
        <w:contextualSpacing/>
        <w:jc w:val="left"/>
        <w:textAlignment w:val="auto"/>
        <w:rPr>
          <w:lang w:val="en-US"/>
        </w:rPr>
      </w:pPr>
      <w:r>
        <w:rPr>
          <w:sz w:val="22"/>
          <w:szCs w:val="22"/>
          <w:lang w:val="en-US"/>
        </w:rPr>
        <w:t xml:space="preserve">ALHAZOV, A; FREUND, R.; VERLAN, S. Bridging Deterministic P Systems and Conditional Grammars.In: G. Rozenberg, A. Salomaa, J.M. Sempere, C. Zandron: Membrane Computing - 16th International Conference, CMC 2015, Valencia, Revised Selected Papers. </w:t>
      </w:r>
      <w:r>
        <w:rPr>
          <w:sz w:val="22"/>
          <w:szCs w:val="22"/>
        </w:rPr>
        <w:t xml:space="preserve">Lecture Notes in Computer Science 9504, 2015, 63-76. </w:t>
      </w:r>
      <w:r>
        <w:rPr>
          <w:sz w:val="22"/>
          <w:szCs w:val="22"/>
          <w:lang w:val="ro-RO"/>
        </w:rPr>
        <w:t>(</w:t>
      </w:r>
      <w:r>
        <w:rPr>
          <w:sz w:val="22"/>
          <w:szCs w:val="22"/>
        </w:rPr>
        <w:t>IF:0.402</w:t>
      </w:r>
      <w:r>
        <w:rPr>
          <w:sz w:val="22"/>
          <w:szCs w:val="22"/>
          <w:lang w:val="ro-RO"/>
        </w:rPr>
        <w:t>)</w:t>
      </w:r>
    </w:p>
    <w:p>
      <w:pPr>
        <w:pStyle w:val="ListParagraph"/>
        <w:widowControl/>
        <w:numPr>
          <w:ilvl w:val="0"/>
          <w:numId w:val="91"/>
        </w:numPr>
        <w:tabs>
          <w:tab w:val="left" w:pos="360" w:leader="none"/>
        </w:tabs>
        <w:bidi w:val="0"/>
        <w:spacing w:before="0" w:after="0"/>
        <w:ind w:left="360" w:right="0" w:hanging="0"/>
        <w:contextualSpacing/>
        <w:jc w:val="left"/>
        <w:textAlignment w:val="auto"/>
        <w:rPr/>
      </w:pPr>
      <w:r>
        <w:rPr>
          <w:sz w:val="22"/>
          <w:szCs w:val="22"/>
          <w:lang w:val="fr-FR"/>
        </w:rPr>
        <w:t xml:space="preserve">AZIMI, S.; GRATIE, C.; IVANOV, S.; MANZONI, L.;PETRE, I.; PORRECA, A.E. </w:t>
      </w:r>
      <w:hyperlink r:id="rId21">
        <w:r>
          <w:rPr>
            <w:webHidden/>
            <w:rStyle w:val="Style5"/>
            <w:sz w:val="22"/>
            <w:szCs w:val="22"/>
            <w:lang w:val="en-US"/>
          </w:rPr>
          <w:t>Complexity of model checking for reaction systems</w:t>
        </w:r>
      </w:hyperlink>
      <w:r>
        <w:rPr>
          <w:sz w:val="22"/>
          <w:szCs w:val="22"/>
          <w:lang w:val="en-US"/>
        </w:rPr>
        <w:t>. In: Theoretical Computer Science, v.623, 2016, 103-113. (IF: 0.995</w:t>
      </w:r>
      <w:r>
        <w:rPr>
          <w:b/>
          <w:sz w:val="22"/>
          <w:szCs w:val="22"/>
          <w:lang w:val="ro-RO"/>
        </w:rPr>
        <w:t>)</w:t>
      </w:r>
    </w:p>
    <w:p>
      <w:pPr>
        <w:pStyle w:val="ListParagraph"/>
        <w:widowControl/>
        <w:numPr>
          <w:ilvl w:val="0"/>
          <w:numId w:val="91"/>
        </w:numPr>
        <w:tabs>
          <w:tab w:val="left" w:pos="360" w:leader="none"/>
        </w:tabs>
        <w:bidi w:val="0"/>
        <w:spacing w:before="0" w:after="0"/>
        <w:ind w:left="360" w:right="0" w:hanging="0"/>
        <w:contextualSpacing/>
        <w:jc w:val="left"/>
        <w:textAlignment w:val="auto"/>
        <w:rPr/>
      </w:pPr>
      <w:r>
        <w:rPr>
          <w:sz w:val="22"/>
          <w:szCs w:val="22"/>
          <w:lang w:val="en-US"/>
        </w:rPr>
        <w:t xml:space="preserve">BOGATENCOV, P., SECRIERU, P. DEGTEARIOV, N., ILIUHA N. Scientific Computing Infrastructure and Services in Moldova. In Journal “Physics of Particles and Nuclei Letters”, SpringerLink, 04 September 2016, DOI: 10.1134/S1547477116050125, </w:t>
      </w:r>
      <w:hyperlink r:id="rId22">
        <w:r>
          <w:rPr>
            <w:webHidden/>
            <w:rStyle w:val="Style5"/>
            <w:lang w:val="en-US"/>
          </w:rPr>
          <w:t>http://link.springer.com/journal/11497/13/5/page/2</w:t>
        </w:r>
      </w:hyperlink>
      <w:r>
        <w:rPr>
          <w:sz w:val="22"/>
          <w:szCs w:val="22"/>
          <w:lang w:val="en-US"/>
        </w:rPr>
        <w:t>. (</w:t>
      </w:r>
      <w:r>
        <w:rPr>
          <w:sz w:val="22"/>
          <w:szCs w:val="22"/>
        </w:rPr>
        <w:t>IF:42</w:t>
      </w:r>
      <w:r>
        <w:rPr>
          <w:b/>
          <w:sz w:val="22"/>
          <w:szCs w:val="22"/>
          <w:lang w:val="ro-RO"/>
        </w:rPr>
        <w:t>)</w:t>
      </w:r>
    </w:p>
    <w:p>
      <w:pPr>
        <w:pStyle w:val="ListParagraph"/>
        <w:widowControl/>
        <w:numPr>
          <w:ilvl w:val="0"/>
          <w:numId w:val="91"/>
        </w:numPr>
        <w:tabs>
          <w:tab w:val="left" w:pos="360" w:leader="none"/>
        </w:tabs>
        <w:bidi w:val="0"/>
        <w:spacing w:before="0" w:after="0"/>
        <w:ind w:left="360" w:right="0" w:hanging="0"/>
        <w:contextualSpacing/>
        <w:jc w:val="left"/>
        <w:textAlignment w:val="auto"/>
        <w:rPr/>
      </w:pPr>
      <w:r>
        <w:rPr>
          <w:sz w:val="22"/>
          <w:szCs w:val="22"/>
          <w:lang w:val="en-US"/>
        </w:rPr>
        <w:t xml:space="preserve">FREUND, R.; IVANOV, S.; </w:t>
      </w:r>
      <w:hyperlink r:id="rId23">
        <w:r>
          <w:rPr>
            <w:webHidden/>
            <w:rStyle w:val="Style5"/>
            <w:sz w:val="22"/>
            <w:szCs w:val="22"/>
            <w:lang w:val="en-US"/>
          </w:rPr>
          <w:t>STAIGER</w:t>
        </w:r>
      </w:hyperlink>
      <w:r>
        <w:rPr>
          <w:sz w:val="22"/>
          <w:szCs w:val="22"/>
          <w:lang w:val="en-US"/>
        </w:rPr>
        <w:t xml:space="preserve">, L. Going Beyond Turing with P Automata: Regular Observer </w:t>
      </w:r>
      <w:r>
        <w:rPr>
          <w:rFonts w:cs="Times New Roman Greek" w:ascii="Times New Roman Greek" w:hAnsi="Times New Roman Greek"/>
          <w:sz w:val="22"/>
          <w:szCs w:val="22"/>
        </w:rPr>
        <w:t>ω</w:t>
      </w:r>
      <w:r>
        <w:rPr>
          <w:sz w:val="22"/>
          <w:szCs w:val="22"/>
          <w:lang w:val="en-US"/>
        </w:rPr>
        <w:t xml:space="preserve">-Languages and Partial Adult Halting. </w:t>
      </w:r>
      <w:r>
        <w:rPr>
          <w:sz w:val="22"/>
          <w:szCs w:val="22"/>
        </w:rPr>
        <w:t xml:space="preserve">In: </w:t>
      </w:r>
      <w:hyperlink r:id="rId24">
        <w:r>
          <w:rPr>
            <w:webHidden/>
            <w:rStyle w:val="Style5"/>
            <w:sz w:val="22"/>
            <w:szCs w:val="22"/>
          </w:rPr>
          <w:t>International Journal of Unconventional Computing</w:t>
        </w:r>
      </w:hyperlink>
      <w:r>
        <w:fldChar w:fldCharType="begin"/>
      </w:r>
      <w:r>
        <w:instrText> HYPERLINK "http://dblp.uni-trier.de/db/journals/ijuc/ijuc12.html" \l "FreundIS16"</w:instrText>
      </w:r>
      <w:r>
        <w:fldChar w:fldCharType="separate"/>
      </w:r>
      <w:r>
        <w:rPr>
          <w:rStyle w:val="Style5"/>
          <w:sz w:val="22"/>
          <w:szCs w:val="22"/>
        </w:rPr>
        <w:t>, 12(1)</w:t>
      </w:r>
      <w:r>
        <w:fldChar w:fldCharType="end"/>
      </w:r>
      <w:r>
        <w:rPr>
          <w:sz w:val="22"/>
          <w:szCs w:val="22"/>
        </w:rPr>
        <w:t xml:space="preserve">, 2016, 51-69. </w:t>
      </w:r>
      <w:r>
        <w:rPr>
          <w:sz w:val="22"/>
          <w:szCs w:val="22"/>
          <w:lang w:val="ro-RO"/>
        </w:rPr>
        <w:t>(</w:t>
      </w:r>
      <w:r>
        <w:rPr>
          <w:sz w:val="22"/>
          <w:szCs w:val="22"/>
        </w:rPr>
        <w:t>IF: 0.911</w:t>
      </w:r>
      <w:r>
        <w:rPr>
          <w:b/>
          <w:sz w:val="22"/>
          <w:szCs w:val="22"/>
          <w:lang w:val="ro-RO"/>
        </w:rPr>
        <w:t>)</w:t>
      </w:r>
    </w:p>
    <w:p>
      <w:pPr>
        <w:pStyle w:val="ListParagraph"/>
        <w:widowControl/>
        <w:numPr>
          <w:ilvl w:val="0"/>
          <w:numId w:val="91"/>
        </w:numPr>
        <w:tabs>
          <w:tab w:val="left" w:pos="360" w:leader="none"/>
        </w:tabs>
        <w:bidi w:val="0"/>
        <w:spacing w:before="0" w:after="0"/>
        <w:ind w:left="360" w:right="0" w:hanging="0"/>
        <w:contextualSpacing/>
        <w:jc w:val="left"/>
        <w:textAlignment w:val="auto"/>
        <w:rPr/>
      </w:pPr>
      <w:r>
        <w:rPr>
          <w:sz w:val="22"/>
          <w:szCs w:val="22"/>
          <w:lang w:val="en-US"/>
        </w:rPr>
        <w:t xml:space="preserve">FREUND, R.; IVANOV, S.; VERLAN, S. P Systems with Generalized Multisets Over Totally Ordered Abelian Groups Membrane Computing - 16th International Conference, CMC 2015, Valencia, Spain, August 17-21, 2015. </w:t>
      </w:r>
      <w:hyperlink r:id="rId25">
        <w:r>
          <w:rPr>
            <w:webHidden/>
            <w:rStyle w:val="Style5"/>
            <w:i/>
            <w:sz w:val="22"/>
            <w:szCs w:val="22"/>
          </w:rPr>
          <w:t>Lecture Notes in Computer Science</w:t>
        </w:r>
      </w:hyperlink>
      <w:r>
        <w:rPr>
          <w:i/>
          <w:sz w:val="22"/>
          <w:szCs w:val="22"/>
        </w:rPr>
        <w:t>, 9504, Springer 2015</w:t>
      </w:r>
      <w:r>
        <w:rPr>
          <w:sz w:val="22"/>
          <w:szCs w:val="22"/>
        </w:rPr>
        <w:t xml:space="preserve">, ISBN 978-3-319-28474-3, 117-136. </w:t>
      </w:r>
      <w:r>
        <w:rPr>
          <w:sz w:val="22"/>
          <w:szCs w:val="22"/>
          <w:lang w:val="ro-RO"/>
        </w:rPr>
        <w:t>(</w:t>
      </w:r>
      <w:r>
        <w:rPr>
          <w:sz w:val="22"/>
          <w:szCs w:val="22"/>
        </w:rPr>
        <w:t>IF:0.402</w:t>
      </w:r>
      <w:r>
        <w:rPr>
          <w:sz w:val="22"/>
          <w:szCs w:val="22"/>
          <w:lang w:val="ro-RO"/>
        </w:rPr>
        <w:t>)</w:t>
      </w:r>
    </w:p>
    <w:p>
      <w:pPr>
        <w:pStyle w:val="Normal"/>
        <w:widowControl/>
        <w:bidi w:val="0"/>
        <w:ind w:left="0" w:right="0" w:hanging="0"/>
        <w:jc w:val="left"/>
        <w:textAlignment w:val="auto"/>
        <w:rPr/>
      </w:pPr>
      <w:r>
        <w:rPr>
          <w:rFonts w:cs="Times New Roman CE" w:ascii="Times New Roman CE" w:hAnsi="Times New Roman CE"/>
          <w:b/>
          <w:bCs/>
          <w:i/>
          <w:sz w:val="22"/>
          <w:szCs w:val="22"/>
        </w:rPr>
        <w:t>Lucrări metodico-didactice</w:t>
      </w:r>
    </w:p>
    <w:p>
      <w:pPr>
        <w:pStyle w:val="ListParagraph"/>
        <w:widowControl/>
        <w:numPr>
          <w:ilvl w:val="0"/>
          <w:numId w:val="104"/>
        </w:numPr>
        <w:tabs>
          <w:tab w:val="left" w:pos="360" w:leader="none"/>
        </w:tabs>
        <w:bidi w:val="0"/>
        <w:spacing w:before="0" w:after="0"/>
        <w:ind w:left="360" w:right="0" w:hanging="0"/>
        <w:contextualSpacing/>
        <w:jc w:val="left"/>
        <w:textAlignment w:val="auto"/>
        <w:rPr>
          <w:lang w:val="en-US"/>
        </w:rPr>
      </w:pPr>
      <w:r>
        <w:rPr>
          <w:rFonts w:cs="Times New Roman CE" w:ascii="Times New Roman CE" w:hAnsi="Times New Roman CE"/>
          <w:sz w:val="22"/>
          <w:szCs w:val="22"/>
          <w:lang w:val="en-US"/>
        </w:rPr>
        <w:t xml:space="preserve">BALTAG, V.; CORLAT, A.; EFTODI, I. Matematici Aplicate. Chişinău, UnASM, Biotehdesign, 2016. </w:t>
      </w:r>
      <w:r>
        <w:rPr>
          <w:sz w:val="22"/>
          <w:szCs w:val="22"/>
        </w:rPr>
        <w:t>103 p. ISBN 978-9975-933-94-0.</w:t>
      </w:r>
    </w:p>
    <w:p>
      <w:pPr>
        <w:pStyle w:val="Normal"/>
        <w:widowControl/>
        <w:bidi w:val="0"/>
        <w:spacing w:before="0" w:after="80"/>
        <w:ind w:left="0" w:right="0" w:hanging="0"/>
        <w:jc w:val="both"/>
        <w:textAlignment w:val="auto"/>
        <w:rPr>
          <w:lang w:val="ro-RO"/>
        </w:rPr>
      </w:pPr>
      <w:r>
        <w:rPr>
          <w:rFonts w:cs="Times New Roman CE" w:ascii="Times New Roman CE" w:hAnsi="Times New Roman CE"/>
          <w:b/>
          <w:sz w:val="22"/>
          <w:szCs w:val="22"/>
          <w:lang w:val="ro-RO"/>
        </w:rPr>
        <w:t>Articole din alte reviste editate în străinătate:</w:t>
      </w:r>
    </w:p>
    <w:p>
      <w:pPr>
        <w:pStyle w:val="ListParagraph"/>
        <w:widowControl/>
        <w:numPr>
          <w:ilvl w:val="0"/>
          <w:numId w:val="92"/>
        </w:numPr>
        <w:tabs>
          <w:tab w:val="left" w:pos="360" w:leader="none"/>
        </w:tabs>
        <w:bidi w:val="0"/>
        <w:spacing w:before="0" w:after="0"/>
        <w:ind w:left="360" w:right="0" w:hanging="0"/>
        <w:contextualSpacing/>
        <w:jc w:val="left"/>
        <w:textAlignment w:val="auto"/>
        <w:rPr>
          <w:lang w:val="en-US"/>
        </w:rPr>
      </w:pPr>
      <w:r>
        <w:rPr>
          <w:sz w:val="22"/>
          <w:szCs w:val="22"/>
          <w:lang w:val="en-US"/>
        </w:rPr>
        <w:t xml:space="preserve">ALBU, V. Measuring customer behavior with deep convolutional neural networks. </w:t>
      </w:r>
      <w:r>
        <w:rPr>
          <w:i/>
          <w:sz w:val="22"/>
          <w:szCs w:val="22"/>
          <w:lang w:val="en-US"/>
        </w:rPr>
        <w:t>BRAIN. Broad Research in Artificial Intelligence and Neuroscience. Volume 7, Issue 1</w:t>
      </w:r>
      <w:r>
        <w:rPr>
          <w:sz w:val="22"/>
          <w:szCs w:val="22"/>
          <w:lang w:val="en-US"/>
        </w:rPr>
        <w:t>, 74-70.</w:t>
      </w:r>
    </w:p>
    <w:p>
      <w:pPr>
        <w:pStyle w:val="ListParagraph"/>
        <w:widowControl/>
        <w:numPr>
          <w:ilvl w:val="0"/>
          <w:numId w:val="92"/>
        </w:numPr>
        <w:tabs>
          <w:tab w:val="left" w:pos="360" w:leader="none"/>
        </w:tabs>
        <w:bidi w:val="0"/>
        <w:spacing w:before="0" w:after="0"/>
        <w:ind w:left="360" w:right="0" w:hanging="0"/>
        <w:contextualSpacing/>
        <w:jc w:val="left"/>
        <w:textAlignment w:val="auto"/>
        <w:rPr/>
      </w:pPr>
      <w:r>
        <w:rPr>
          <w:sz w:val="22"/>
          <w:szCs w:val="22"/>
          <w:lang w:val="en-US"/>
        </w:rPr>
        <w:t xml:space="preserve">ALHAZOV, A; FREUND, R.; IVANOV, S. P Systems with Polarizations – Two Polarizations Are Sufficient for Universality.  </w:t>
      </w:r>
      <w:r>
        <w:rPr>
          <w:i/>
          <w:sz w:val="22"/>
          <w:szCs w:val="22"/>
          <w:lang w:val="en-US"/>
        </w:rPr>
        <w:t>Buletin of the International Membrane Computing Society</w:t>
      </w:r>
      <w:r>
        <w:rPr>
          <w:sz w:val="22"/>
          <w:szCs w:val="22"/>
          <w:lang w:val="en-US"/>
        </w:rPr>
        <w:t>, IMCS, Number 1, June 2016, 97-103.</w:t>
      </w:r>
    </w:p>
    <w:p>
      <w:pPr>
        <w:pStyle w:val="ListParagraph"/>
        <w:widowControl/>
        <w:numPr>
          <w:ilvl w:val="0"/>
          <w:numId w:val="92"/>
        </w:numPr>
        <w:tabs>
          <w:tab w:val="left" w:pos="360" w:leader="none"/>
        </w:tabs>
        <w:bidi w:val="0"/>
        <w:spacing w:before="0" w:after="0"/>
        <w:ind w:left="360" w:right="0" w:hanging="0"/>
        <w:contextualSpacing/>
        <w:jc w:val="left"/>
        <w:textAlignment w:val="auto"/>
        <w:rPr/>
      </w:pPr>
      <w:r>
        <w:rPr>
          <w:sz w:val="22"/>
          <w:szCs w:val="22"/>
          <w:lang w:val="en-US"/>
        </w:rPr>
        <w:t xml:space="preserve">ALHAZOV, A; IVANOV, S.; PELZ, E.; VERLAN, S. Small Universal Deterministic Petri Nets with Inhibitor Arcs. </w:t>
      </w:r>
      <w:r>
        <w:rPr>
          <w:i/>
          <w:sz w:val="22"/>
          <w:szCs w:val="22"/>
        </w:rPr>
        <w:t>Journal of Automata, Languages and Combinatorics. Vol. 21(1-2),</w:t>
      </w:r>
      <w:r>
        <w:rPr>
          <w:sz w:val="22"/>
          <w:szCs w:val="22"/>
        </w:rPr>
        <w:t xml:space="preserve"> 2016, pp. 7-26. </w:t>
      </w:r>
    </w:p>
    <w:p>
      <w:pPr>
        <w:pStyle w:val="ListParagraph"/>
        <w:widowControl/>
        <w:numPr>
          <w:ilvl w:val="0"/>
          <w:numId w:val="92"/>
        </w:numPr>
        <w:tabs>
          <w:tab w:val="left" w:pos="360" w:leader="none"/>
        </w:tabs>
        <w:bidi w:val="0"/>
        <w:spacing w:before="0" w:after="0"/>
        <w:ind w:left="360" w:right="0" w:hanging="0"/>
        <w:contextualSpacing/>
        <w:jc w:val="left"/>
        <w:textAlignment w:val="auto"/>
        <w:rPr>
          <w:lang w:val="en-US"/>
        </w:rPr>
      </w:pPr>
      <w:r>
        <w:rPr>
          <w:sz w:val="22"/>
          <w:szCs w:val="22"/>
          <w:lang w:val="en-US"/>
        </w:rPr>
        <w:t xml:space="preserve">IVANOV, S.; VERLAN, S. On the Lower Bounds for Leftist Insertion-Deletion Languages. </w:t>
      </w:r>
      <w:r>
        <w:rPr>
          <w:i/>
          <w:sz w:val="22"/>
          <w:szCs w:val="22"/>
          <w:lang w:val="en-US"/>
        </w:rPr>
        <w:t>Annals of the University of Bucharest (informatics series). Vol. LXII(2),</w:t>
      </w:r>
      <w:r>
        <w:rPr>
          <w:sz w:val="22"/>
          <w:szCs w:val="22"/>
          <w:lang w:val="en-US"/>
        </w:rPr>
        <w:t xml:space="preserve"> 2015, 77-88. </w:t>
      </w:r>
    </w:p>
    <w:p>
      <w:pPr>
        <w:pStyle w:val="ListParagraph"/>
        <w:widowControl/>
        <w:numPr>
          <w:ilvl w:val="0"/>
          <w:numId w:val="92"/>
        </w:numPr>
        <w:tabs>
          <w:tab w:val="left" w:pos="360" w:leader="none"/>
        </w:tabs>
        <w:bidi w:val="0"/>
        <w:spacing w:before="0" w:after="0"/>
        <w:ind w:left="360" w:right="0" w:hanging="0"/>
        <w:contextualSpacing/>
        <w:jc w:val="left"/>
        <w:textAlignment w:val="auto"/>
        <w:rPr/>
      </w:pPr>
      <w:r>
        <w:rPr>
          <w:sz w:val="22"/>
          <w:szCs w:val="22"/>
        </w:rPr>
        <w:t xml:space="preserve">PETIC, M.; DUMBRAVEANU, R.; CHILAT, S. Разработка инструмента для обработки текстов с неоднородной структурой. </w:t>
      </w:r>
      <w:r>
        <w:rPr>
          <w:i/>
          <w:sz w:val="22"/>
          <w:szCs w:val="22"/>
          <w:lang w:val="en-US"/>
        </w:rPr>
        <w:t>Electrotechnic and Computer Systems Journal</w:t>
      </w:r>
      <w:r>
        <w:rPr>
          <w:sz w:val="22"/>
          <w:szCs w:val="22"/>
          <w:lang w:val="en-US"/>
        </w:rPr>
        <w:t xml:space="preserve">, № 23 (99), 2016, Section Artificial Intelligence Systems, 2016, Odessa, </w:t>
      </w:r>
      <w:hyperlink r:id="rId26">
        <w:r>
          <w:rPr>
            <w:webHidden/>
            <w:rStyle w:val="Style5"/>
            <w:sz w:val="22"/>
            <w:szCs w:val="22"/>
            <w:lang w:val="en-US"/>
          </w:rPr>
          <w:t>http://www.etks.opu.ua/?fetch=articles&amp;with=info&amp;id=839</w:t>
        </w:r>
      </w:hyperlink>
      <w:r>
        <w:rPr>
          <w:sz w:val="22"/>
          <w:szCs w:val="22"/>
          <w:lang w:val="en-US"/>
        </w:rPr>
        <w:t>, 79-82.</w:t>
      </w:r>
    </w:p>
    <w:p>
      <w:pPr>
        <w:pStyle w:val="Normal"/>
        <w:widowControl/>
        <w:bidi w:val="0"/>
        <w:ind w:left="0" w:right="0" w:hanging="0"/>
        <w:jc w:val="both"/>
        <w:textAlignment w:val="auto"/>
        <w:rPr>
          <w:lang w:val="ro-RO"/>
        </w:rPr>
      </w:pPr>
      <w:r>
        <w:rPr>
          <w:rFonts w:cs="Times New Roman CE" w:ascii="Times New Roman CE" w:hAnsi="Times New Roman CE"/>
          <w:b/>
          <w:i/>
          <w:sz w:val="22"/>
          <w:szCs w:val="22"/>
          <w:lang w:val="ro-RO"/>
        </w:rPr>
        <w:t>Articole în reviste naţionale categoria B</w:t>
      </w:r>
      <w:r>
        <w:rPr>
          <w:b/>
          <w:i/>
          <w:sz w:val="22"/>
          <w:szCs w:val="22"/>
          <w:vertAlign w:val="superscript"/>
          <w:lang w:val="ro-RO"/>
        </w:rPr>
        <w:t>+</w:t>
      </w:r>
    </w:p>
    <w:p>
      <w:pPr>
        <w:pStyle w:val="ListParagraph"/>
        <w:widowControl/>
        <w:numPr>
          <w:ilvl w:val="0"/>
          <w:numId w:val="93"/>
        </w:numPr>
        <w:tabs>
          <w:tab w:val="left" w:pos="360" w:leader="none"/>
        </w:tabs>
        <w:bidi w:val="0"/>
        <w:spacing w:before="0" w:after="0"/>
        <w:ind w:left="360" w:right="0" w:hanging="0"/>
        <w:contextualSpacing/>
        <w:jc w:val="left"/>
        <w:textAlignment w:val="auto"/>
        <w:rPr>
          <w:lang w:val="en-US"/>
        </w:rPr>
      </w:pPr>
      <w:r>
        <w:rPr>
          <w:sz w:val="22"/>
          <w:szCs w:val="22"/>
          <w:lang w:val="en-US"/>
        </w:rPr>
        <w:t xml:space="preserve">COJOCARU, S.; COLESNICOV,A.; MALAHOV, L.; BUMBU, T. Optical Character Recognition Applied to Romanian Printed Texts of the 18th-20th Century. </w:t>
      </w:r>
      <w:r>
        <w:rPr>
          <w:i/>
          <w:sz w:val="22"/>
          <w:szCs w:val="22"/>
          <w:lang w:val="en-US"/>
        </w:rPr>
        <w:t xml:space="preserve"> </w:t>
      </w:r>
      <w:r>
        <w:rPr>
          <w:i/>
          <w:sz w:val="22"/>
          <w:szCs w:val="22"/>
        </w:rPr>
        <w:t>Computer Science Journal of Moldova vol.24, no.1(70)</w:t>
      </w:r>
      <w:r>
        <w:rPr>
          <w:sz w:val="22"/>
          <w:szCs w:val="22"/>
        </w:rPr>
        <w:t>, 2016, 106-117.</w:t>
      </w:r>
    </w:p>
    <w:p>
      <w:pPr>
        <w:pStyle w:val="ListParagraph"/>
        <w:widowControl/>
        <w:numPr>
          <w:ilvl w:val="0"/>
          <w:numId w:val="93"/>
        </w:numPr>
        <w:tabs>
          <w:tab w:val="left" w:pos="360" w:leader="none"/>
        </w:tabs>
        <w:bidi w:val="0"/>
        <w:spacing w:before="0" w:after="0"/>
        <w:ind w:left="360" w:right="0" w:hanging="0"/>
        <w:contextualSpacing/>
        <w:jc w:val="left"/>
        <w:textAlignment w:val="auto"/>
        <w:rPr>
          <w:lang w:val="en-US"/>
        </w:rPr>
      </w:pPr>
      <w:r>
        <w:rPr>
          <w:sz w:val="22"/>
          <w:szCs w:val="22"/>
          <w:lang w:val="en-US"/>
        </w:rPr>
        <w:t xml:space="preserve">COJOCARU, S.; GAINDRIC, C.; SECRIERU, IU.; PUIU, S.; POPCOVA, O. Multilayered Knowledge Base for Triage Task in Mass Casualty Situations. </w:t>
      </w:r>
      <w:r>
        <w:rPr>
          <w:i/>
          <w:sz w:val="22"/>
          <w:szCs w:val="22"/>
        </w:rPr>
        <w:t>Computer Science Journal of Moldova, vol.24, no.2(71</w:t>
      </w:r>
      <w:r>
        <w:rPr>
          <w:sz w:val="22"/>
          <w:szCs w:val="22"/>
        </w:rPr>
        <w:t>), 2016,  202-212, ISSN 1561-4042</w:t>
      </w:r>
    </w:p>
    <w:p>
      <w:pPr>
        <w:pStyle w:val="Normal"/>
        <w:widowControl/>
        <w:bidi w:val="0"/>
        <w:ind w:left="0" w:right="0" w:hanging="0"/>
        <w:jc w:val="both"/>
        <w:textAlignment w:val="auto"/>
        <w:rPr>
          <w:lang w:val="ro-RO"/>
        </w:rPr>
      </w:pPr>
      <w:r>
        <w:rPr>
          <w:b/>
          <w:i/>
          <w:sz w:val="22"/>
          <w:szCs w:val="22"/>
          <w:lang w:val="ro-RO"/>
        </w:rPr>
        <w:t>Articol</w:t>
      </w:r>
      <w:r>
        <w:rPr>
          <w:rFonts w:cs="Times New Roman CE" w:ascii="Times New Roman CE" w:hAnsi="Times New Roman CE"/>
          <w:b/>
          <w:i/>
          <w:sz w:val="22"/>
          <w:szCs w:val="22"/>
          <w:lang w:val="ro-RO"/>
        </w:rPr>
        <w:t>e în reviste naţionale categoria B</w:t>
      </w:r>
    </w:p>
    <w:p>
      <w:pPr>
        <w:pStyle w:val="ListParagraph"/>
        <w:widowControl/>
        <w:numPr>
          <w:ilvl w:val="0"/>
          <w:numId w:val="105"/>
        </w:numPr>
        <w:tabs>
          <w:tab w:val="left" w:pos="360" w:leader="none"/>
        </w:tabs>
        <w:bidi w:val="0"/>
        <w:spacing w:before="0" w:after="0"/>
        <w:ind w:left="360" w:right="0" w:hanging="0"/>
        <w:contextualSpacing/>
        <w:jc w:val="left"/>
        <w:textAlignment w:val="auto"/>
        <w:rPr>
          <w:lang w:val="en-US"/>
        </w:rPr>
      </w:pPr>
      <w:r>
        <w:rPr>
          <w:sz w:val="22"/>
          <w:szCs w:val="22"/>
          <w:lang w:val="en-US"/>
        </w:rPr>
        <w:t xml:space="preserve">TAMBALA, C.; SECRIERU, Iu. Portal hemodynamics disorders severity in liver cirrhosis  assessment by duplex ultrasound. </w:t>
      </w:r>
      <w:r>
        <w:rPr>
          <w:i/>
          <w:sz w:val="22"/>
          <w:szCs w:val="22"/>
          <w:lang w:val="en-US"/>
        </w:rPr>
        <w:t>Scientific medical journal “Curierul medical”, Vol.59, No. 1</w:t>
      </w:r>
      <w:r>
        <w:rPr>
          <w:sz w:val="22"/>
          <w:szCs w:val="22"/>
          <w:lang w:val="en-US"/>
        </w:rPr>
        <w:t>, 2016, Chisinau, Moldova, 37-40, ISSN 1857-0666</w:t>
      </w:r>
    </w:p>
    <w:p>
      <w:pPr>
        <w:pStyle w:val="Normal"/>
        <w:widowControl/>
        <w:bidi w:val="0"/>
        <w:ind w:left="0" w:right="0" w:hanging="0"/>
        <w:jc w:val="both"/>
        <w:textAlignment w:val="auto"/>
        <w:rPr>
          <w:lang w:val="ro-RO"/>
        </w:rPr>
      </w:pPr>
      <w:r>
        <w:rPr>
          <w:rFonts w:cs="Times New Roman CE" w:ascii="Times New Roman CE" w:hAnsi="Times New Roman CE"/>
          <w:b/>
          <w:i/>
          <w:sz w:val="22"/>
          <w:szCs w:val="22"/>
          <w:lang w:val="ro-RO"/>
        </w:rPr>
        <w:t>Articole în culegeri interna</w:t>
      </w:r>
      <w:r>
        <w:rPr>
          <w:rFonts w:cs="Cambria Math" w:ascii="Cambria Math" w:hAnsi="Cambria Math"/>
          <w:b/>
          <w:i/>
          <w:sz w:val="22"/>
          <w:szCs w:val="22"/>
          <w:lang w:val="ro-RO"/>
        </w:rPr>
        <w:t>ț</w:t>
      </w:r>
      <w:r>
        <w:rPr>
          <w:b/>
          <w:i/>
          <w:sz w:val="22"/>
          <w:szCs w:val="22"/>
          <w:lang w:val="ro-RO"/>
        </w:rPr>
        <w:t>ionale</w:t>
      </w:r>
    </w:p>
    <w:p>
      <w:pPr>
        <w:pStyle w:val="ListParagraph"/>
        <w:widowControl/>
        <w:numPr>
          <w:ilvl w:val="0"/>
          <w:numId w:val="94"/>
        </w:numPr>
        <w:tabs>
          <w:tab w:val="left" w:pos="360" w:leader="none"/>
        </w:tabs>
        <w:bidi w:val="0"/>
        <w:spacing w:before="0" w:after="0"/>
        <w:ind w:left="360" w:right="0" w:hanging="0"/>
        <w:contextualSpacing/>
        <w:jc w:val="left"/>
        <w:textAlignment w:val="auto"/>
        <w:rPr>
          <w:lang w:val="en-US"/>
        </w:rPr>
      </w:pPr>
      <w:r>
        <w:rPr>
          <w:sz w:val="22"/>
          <w:szCs w:val="22"/>
          <w:lang w:val="en-US"/>
        </w:rPr>
        <w:t xml:space="preserve">ALHAZOV, A; AMAN, B.; FREUND, R.; IVANOV, S. Simulating R Systems by P Systems. </w:t>
      </w:r>
      <w:r>
        <w:rPr>
          <w:i/>
          <w:sz w:val="22"/>
          <w:szCs w:val="22"/>
          <w:lang w:val="en-US"/>
        </w:rPr>
        <w:t>In: Proceedings of the 17 International Conference on Membrane Computing (CMC17), Milan</w:t>
      </w:r>
      <w:r>
        <w:rPr>
          <w:sz w:val="22"/>
          <w:szCs w:val="22"/>
          <w:lang w:val="en-US"/>
        </w:rPr>
        <w:t xml:space="preserve">, 25-29 July, 2016, 13-26. </w:t>
      </w:r>
    </w:p>
    <w:p>
      <w:pPr>
        <w:pStyle w:val="ListParagraph"/>
        <w:widowControl/>
        <w:numPr>
          <w:ilvl w:val="0"/>
          <w:numId w:val="94"/>
        </w:numPr>
        <w:tabs>
          <w:tab w:val="left" w:pos="360" w:leader="none"/>
        </w:tabs>
        <w:bidi w:val="0"/>
        <w:spacing w:before="0" w:after="0"/>
        <w:ind w:left="360" w:right="0" w:hanging="0"/>
        <w:contextualSpacing/>
        <w:jc w:val="left"/>
        <w:textAlignment w:val="auto"/>
        <w:rPr/>
      </w:pPr>
      <w:r>
        <w:rPr>
          <w:sz w:val="22"/>
          <w:szCs w:val="22"/>
          <w:lang w:val="en-US"/>
        </w:rPr>
        <w:t xml:space="preserve">ALHAZOV, A; AMAN, B.; FREUND, R.; IVANOV, S. </w:t>
      </w:r>
      <w:hyperlink r:id="rId27">
        <w:r>
          <w:rPr>
            <w:webHidden/>
            <w:rStyle w:val="Style5"/>
            <w:sz w:val="22"/>
            <w:szCs w:val="22"/>
            <w:lang w:val="en-US"/>
          </w:rPr>
          <w:t>Complexity of simulating R systems by P systems</w:t>
        </w:r>
      </w:hyperlink>
      <w:r>
        <w:rPr>
          <w:sz w:val="22"/>
          <w:szCs w:val="22"/>
          <w:lang w:val="en-US"/>
        </w:rPr>
        <w:t xml:space="preserve">. </w:t>
      </w:r>
      <w:r>
        <w:rPr>
          <w:i/>
          <w:sz w:val="22"/>
          <w:szCs w:val="22"/>
          <w:lang w:val="en-US"/>
        </w:rPr>
        <w:t>In: Proceedings of the 14th Brainstorming Week on Membrane Computing, Sevilla (Spain),</w:t>
      </w:r>
      <w:r>
        <w:rPr>
          <w:sz w:val="22"/>
          <w:szCs w:val="22"/>
          <w:lang w:val="en-US"/>
        </w:rPr>
        <w:t xml:space="preserve"> February 1-5, 2016, 1-14.</w:t>
      </w:r>
    </w:p>
    <w:p>
      <w:pPr>
        <w:pStyle w:val="ListParagraph"/>
        <w:widowControl/>
        <w:numPr>
          <w:ilvl w:val="0"/>
          <w:numId w:val="94"/>
        </w:numPr>
        <w:tabs>
          <w:tab w:val="left" w:pos="360" w:leader="none"/>
        </w:tabs>
        <w:bidi w:val="0"/>
        <w:spacing w:before="0" w:after="0"/>
        <w:ind w:left="360" w:right="0" w:hanging="0"/>
        <w:contextualSpacing/>
        <w:jc w:val="left"/>
        <w:textAlignment w:val="auto"/>
        <w:rPr/>
      </w:pPr>
      <w:r>
        <w:rPr>
          <w:sz w:val="22"/>
          <w:szCs w:val="22"/>
          <w:lang w:val="en-US"/>
        </w:rPr>
        <w:t xml:space="preserve">ALHAZOV, A; OMAR BELINGHERI, O.; FREUND, R.; IVANOV, S.; PORRECA, A. E.; ZANDRON, C. Purely Catalytic P Systems over Integers and Their Generative Power. </w:t>
      </w:r>
      <w:r>
        <w:rPr>
          <w:i/>
          <w:sz w:val="22"/>
          <w:szCs w:val="22"/>
          <w:lang w:val="en-US"/>
        </w:rPr>
        <w:t>In: Proceedings of the 17 International Conference on Membrane Computing (CMC17), Milan</w:t>
      </w:r>
      <w:r>
        <w:rPr>
          <w:sz w:val="22"/>
          <w:szCs w:val="22"/>
          <w:lang w:val="en-US"/>
        </w:rPr>
        <w:t xml:space="preserve">, 25-29 July, 2016, 27-38. </w:t>
      </w:r>
    </w:p>
    <w:p>
      <w:pPr>
        <w:pStyle w:val="ListParagraph"/>
        <w:widowControl/>
        <w:numPr>
          <w:ilvl w:val="0"/>
          <w:numId w:val="94"/>
        </w:numPr>
        <w:tabs>
          <w:tab w:val="left" w:pos="360" w:leader="none"/>
        </w:tabs>
        <w:bidi w:val="0"/>
        <w:spacing w:before="0" w:after="0"/>
        <w:ind w:left="360" w:right="0" w:hanging="0"/>
        <w:contextualSpacing/>
        <w:jc w:val="left"/>
        <w:textAlignment w:val="auto"/>
        <w:rPr/>
      </w:pPr>
      <w:r>
        <w:rPr>
          <w:sz w:val="22"/>
          <w:szCs w:val="22"/>
          <w:lang w:val="en-US"/>
        </w:rPr>
        <w:t xml:space="preserve">ALHAZOV, A; BELINGHERI, O.; FREUND, R.; IVANOV, S.; PORRECA, A. E.; ZANDRON, C. Purely catalytic P systems over integers and their generative power. </w:t>
      </w:r>
      <w:r>
        <w:rPr>
          <w:i/>
          <w:sz w:val="22"/>
          <w:szCs w:val="22"/>
          <w:lang w:val="en-US"/>
        </w:rPr>
        <w:t>In: Proceedings of the 14th Brainstorming Week on Membrane Computing, Sevilla (Spain),</w:t>
      </w:r>
      <w:r>
        <w:rPr>
          <w:sz w:val="22"/>
          <w:szCs w:val="22"/>
          <w:lang w:val="en-US"/>
        </w:rPr>
        <w:t xml:space="preserve"> February 1-5, 2016, 15-26.</w:t>
      </w:r>
    </w:p>
    <w:p>
      <w:pPr>
        <w:pStyle w:val="ListParagraph"/>
        <w:widowControl/>
        <w:numPr>
          <w:ilvl w:val="0"/>
          <w:numId w:val="94"/>
        </w:numPr>
        <w:tabs>
          <w:tab w:val="left" w:pos="360" w:leader="none"/>
        </w:tabs>
        <w:bidi w:val="0"/>
        <w:spacing w:before="0" w:after="0"/>
        <w:ind w:left="360" w:right="0" w:hanging="0"/>
        <w:contextualSpacing/>
        <w:jc w:val="left"/>
        <w:textAlignment w:val="auto"/>
        <w:rPr/>
      </w:pPr>
      <w:r>
        <w:rPr>
          <w:sz w:val="22"/>
          <w:szCs w:val="22"/>
          <w:lang w:val="en-US"/>
        </w:rPr>
        <w:t xml:space="preserve">ALHAZOV, A; BELINGHERI, O.; FREUND, R.; IVANOV, S.; PORRECA, A. E.; ZANDRON, C. Semilinear Sets, Register Machines, and Integer Vector Addition (P) Systems. </w:t>
      </w:r>
      <w:r>
        <w:rPr>
          <w:i/>
          <w:sz w:val="22"/>
          <w:szCs w:val="22"/>
          <w:lang w:val="en-US"/>
        </w:rPr>
        <w:t>In: Proceedings of the 17 International Conference on Membrane Computing (CMC17), Milan</w:t>
      </w:r>
      <w:r>
        <w:rPr>
          <w:sz w:val="22"/>
          <w:szCs w:val="22"/>
          <w:lang w:val="en-US"/>
        </w:rPr>
        <w:t>, 25-29 July, 2016, 39-55.</w:t>
      </w:r>
    </w:p>
    <w:p>
      <w:pPr>
        <w:pStyle w:val="ListParagraph"/>
        <w:widowControl/>
        <w:numPr>
          <w:ilvl w:val="0"/>
          <w:numId w:val="94"/>
        </w:numPr>
        <w:tabs>
          <w:tab w:val="left" w:pos="360" w:leader="none"/>
        </w:tabs>
        <w:bidi w:val="0"/>
        <w:spacing w:before="0" w:after="0"/>
        <w:ind w:left="360" w:right="0" w:hanging="0"/>
        <w:contextualSpacing/>
        <w:jc w:val="left"/>
        <w:textAlignment w:val="auto"/>
        <w:rPr/>
      </w:pPr>
      <w:r>
        <w:rPr>
          <w:sz w:val="22"/>
          <w:szCs w:val="22"/>
          <w:lang w:val="en-US"/>
        </w:rPr>
        <w:t xml:space="preserve">ALHAZOV, A; BELINGHERI, O.; FREUND, R.; IVANOV, S.; PORRECA, A. E.; ZANDRON, C. Semilinear Sets, Register Machines, and Integer Vector Addition (P) Systems. </w:t>
      </w:r>
      <w:r>
        <w:rPr>
          <w:i/>
          <w:sz w:val="22"/>
          <w:szCs w:val="22"/>
          <w:lang w:val="en-US"/>
        </w:rPr>
        <w:t>In: Proceedings of the 14th Brainstorming Week on Membrane Computing, Sevilla (Spain)</w:t>
      </w:r>
      <w:r>
        <w:rPr>
          <w:sz w:val="22"/>
          <w:szCs w:val="22"/>
          <w:lang w:val="en-US"/>
        </w:rPr>
        <w:t>, February 1-5, 2016, 27-42.</w:t>
      </w:r>
    </w:p>
    <w:p>
      <w:pPr>
        <w:pStyle w:val="ListParagraph"/>
        <w:widowControl/>
        <w:numPr>
          <w:ilvl w:val="0"/>
          <w:numId w:val="94"/>
        </w:numPr>
        <w:tabs>
          <w:tab w:val="left" w:pos="360" w:leader="none"/>
        </w:tabs>
        <w:bidi w:val="0"/>
        <w:spacing w:before="0" w:after="0"/>
        <w:ind w:left="360" w:right="0" w:hanging="0"/>
        <w:contextualSpacing/>
        <w:jc w:val="left"/>
        <w:textAlignment w:val="auto"/>
        <w:rPr/>
      </w:pPr>
      <w:r>
        <w:rPr>
          <w:sz w:val="22"/>
          <w:szCs w:val="22"/>
          <w:lang w:val="en-US"/>
        </w:rPr>
        <w:t xml:space="preserve">ALHAZOV, A; FREUND, R.; IVANOV, S. Extended Spiking Neural P Systems with States. </w:t>
      </w:r>
      <w:r>
        <w:rPr>
          <w:i/>
          <w:sz w:val="22"/>
          <w:szCs w:val="22"/>
          <w:lang w:val="en-US"/>
        </w:rPr>
        <w:t>In: The University of Bradford Institutional Repository,</w:t>
      </w:r>
      <w:r>
        <w:rPr>
          <w:sz w:val="22"/>
          <w:szCs w:val="22"/>
          <w:lang w:val="en-US"/>
        </w:rPr>
        <w:t xml:space="preserve"> </w:t>
      </w:r>
      <w:hyperlink r:id="rId28">
        <w:r>
          <w:rPr>
            <w:webHidden/>
            <w:rStyle w:val="Style5"/>
            <w:sz w:val="22"/>
            <w:szCs w:val="22"/>
            <w:lang w:val="en-US"/>
          </w:rPr>
          <w:t>http://bradscholars.brad.ac.uk</w:t>
        </w:r>
      </w:hyperlink>
      <w:r>
        <w:rPr>
          <w:sz w:val="22"/>
          <w:szCs w:val="22"/>
          <w:lang w:val="en-US"/>
        </w:rPr>
        <w:t>, 42-54.</w:t>
      </w:r>
    </w:p>
    <w:p>
      <w:pPr>
        <w:pStyle w:val="ListParagraph"/>
        <w:widowControl/>
        <w:numPr>
          <w:ilvl w:val="0"/>
          <w:numId w:val="94"/>
        </w:numPr>
        <w:tabs>
          <w:tab w:val="left" w:pos="360" w:leader="none"/>
        </w:tabs>
        <w:bidi w:val="0"/>
        <w:spacing w:before="0" w:after="0"/>
        <w:ind w:left="360" w:right="0" w:hanging="0"/>
        <w:contextualSpacing/>
        <w:jc w:val="left"/>
        <w:textAlignment w:val="auto"/>
        <w:rPr/>
      </w:pPr>
      <w:r>
        <w:rPr>
          <w:sz w:val="22"/>
          <w:szCs w:val="22"/>
          <w:lang w:val="en-US"/>
        </w:rPr>
        <w:t xml:space="preserve">ALHAZOV, A; FREUND, R.; IVANOV, S. Extended SNP systems with states. </w:t>
      </w:r>
      <w:r>
        <w:rPr>
          <w:i/>
          <w:sz w:val="22"/>
          <w:szCs w:val="22"/>
          <w:lang w:val="en-US"/>
        </w:rPr>
        <w:t>In: Proceedings of the 14th Brainstorming Week on Membrane Computing, Sevilla (Spain)</w:t>
      </w:r>
      <w:r>
        <w:rPr>
          <w:sz w:val="22"/>
          <w:szCs w:val="22"/>
          <w:lang w:val="en-US"/>
        </w:rPr>
        <w:t>, February 1-5, 2016, 43-58.</w:t>
      </w:r>
    </w:p>
    <w:p>
      <w:pPr>
        <w:pStyle w:val="ListParagraph"/>
        <w:widowControl/>
        <w:numPr>
          <w:ilvl w:val="0"/>
          <w:numId w:val="94"/>
        </w:numPr>
        <w:tabs>
          <w:tab w:val="left" w:pos="360" w:leader="none"/>
        </w:tabs>
        <w:bidi w:val="0"/>
        <w:spacing w:before="0" w:after="0"/>
        <w:ind w:left="360" w:right="0" w:hanging="0"/>
        <w:contextualSpacing/>
        <w:jc w:val="left"/>
        <w:textAlignment w:val="auto"/>
        <w:rPr/>
      </w:pPr>
      <w:r>
        <w:rPr>
          <w:sz w:val="22"/>
          <w:szCs w:val="22"/>
          <w:lang w:val="en-US"/>
        </w:rPr>
        <w:t xml:space="preserve">ALHAZOV, A; FREUND, R.; VERLAN, S. Maximal Variants of the Set Derivation Mode. </w:t>
      </w:r>
      <w:r>
        <w:rPr>
          <w:i/>
          <w:sz w:val="22"/>
          <w:szCs w:val="22"/>
          <w:lang w:val="en-US"/>
        </w:rPr>
        <w:t>In: Proceedings of the 17 International Conference on Membrane Computing (CMC17)</w:t>
      </w:r>
      <w:r>
        <w:rPr>
          <w:sz w:val="22"/>
          <w:szCs w:val="22"/>
          <w:lang w:val="en-US"/>
        </w:rPr>
        <w:t>, Milan, 25-29 July, 2016, 57- 72.</w:t>
      </w:r>
    </w:p>
    <w:p>
      <w:pPr>
        <w:pStyle w:val="ListParagraph"/>
        <w:widowControl/>
        <w:numPr>
          <w:ilvl w:val="0"/>
          <w:numId w:val="94"/>
        </w:numPr>
        <w:tabs>
          <w:tab w:val="left" w:pos="360" w:leader="none"/>
        </w:tabs>
        <w:bidi w:val="0"/>
        <w:spacing w:before="0" w:after="0"/>
        <w:ind w:left="360" w:right="0" w:hanging="0"/>
        <w:contextualSpacing/>
        <w:jc w:val="left"/>
        <w:textAlignment w:val="auto"/>
        <w:rPr/>
      </w:pPr>
      <w:r>
        <w:rPr>
          <w:sz w:val="22"/>
          <w:szCs w:val="22"/>
          <w:lang w:val="en-US"/>
        </w:rPr>
        <w:t xml:space="preserve">ALHAZOV, A; FREUND, R.; VERLAN, S. Computational completeness of P systems using maximal variants of the Set derivation mode. </w:t>
      </w:r>
      <w:r>
        <w:rPr>
          <w:i/>
          <w:sz w:val="22"/>
          <w:szCs w:val="22"/>
          <w:lang w:val="en-US"/>
        </w:rPr>
        <w:t>In: Proceedings of the 14th Brainstorming Week on Membrane Computing, Sevilla</w:t>
      </w:r>
      <w:r>
        <w:rPr>
          <w:sz w:val="22"/>
          <w:szCs w:val="22"/>
          <w:lang w:val="en-US"/>
        </w:rPr>
        <w:t xml:space="preserve"> (Spain), February 1-5, 2016, 59-84.</w:t>
      </w:r>
    </w:p>
    <w:p>
      <w:pPr>
        <w:pStyle w:val="ListParagraph"/>
        <w:widowControl/>
        <w:numPr>
          <w:ilvl w:val="0"/>
          <w:numId w:val="94"/>
        </w:numPr>
        <w:tabs>
          <w:tab w:val="left" w:pos="360" w:leader="none"/>
        </w:tabs>
        <w:bidi w:val="0"/>
        <w:spacing w:before="0" w:after="0"/>
        <w:ind w:left="360" w:right="0" w:hanging="0"/>
        <w:contextualSpacing/>
        <w:jc w:val="left"/>
        <w:textAlignment w:val="auto"/>
        <w:rPr/>
      </w:pPr>
      <w:r>
        <w:rPr>
          <w:sz w:val="22"/>
          <w:szCs w:val="22"/>
          <w:lang w:val="en-US"/>
        </w:rPr>
        <w:t xml:space="preserve">BOBICEV ,V.; BUMBU, T.; LAZU, V.; MAXIM, V.; ISTRATI, D. Folk poetry for computers: moldovan codri’s ballads parsing. </w:t>
      </w:r>
      <w:r>
        <w:rPr>
          <w:i/>
          <w:sz w:val="22"/>
          <w:szCs w:val="22"/>
          <w:lang w:val="en-US"/>
        </w:rPr>
        <w:t xml:space="preserve">In: Proceedings of the 12th International Conference Linguistic Resources and Tools for Processing The Romanian Language, </w:t>
      </w:r>
      <w:hyperlink r:id="rId29">
        <w:r>
          <w:rPr>
            <w:webHidden/>
            <w:rStyle w:val="Style5"/>
            <w:i/>
            <w:sz w:val="22"/>
            <w:szCs w:val="22"/>
            <w:lang w:val="en-US"/>
          </w:rPr>
          <w:t>ConsILR-2016 Program</w:t>
        </w:r>
      </w:hyperlink>
      <w:r>
        <w:rPr>
          <w:rFonts w:cs="Times New Roman CE" w:ascii="Times New Roman CE" w:hAnsi="Times New Roman CE"/>
          <w:sz w:val="22"/>
          <w:szCs w:val="22"/>
          <w:lang w:val="en-US"/>
        </w:rPr>
        <w:t>, 27-29 Oct. 2016, Mălini, România,</w:t>
      </w:r>
      <w:r>
        <w:rPr>
          <w:sz w:val="22"/>
          <w:szCs w:val="22"/>
          <w:lang w:val="en-US"/>
        </w:rPr>
        <w:t xml:space="preserve"> 39-50.</w:t>
      </w:r>
    </w:p>
    <w:p>
      <w:pPr>
        <w:pStyle w:val="ListParagraph"/>
        <w:widowControl/>
        <w:numPr>
          <w:ilvl w:val="0"/>
          <w:numId w:val="94"/>
        </w:numPr>
        <w:tabs>
          <w:tab w:val="left" w:pos="360" w:leader="none"/>
        </w:tabs>
        <w:bidi w:val="0"/>
        <w:spacing w:before="0" w:after="0"/>
        <w:ind w:left="360" w:right="0" w:hanging="0"/>
        <w:contextualSpacing/>
        <w:jc w:val="left"/>
        <w:textAlignment w:val="auto"/>
        <w:rPr/>
      </w:pPr>
      <w:r>
        <w:rPr>
          <w:sz w:val="22"/>
          <w:szCs w:val="22"/>
          <w:lang w:val="en-US"/>
        </w:rPr>
        <w:t xml:space="preserve">BOGATENCOV P., RUSU, O., SECRIERU, G., </w:t>
      </w:r>
      <w:r>
        <w:rPr>
          <w:rFonts w:cs="Times New Roman CE" w:ascii="Times New Roman CE" w:hAnsi="Times New Roman CE"/>
          <w:sz w:val="22"/>
          <w:szCs w:val="22"/>
          <w:lang w:val="ro-RO"/>
        </w:rPr>
        <w:t>ROŞCA</w:t>
      </w:r>
      <w:r>
        <w:rPr>
          <w:sz w:val="22"/>
          <w:szCs w:val="22"/>
          <w:lang w:val="en-US"/>
        </w:rPr>
        <w:t xml:space="preserve">, P. RENAM – RoEduNet – GEANT gateway: approaches for connectivity development. Networking in Education and Research, </w:t>
      </w:r>
      <w:r>
        <w:rPr>
          <w:i/>
          <w:sz w:val="22"/>
          <w:szCs w:val="22"/>
          <w:lang w:val="en-US"/>
        </w:rPr>
        <w:t>In: Proceedings of the 15th RoEduNet IEEE International Conference</w:t>
      </w:r>
      <w:r>
        <w:rPr>
          <w:sz w:val="22"/>
          <w:szCs w:val="22"/>
          <w:lang w:val="en-US"/>
        </w:rPr>
        <w:t>, Bucharest, Romania, 7-9 September 2016,  82-87. ISSN 2068-1038</w:t>
      </w:r>
    </w:p>
    <w:p>
      <w:pPr>
        <w:pStyle w:val="ListParagraph"/>
        <w:widowControl/>
        <w:numPr>
          <w:ilvl w:val="0"/>
          <w:numId w:val="94"/>
        </w:numPr>
        <w:tabs>
          <w:tab w:val="left" w:pos="360" w:leader="none"/>
        </w:tabs>
        <w:bidi w:val="0"/>
        <w:spacing w:before="0" w:after="0"/>
        <w:ind w:left="360" w:right="0" w:hanging="0"/>
        <w:contextualSpacing/>
        <w:jc w:val="left"/>
        <w:textAlignment w:val="auto"/>
        <w:rPr>
          <w:lang w:val="en-US"/>
        </w:rPr>
      </w:pPr>
      <w:r>
        <w:rPr>
          <w:sz w:val="22"/>
          <w:szCs w:val="22"/>
          <w:lang w:val="en-US"/>
        </w:rPr>
        <w:t xml:space="preserve">BOGATENCOV, P., SECRIERU, G., P. DEGTEARIOV, N., ILIUHA N., Scientific Computing Infrastructure and Services in Moldova. </w:t>
      </w:r>
      <w:r>
        <w:rPr>
          <w:i/>
          <w:sz w:val="22"/>
          <w:szCs w:val="22"/>
          <w:lang w:val="en-US"/>
        </w:rPr>
        <w:t>In:  Proceedings of the XXV Symposium on Nuclear Electronics and Computing - NEC'2015</w:t>
      </w:r>
      <w:r>
        <w:rPr>
          <w:sz w:val="22"/>
          <w:szCs w:val="22"/>
          <w:lang w:val="en-US"/>
        </w:rPr>
        <w:t>, 28 September – 02 October, 2015, Budva , Montenegro, 2016, published by Pleiades Publishing, Delaware, USA, 2016.</w:t>
      </w:r>
    </w:p>
    <w:p>
      <w:pPr>
        <w:pStyle w:val="ListParagraph"/>
        <w:widowControl/>
        <w:numPr>
          <w:ilvl w:val="0"/>
          <w:numId w:val="94"/>
        </w:numPr>
        <w:tabs>
          <w:tab w:val="left" w:pos="360" w:leader="none"/>
        </w:tabs>
        <w:bidi w:val="0"/>
        <w:spacing w:before="0" w:after="0"/>
        <w:ind w:left="360" w:right="0" w:hanging="0"/>
        <w:contextualSpacing/>
        <w:jc w:val="left"/>
        <w:textAlignment w:val="auto"/>
        <w:rPr/>
      </w:pPr>
      <w:r>
        <w:rPr>
          <w:sz w:val="22"/>
          <w:szCs w:val="22"/>
          <w:lang w:val="en-US"/>
        </w:rPr>
        <w:t xml:space="preserve">COJOCARU S., PETIC M., TITCHIEV I., ”Adapting Tools for Text Monitoring and for Scenario Analysis Related to the Field of Social Disasters”. </w:t>
      </w:r>
      <w:r>
        <w:rPr>
          <w:i/>
          <w:sz w:val="22"/>
          <w:szCs w:val="22"/>
          <w:lang w:val="en-US"/>
        </w:rPr>
        <w:t>In: Proceedings of The 18th International Conference on Computer Science and Electrical Engineering (ICCSEE 2016)</w:t>
      </w:r>
      <w:r>
        <w:rPr>
          <w:sz w:val="22"/>
          <w:szCs w:val="22"/>
          <w:lang w:val="en-US"/>
        </w:rPr>
        <w:t>, October 6-7, 2016, Prague, Czech Republic,  886-892.</w:t>
      </w:r>
    </w:p>
    <w:p>
      <w:pPr>
        <w:pStyle w:val="ListParagraph"/>
        <w:widowControl/>
        <w:numPr>
          <w:ilvl w:val="0"/>
          <w:numId w:val="94"/>
        </w:numPr>
        <w:tabs>
          <w:tab w:val="left" w:pos="360" w:leader="none"/>
        </w:tabs>
        <w:bidi w:val="0"/>
        <w:spacing w:before="0" w:after="0"/>
        <w:ind w:left="360" w:right="0" w:hanging="0"/>
        <w:contextualSpacing/>
        <w:jc w:val="both"/>
        <w:textAlignment w:val="auto"/>
        <w:rPr>
          <w:lang w:val="en-US"/>
        </w:rPr>
      </w:pPr>
      <w:r>
        <w:rPr>
          <w:sz w:val="22"/>
          <w:szCs w:val="22"/>
          <w:lang w:val="en-US"/>
        </w:rPr>
        <w:t xml:space="preserve">GOLUBEV, A., BOGATENCOV, P., SECRIERU, G. Updating DICOM Network Architecture for its Integration at International Level. Networking in Education and Research, </w:t>
      </w:r>
      <w:r>
        <w:rPr>
          <w:i/>
          <w:sz w:val="22"/>
          <w:szCs w:val="22"/>
          <w:lang w:val="en-US"/>
        </w:rPr>
        <w:t>In: Proceedings of the 15th RoEduNet IEEE International Conference, Bucharest, Romania</w:t>
      </w:r>
      <w:r>
        <w:rPr>
          <w:sz w:val="22"/>
          <w:szCs w:val="22"/>
          <w:lang w:val="en-US"/>
        </w:rPr>
        <w:t>, 7-9 September 2016, 161-166. ISSN 2068-1038.</w:t>
      </w:r>
    </w:p>
    <w:p>
      <w:pPr>
        <w:pStyle w:val="ListParagraph"/>
        <w:widowControl/>
        <w:numPr>
          <w:ilvl w:val="0"/>
          <w:numId w:val="94"/>
        </w:numPr>
        <w:tabs>
          <w:tab w:val="left" w:pos="360" w:leader="none"/>
        </w:tabs>
        <w:bidi w:val="0"/>
        <w:spacing w:before="0" w:after="0"/>
        <w:ind w:left="360" w:right="0" w:hanging="0"/>
        <w:contextualSpacing/>
        <w:jc w:val="left"/>
        <w:textAlignment w:val="auto"/>
        <w:rPr/>
      </w:pPr>
      <w:r>
        <w:rPr>
          <w:sz w:val="22"/>
          <w:szCs w:val="22"/>
          <w:lang w:val="en-US"/>
        </w:rPr>
        <w:t xml:space="preserve">MALAHOV, L.; CIUBOTARU, C.; COJOCARU, S.; COLESNICOV, A.; DEMIDOV, V. Regeneration of cultural Heritage: Problems Related to Moldavian Cyrillic Alphabet. </w:t>
      </w:r>
      <w:r>
        <w:rPr>
          <w:i/>
          <w:sz w:val="22"/>
          <w:szCs w:val="22"/>
          <w:lang w:val="en-US"/>
        </w:rPr>
        <w:t>In: Proceedings of the 11th International Conference ``Linguistic Resources and Tools for Processing the Romanian Language''</w:t>
      </w:r>
      <w:r>
        <w:rPr>
          <w:sz w:val="22"/>
          <w:szCs w:val="22"/>
          <w:lang w:val="en-US"/>
        </w:rPr>
        <w:t xml:space="preserve">. </w:t>
      </w:r>
      <w:hyperlink r:id="rId30">
        <w:r>
          <w:rPr>
            <w:webHidden/>
            <w:rStyle w:val="Style5"/>
            <w:sz w:val="22"/>
            <w:szCs w:val="22"/>
          </w:rPr>
          <w:t>http://consilr.info.uaic.ro/2015/Consilr_2015.pdf</w:t>
        </w:r>
      </w:hyperlink>
      <w:r>
        <w:rPr>
          <w:sz w:val="22"/>
          <w:szCs w:val="22"/>
        </w:rPr>
        <w:t>, 177-184.</w:t>
      </w:r>
    </w:p>
    <w:p>
      <w:pPr>
        <w:pStyle w:val="ListParagraph"/>
        <w:widowControl/>
        <w:numPr>
          <w:ilvl w:val="0"/>
          <w:numId w:val="94"/>
        </w:numPr>
        <w:tabs>
          <w:tab w:val="left" w:pos="360" w:leader="none"/>
        </w:tabs>
        <w:bidi w:val="0"/>
        <w:spacing w:before="0" w:after="0"/>
        <w:ind w:left="360" w:right="0" w:hanging="0"/>
        <w:contextualSpacing/>
        <w:jc w:val="left"/>
        <w:textAlignment w:val="auto"/>
        <w:rPr/>
      </w:pPr>
      <w:r>
        <w:rPr>
          <w:sz w:val="22"/>
          <w:szCs w:val="22"/>
          <w:lang w:val="en-US"/>
        </w:rPr>
        <w:t xml:space="preserve">MALAHOV, L.; COLESNICOV, A.; BUMBU, T. Digitization of the Romanian Printed Texts of the 17th Century. </w:t>
      </w:r>
      <w:r>
        <w:rPr>
          <w:i/>
          <w:sz w:val="22"/>
          <w:szCs w:val="22"/>
          <w:lang w:val="en-US"/>
        </w:rPr>
        <w:t xml:space="preserve">In: Proceedings of the 12th International </w:t>
      </w:r>
      <w:r>
        <w:rPr>
          <w:sz w:val="22"/>
          <w:szCs w:val="22"/>
          <w:lang w:val="en-US"/>
        </w:rPr>
        <w:t xml:space="preserve">Conference Linguistic Resources and Tools for Processing The Romanian Language, </w:t>
      </w:r>
      <w:hyperlink r:id="rId31">
        <w:r>
          <w:rPr>
            <w:webHidden/>
            <w:rStyle w:val="Style5"/>
            <w:sz w:val="22"/>
            <w:szCs w:val="22"/>
            <w:lang w:val="en-US"/>
          </w:rPr>
          <w:t>ConsILR-2016 Program</w:t>
        </w:r>
      </w:hyperlink>
      <w:r>
        <w:rPr>
          <w:rFonts w:cs="Times New Roman CE" w:ascii="Times New Roman CE" w:hAnsi="Times New Roman CE"/>
          <w:sz w:val="22"/>
          <w:szCs w:val="22"/>
          <w:lang w:val="en-US"/>
        </w:rPr>
        <w:t>, 27-29 Oct. 2016, Mălini, România,</w:t>
      </w:r>
      <w:r>
        <w:rPr>
          <w:sz w:val="22"/>
          <w:szCs w:val="22"/>
          <w:lang w:val="en-US"/>
        </w:rPr>
        <w:t xml:space="preserve"> 3-10.</w:t>
      </w:r>
    </w:p>
    <w:p>
      <w:pPr>
        <w:pStyle w:val="Normal"/>
        <w:widowControl/>
        <w:bidi w:val="0"/>
        <w:ind w:left="0" w:right="0" w:hanging="0"/>
        <w:jc w:val="both"/>
        <w:textAlignment w:val="auto"/>
        <w:rPr>
          <w:lang w:val="ro-RO"/>
        </w:rPr>
      </w:pPr>
      <w:r>
        <w:rPr>
          <w:b/>
          <w:i/>
          <w:sz w:val="22"/>
          <w:szCs w:val="22"/>
          <w:lang w:val="ro-RO"/>
        </w:rPr>
        <w:t>A</w:t>
      </w:r>
      <w:r>
        <w:rPr>
          <w:rFonts w:cs="Times New Roman CE" w:ascii="Times New Roman CE" w:hAnsi="Times New Roman CE"/>
          <w:b/>
          <w:i/>
          <w:sz w:val="22"/>
          <w:szCs w:val="22"/>
          <w:lang w:val="ro-RO"/>
        </w:rPr>
        <w:t xml:space="preserve">rticole în culegeri editate în </w:t>
      </w:r>
      <w:r>
        <w:rPr>
          <w:rFonts w:cs="Cambria Math" w:ascii="Cambria Math" w:hAnsi="Cambria Math"/>
          <w:b/>
          <w:i/>
          <w:sz w:val="22"/>
          <w:szCs w:val="22"/>
          <w:lang w:val="ro-RO"/>
        </w:rPr>
        <w:t>ț</w:t>
      </w:r>
      <w:r>
        <w:rPr>
          <w:rFonts w:cs="Times New Roman CE" w:ascii="Times New Roman CE" w:hAnsi="Times New Roman CE"/>
          <w:b/>
          <w:i/>
          <w:sz w:val="22"/>
          <w:szCs w:val="22"/>
          <w:lang w:val="ro-RO"/>
        </w:rPr>
        <w:t>ară</w:t>
      </w:r>
    </w:p>
    <w:p>
      <w:pPr>
        <w:pStyle w:val="ListParagraph"/>
        <w:widowControl/>
        <w:numPr>
          <w:ilvl w:val="0"/>
          <w:numId w:val="95"/>
        </w:numPr>
        <w:tabs>
          <w:tab w:val="left" w:pos="360" w:leader="none"/>
        </w:tabs>
        <w:bidi w:val="0"/>
        <w:spacing w:before="0" w:after="0"/>
        <w:ind w:left="360" w:right="0" w:hanging="0"/>
        <w:contextualSpacing/>
        <w:jc w:val="left"/>
        <w:textAlignment w:val="auto"/>
        <w:rPr>
          <w:lang w:val="ro-RO"/>
        </w:rPr>
      </w:pPr>
      <w:r>
        <w:rPr>
          <w:sz w:val="22"/>
          <w:szCs w:val="22"/>
          <w:lang w:val="ro-RO"/>
        </w:rPr>
        <w:t xml:space="preserve">COJOCARU, S.; BURTSEVA, L.; CIUBOTARU, C., COLESNICOV, A., DEMIDOVA, V., MALAHOV, L.; PETIC, M.; BUMBU, T.; UNGUR, </w:t>
      </w:r>
      <w:r>
        <w:rPr>
          <w:rFonts w:cs="Times New Roman CE" w:ascii="Times New Roman CE" w:hAnsi="Times New Roman CE"/>
          <w:sz w:val="22"/>
          <w:szCs w:val="22"/>
          <w:lang w:val="ro-RO"/>
        </w:rPr>
        <w:t>Ş</w:t>
      </w:r>
      <w:r>
        <w:rPr>
          <w:sz w:val="22"/>
          <w:szCs w:val="22"/>
          <w:lang w:val="ro-RO"/>
        </w:rPr>
        <w:t xml:space="preserve">. </w:t>
      </w:r>
      <w:r>
        <w:rPr>
          <w:sz w:val="22"/>
          <w:szCs w:val="22"/>
          <w:lang w:val="en-US"/>
        </w:rPr>
        <w:t xml:space="preserve">On Technology for Digitization of Romanian Historical Heritage Printed in the Cyrillic Script. </w:t>
      </w:r>
      <w:r>
        <w:rPr>
          <w:i/>
          <w:sz w:val="22"/>
          <w:szCs w:val="22"/>
          <w:lang w:val="en-US"/>
        </w:rPr>
        <w:t>In: Proceedings of MFOI2016 - Conference on Mathematical Foundations of Informatics, July 25-31, 2016,</w:t>
      </w:r>
      <w:r>
        <w:rPr>
          <w:sz w:val="22"/>
          <w:szCs w:val="22"/>
          <w:lang w:val="en-US"/>
        </w:rPr>
        <w:t xml:space="preserve"> Chi</w:t>
      </w:r>
      <w:r>
        <w:rPr>
          <w:rFonts w:cs="Times New Roman CE" w:ascii="Times New Roman CE" w:hAnsi="Times New Roman CE"/>
          <w:sz w:val="22"/>
          <w:szCs w:val="22"/>
          <w:lang w:val="en-US"/>
        </w:rPr>
        <w:t>şinău, Republic of Moldova,160-177.</w:t>
      </w:r>
      <w:r>
        <w:rPr>
          <w:sz w:val="22"/>
          <w:szCs w:val="22"/>
          <w:lang w:val="en-US"/>
        </w:rPr>
        <w:t xml:space="preserve"> ISBN 978-9975-4237-4-8</w:t>
      </w:r>
    </w:p>
    <w:p>
      <w:pPr>
        <w:pStyle w:val="ListParagraph"/>
        <w:widowControl/>
        <w:numPr>
          <w:ilvl w:val="0"/>
          <w:numId w:val="95"/>
        </w:numPr>
        <w:tabs>
          <w:tab w:val="left" w:pos="360" w:leader="none"/>
        </w:tabs>
        <w:bidi w:val="0"/>
        <w:spacing w:before="0" w:after="0"/>
        <w:ind w:left="360" w:right="0" w:hanging="0"/>
        <w:contextualSpacing/>
        <w:jc w:val="left"/>
        <w:textAlignment w:val="auto"/>
        <w:rPr>
          <w:lang w:val="en-US"/>
        </w:rPr>
      </w:pPr>
      <w:r>
        <w:rPr>
          <w:sz w:val="22"/>
          <w:szCs w:val="22"/>
          <w:lang w:val="en-US"/>
        </w:rPr>
        <w:t xml:space="preserve">COJOCARU, S.; GAINDRIC, C.; SECRIERU, Iu.; PUIU,S.; POPCOVA, O. Re-engineering of SonaRes Knowledge Base for On-Site Triage Task in Mass Casualty Situations. </w:t>
      </w:r>
      <w:r>
        <w:rPr>
          <w:i/>
          <w:sz w:val="22"/>
          <w:szCs w:val="22"/>
          <w:lang w:val="en-US"/>
        </w:rPr>
        <w:t>In: Proceedings of MFOI2016 - Conference on Mathematical Foundations of Informatics,</w:t>
      </w:r>
      <w:r>
        <w:rPr>
          <w:sz w:val="22"/>
          <w:szCs w:val="22"/>
          <w:lang w:val="en-US"/>
        </w:rPr>
        <w:t xml:space="preserve"> July 25-31, 2016, Chi</w:t>
      </w:r>
      <w:r>
        <w:rPr>
          <w:rFonts w:cs="Times New Roman CE" w:ascii="Times New Roman CE" w:hAnsi="Times New Roman CE"/>
          <w:sz w:val="22"/>
          <w:szCs w:val="22"/>
          <w:lang w:val="en-US"/>
        </w:rPr>
        <w:t>şinău, Republic of Moldova,177-185.</w:t>
      </w:r>
      <w:r>
        <w:rPr>
          <w:sz w:val="22"/>
          <w:szCs w:val="22"/>
          <w:lang w:val="en-US"/>
        </w:rPr>
        <w:t xml:space="preserve"> ISBN 978-9975-4237-4-8</w:t>
      </w:r>
    </w:p>
    <w:p>
      <w:pPr>
        <w:pStyle w:val="ListParagraph"/>
        <w:widowControl/>
        <w:numPr>
          <w:ilvl w:val="0"/>
          <w:numId w:val="95"/>
        </w:numPr>
        <w:tabs>
          <w:tab w:val="left" w:pos="360" w:leader="none"/>
        </w:tabs>
        <w:bidi w:val="0"/>
        <w:spacing w:before="0" w:after="0"/>
        <w:ind w:left="360" w:right="0" w:hanging="0"/>
        <w:contextualSpacing/>
        <w:jc w:val="left"/>
        <w:textAlignment w:val="auto"/>
        <w:rPr>
          <w:lang w:val="ro-RO"/>
        </w:rPr>
      </w:pPr>
      <w:r>
        <w:rPr>
          <w:rFonts w:cs="CMTI10" w:ascii="CMTI10" w:hAnsi="CMTI10"/>
          <w:sz w:val="22"/>
          <w:szCs w:val="22"/>
          <w:lang w:val="ro-RO"/>
        </w:rPr>
        <w:t xml:space="preserve">CORLAT, A. </w:t>
      </w:r>
      <w:r>
        <w:rPr>
          <w:rFonts w:cs="CMR10" w:ascii="CMR10" w:hAnsi="CMR10"/>
          <w:sz w:val="22"/>
          <w:szCs w:val="22"/>
          <w:lang w:val="ro-RO"/>
        </w:rPr>
        <w:t xml:space="preserve">Reliability of Information-Computer Systems with Hierarchical Structure. </w:t>
      </w:r>
      <w:r>
        <w:rPr>
          <w:i/>
          <w:iCs/>
          <w:lang w:val="ro-RO" w:eastAsia="ro-RO"/>
        </w:rPr>
        <w:t>In: Proceedings of MFOI2016 - Conference on Mathematical Foundations of Informatics,</w:t>
      </w:r>
      <w:r>
        <w:rPr>
          <w:iCs/>
          <w:lang w:val="ro-RO" w:eastAsia="ro-RO"/>
        </w:rPr>
        <w:t xml:space="preserve"> July 25-31, 2016, Chi</w:t>
      </w:r>
      <w:r>
        <w:rPr>
          <w:rFonts w:cs="Times New Roman CE" w:ascii="Times New Roman CE" w:hAnsi="Times New Roman CE"/>
          <w:iCs/>
          <w:lang w:val="ro-RO" w:eastAsia="ro-RO"/>
        </w:rPr>
        <w:t>şinău</w:t>
      </w:r>
      <w:r>
        <w:rPr>
          <w:iCs/>
          <w:lang w:val="ro-RO" w:eastAsia="ro-RO"/>
        </w:rPr>
        <w:t>, Republic of Moldova,</w:t>
      </w:r>
      <w:r>
        <w:rPr>
          <w:rFonts w:cs="CMR10" w:ascii="CMR10" w:hAnsi="CMR10"/>
          <w:sz w:val="22"/>
          <w:szCs w:val="22"/>
          <w:lang w:val="ro-RO"/>
        </w:rPr>
        <w:t>186-190.</w:t>
      </w:r>
      <w:r>
        <w:rPr>
          <w:sz w:val="22"/>
          <w:szCs w:val="22"/>
          <w:lang w:val="en-US"/>
        </w:rPr>
        <w:t xml:space="preserve"> ISBN 978-9975-4237-4-8</w:t>
      </w:r>
    </w:p>
    <w:p>
      <w:pPr>
        <w:pStyle w:val="ListParagraph"/>
        <w:widowControl/>
        <w:numPr>
          <w:ilvl w:val="0"/>
          <w:numId w:val="95"/>
        </w:numPr>
        <w:tabs>
          <w:tab w:val="left" w:pos="360" w:leader="none"/>
        </w:tabs>
        <w:bidi w:val="0"/>
        <w:spacing w:before="0" w:after="0"/>
        <w:ind w:left="360" w:right="0" w:hanging="0"/>
        <w:contextualSpacing/>
        <w:jc w:val="left"/>
        <w:textAlignment w:val="auto"/>
        <w:rPr>
          <w:lang w:val="ro-RO"/>
        </w:rPr>
      </w:pPr>
      <w:r>
        <w:rPr>
          <w:rFonts w:cs="CMTI10" w:ascii="CMTI10" w:hAnsi="CMTI10"/>
          <w:sz w:val="22"/>
          <w:szCs w:val="22"/>
          <w:lang w:val="ro-RO"/>
        </w:rPr>
        <w:t xml:space="preserve">MALAHOV, L.; MARANDUC, C.; PEREZ, C-A.; COLESNICOV, A. RoDia project of a regional and historical corpus for Romanian. </w:t>
      </w:r>
      <w:r>
        <w:rPr>
          <w:rFonts w:cs="CMTI10" w:ascii="CMTI10" w:hAnsi="CMTI10"/>
          <w:i/>
          <w:sz w:val="22"/>
          <w:szCs w:val="22"/>
          <w:lang w:val="ro-RO"/>
        </w:rPr>
        <w:t>In: Proceedings MFOI-2016 Conference on Mathematical Foundations of INFORMATIC</w:t>
      </w:r>
      <w:r>
        <w:rPr>
          <w:rFonts w:cs="CMTI10" w:ascii="CMTI10" w:hAnsi="CMTI10"/>
          <w:sz w:val="22"/>
          <w:szCs w:val="22"/>
          <w:lang w:val="ro-RO"/>
        </w:rPr>
        <w:t>, July 23-30, 2016, Chişinău, Moldova, 268-264.</w:t>
      </w:r>
      <w:r>
        <w:rPr>
          <w:sz w:val="22"/>
          <w:szCs w:val="22"/>
          <w:lang w:val="en-US"/>
        </w:rPr>
        <w:t xml:space="preserve"> ISBN 978-9975-4237-4-8</w:t>
      </w:r>
    </w:p>
    <w:p>
      <w:pPr>
        <w:pStyle w:val="ListParagraph"/>
        <w:widowControl/>
        <w:numPr>
          <w:ilvl w:val="0"/>
          <w:numId w:val="95"/>
        </w:numPr>
        <w:tabs>
          <w:tab w:val="left" w:pos="360" w:leader="none"/>
        </w:tabs>
        <w:bidi w:val="0"/>
        <w:spacing w:before="0" w:after="0"/>
        <w:ind w:left="360" w:right="0" w:hanging="0"/>
        <w:contextualSpacing/>
        <w:jc w:val="left"/>
        <w:textAlignment w:val="auto"/>
        <w:rPr>
          <w:lang w:val="en-US"/>
        </w:rPr>
      </w:pPr>
      <w:r>
        <w:rPr>
          <w:sz w:val="22"/>
          <w:szCs w:val="22"/>
          <w:lang w:val="en-US"/>
        </w:rPr>
        <w:t xml:space="preserve">TITCHIEV I., Performance evaluation of the evacuation system by Generalized Stochastic Petri nets, </w:t>
      </w:r>
      <w:r>
        <w:rPr>
          <w:i/>
          <w:sz w:val="22"/>
          <w:szCs w:val="22"/>
          <w:lang w:val="en-US"/>
        </w:rPr>
        <w:t>In: Proceedings of the Workshop on Mathematical Foundations of Informatics (MFOI-2016),</w:t>
      </w:r>
      <w:r>
        <w:rPr>
          <w:sz w:val="22"/>
          <w:szCs w:val="22"/>
          <w:lang w:val="en-US"/>
        </w:rPr>
        <w:t xml:space="preserve"> July 25-31, 2016, Chisinau, Republic of Moldova, 333-338. ISBN 978-9975-4237-4-8</w:t>
      </w:r>
    </w:p>
    <w:p>
      <w:pPr>
        <w:pStyle w:val="Normal"/>
        <w:widowControl/>
        <w:bidi w:val="0"/>
        <w:ind w:left="0" w:right="0" w:hanging="0"/>
        <w:jc w:val="both"/>
        <w:textAlignment w:val="auto"/>
        <w:rPr>
          <w:lang w:val="ro-RO"/>
        </w:rPr>
      </w:pPr>
      <w:r>
        <w:rPr>
          <w:b/>
          <w:i/>
          <w:sz w:val="22"/>
          <w:szCs w:val="22"/>
          <w:lang w:val="ro-RO"/>
        </w:rPr>
        <w:t>Teze ale comun</w:t>
      </w:r>
      <w:r>
        <w:rPr>
          <w:rFonts w:cs="Times New Roman CE" w:ascii="Times New Roman CE" w:hAnsi="Times New Roman CE"/>
          <w:b/>
          <w:i/>
          <w:sz w:val="22"/>
          <w:szCs w:val="22"/>
          <w:lang w:val="ro-RO"/>
        </w:rPr>
        <w:t xml:space="preserve">icărilor la congrese, conferinţe, simpozioane, în </w:t>
      </w:r>
      <w:r>
        <w:rPr>
          <w:rFonts w:cs="Times New Roman CE" w:ascii="Times New Roman CE" w:hAnsi="Times New Roman CE"/>
          <w:b/>
          <w:i/>
          <w:sz w:val="22"/>
          <w:szCs w:val="22"/>
          <w:lang w:val="ro-MD"/>
        </w:rPr>
        <w:t>culegeri (internaţionale)</w:t>
      </w:r>
    </w:p>
    <w:p>
      <w:pPr>
        <w:pStyle w:val="ListParagraph"/>
        <w:widowControl/>
        <w:numPr>
          <w:ilvl w:val="0"/>
          <w:numId w:val="96"/>
        </w:numPr>
        <w:tabs>
          <w:tab w:val="left" w:pos="360" w:leader="none"/>
        </w:tabs>
        <w:bidi w:val="0"/>
        <w:spacing w:before="0" w:after="0"/>
        <w:ind w:left="360" w:right="0" w:hanging="0"/>
        <w:contextualSpacing/>
        <w:jc w:val="left"/>
        <w:textAlignment w:val="auto"/>
        <w:rPr>
          <w:lang w:val="en-US"/>
        </w:rPr>
      </w:pPr>
      <w:r>
        <w:rPr>
          <w:sz w:val="22"/>
          <w:szCs w:val="22"/>
          <w:lang w:val="en-US"/>
        </w:rPr>
        <w:t xml:space="preserve">ALBU, V. Measuring human emotions with modular neural networks. </w:t>
      </w:r>
      <w:r>
        <w:rPr>
          <w:i/>
          <w:sz w:val="22"/>
          <w:szCs w:val="22"/>
          <w:lang w:val="en-US"/>
        </w:rPr>
        <w:t>In: Proceedings of the 7th International Multi-Conference on Complexity, Informatics and Cybernetics</w:t>
      </w:r>
      <w:r>
        <w:rPr>
          <w:sz w:val="22"/>
          <w:szCs w:val="22"/>
          <w:lang w:val="en-US"/>
        </w:rPr>
        <w:t>: IMCIC 2016, March 8 - 11, 2016, Orlando, Florida, USA, 26-27.</w:t>
      </w:r>
    </w:p>
    <w:p>
      <w:pPr>
        <w:pStyle w:val="ListParagraph"/>
        <w:widowControl/>
        <w:numPr>
          <w:ilvl w:val="0"/>
          <w:numId w:val="96"/>
        </w:numPr>
        <w:tabs>
          <w:tab w:val="left" w:pos="360" w:leader="none"/>
        </w:tabs>
        <w:bidi w:val="0"/>
        <w:spacing w:before="0" w:after="0"/>
        <w:ind w:left="360" w:right="0" w:hanging="0"/>
        <w:contextualSpacing/>
        <w:jc w:val="left"/>
        <w:textAlignment w:val="auto"/>
        <w:rPr/>
      </w:pPr>
      <w:r>
        <w:rPr>
          <w:sz w:val="22"/>
          <w:szCs w:val="22"/>
          <w:lang w:val="en-US"/>
        </w:rPr>
        <w:t xml:space="preserve">COJOCARU, S.; GAINDRIC, C.; POPCOVA, O.; PUIU, S.; SECRIERU, Iu.; TURCANU, V. Information tools for assistance of sonographic examinations. </w:t>
      </w:r>
      <w:r>
        <w:rPr>
          <w:i/>
          <w:sz w:val="22"/>
          <w:szCs w:val="22"/>
          <w:lang w:val="en-US"/>
        </w:rPr>
        <w:t>In:BringITon! 2016 Catalogue</w:t>
      </w:r>
      <w:r>
        <w:rPr>
          <w:sz w:val="22"/>
          <w:szCs w:val="22"/>
          <w:lang w:val="en-US"/>
        </w:rPr>
        <w:t>, 18-19 november, 2016, „Alexandru Ioan Cuza” University of Iasi, România, 56-57, ISSN 2285-0926.</w:t>
      </w:r>
    </w:p>
    <w:p>
      <w:pPr>
        <w:pStyle w:val="ListParagraph"/>
        <w:widowControl/>
        <w:numPr>
          <w:ilvl w:val="0"/>
          <w:numId w:val="96"/>
        </w:numPr>
        <w:tabs>
          <w:tab w:val="left" w:pos="360" w:leader="none"/>
        </w:tabs>
        <w:bidi w:val="0"/>
        <w:spacing w:before="0" w:after="0"/>
        <w:ind w:left="360" w:right="0" w:hanging="0"/>
        <w:contextualSpacing/>
        <w:jc w:val="left"/>
        <w:textAlignment w:val="auto"/>
        <w:rPr>
          <w:lang w:val="ro-RO"/>
        </w:rPr>
      </w:pPr>
      <w:r>
        <w:rPr>
          <w:rFonts w:cs="CMTI10" w:ascii="CMTI10" w:hAnsi="CMTI10"/>
          <w:sz w:val="22"/>
          <w:szCs w:val="22"/>
          <w:lang w:val="ro-RO"/>
        </w:rPr>
        <w:t xml:space="preserve">DUMBRĂVEANU, R.; PETIC, M.; MELNIC, S. A system for processing unstructured text data by means of lexicon of keywords. </w:t>
      </w:r>
      <w:r>
        <w:rPr>
          <w:rFonts w:cs="CMTI10" w:ascii="CMTI10" w:hAnsi="CMTI10"/>
          <w:i/>
          <w:sz w:val="22"/>
          <w:szCs w:val="22"/>
          <w:lang w:val="ro-RO"/>
        </w:rPr>
        <w:t>In: Book of Abstract CAIM 2016</w:t>
      </w:r>
      <w:r>
        <w:rPr>
          <w:rFonts w:cs="CMTI10" w:ascii="CMTI10" w:hAnsi="CMTI10"/>
          <w:sz w:val="22"/>
          <w:szCs w:val="22"/>
          <w:lang w:val="ro-RO"/>
        </w:rPr>
        <w:t xml:space="preserve">, 15th-18th September, 2016, Craiova, Romania,  82-82. </w:t>
      </w:r>
    </w:p>
    <w:p>
      <w:pPr>
        <w:pStyle w:val="Normal"/>
        <w:widowControl/>
        <w:bidi w:val="0"/>
        <w:ind w:left="0" w:right="0" w:firstLine="360"/>
        <w:jc w:val="left"/>
        <w:textAlignment w:val="auto"/>
        <w:rPr/>
      </w:pPr>
      <w:hyperlink r:id="rId32">
        <w:r>
          <w:rPr>
            <w:webHidden/>
            <w:rStyle w:val="Style5"/>
            <w:rFonts w:cs="CMTI10" w:ascii="CMTI10" w:hAnsi="CMTI10"/>
            <w:sz w:val="22"/>
            <w:szCs w:val="22"/>
            <w:lang w:val="ro-RO" w:eastAsia="en-US"/>
          </w:rPr>
          <w:t>http://www.romai.ro/documente_poze/Conferinte/Caim16/book_abs.pdf</w:t>
        </w:r>
      </w:hyperlink>
    </w:p>
    <w:p>
      <w:pPr>
        <w:pStyle w:val="ListParagraph"/>
        <w:widowControl/>
        <w:numPr>
          <w:ilvl w:val="0"/>
          <w:numId w:val="96"/>
        </w:numPr>
        <w:tabs>
          <w:tab w:val="left" w:pos="360" w:leader="none"/>
        </w:tabs>
        <w:bidi w:val="0"/>
        <w:spacing w:before="0" w:after="0"/>
        <w:ind w:left="360" w:right="0" w:hanging="0"/>
        <w:contextualSpacing/>
        <w:jc w:val="left"/>
        <w:textAlignment w:val="auto"/>
        <w:rPr>
          <w:lang w:val="ro-RO"/>
        </w:rPr>
      </w:pPr>
      <w:r>
        <w:rPr>
          <w:rFonts w:cs="CMTI10" w:ascii="CMTI10" w:hAnsi="CMTI10"/>
          <w:sz w:val="22"/>
          <w:szCs w:val="22"/>
          <w:lang w:val="ro-RO"/>
        </w:rPr>
        <w:t xml:space="preserve">MALAHOV, L.; COJOCARU, S.; COLESNICOV, A.;  BUMBU, T.; UNGUR, Ş. Tools for free access to the old Romanian printed texts. </w:t>
      </w:r>
      <w:r>
        <w:rPr>
          <w:rFonts w:cs="CMTI10" w:ascii="CMTI10" w:hAnsi="CMTI10"/>
          <w:i/>
          <w:sz w:val="22"/>
          <w:szCs w:val="22"/>
          <w:lang w:val="ro-RO"/>
        </w:rPr>
        <w:t>CATALOGUE BringITon 2016</w:t>
      </w:r>
      <w:r>
        <w:rPr>
          <w:rFonts w:cs="CMTI10" w:ascii="CMTI10" w:hAnsi="CMTI10"/>
          <w:sz w:val="22"/>
          <w:szCs w:val="22"/>
          <w:lang w:val="ro-RO"/>
        </w:rPr>
        <w:t>, Workshop de promovare şi valorificare a interacţiunii între cercetarea informatică universitară şi mediul de afaceri, 18-19 november 2016, 30-31.</w:t>
      </w:r>
    </w:p>
    <w:p>
      <w:pPr>
        <w:pStyle w:val="ListParagraph"/>
        <w:widowControl/>
        <w:numPr>
          <w:ilvl w:val="0"/>
          <w:numId w:val="96"/>
        </w:numPr>
        <w:tabs>
          <w:tab w:val="left" w:pos="360" w:leader="none"/>
        </w:tabs>
        <w:bidi w:val="0"/>
        <w:spacing w:before="0" w:after="0"/>
        <w:ind w:left="360" w:right="0" w:hanging="0"/>
        <w:contextualSpacing/>
        <w:jc w:val="left"/>
        <w:textAlignment w:val="auto"/>
        <w:rPr>
          <w:lang w:val="fr-FR"/>
        </w:rPr>
      </w:pPr>
      <w:r>
        <w:rPr>
          <w:sz w:val="22"/>
          <w:szCs w:val="22"/>
          <w:lang w:val="fr-FR"/>
        </w:rPr>
        <w:t xml:space="preserve">SECRIERU, IU.; TAMBALA, C.; MACARI, D.; NASTASIU, A.  </w:t>
      </w:r>
      <w:r>
        <w:rPr>
          <w:sz w:val="22"/>
          <w:szCs w:val="22"/>
          <w:lang w:val="en-US"/>
        </w:rPr>
        <w:t xml:space="preserve">Improvement of scoring interpretation in liver cirrhosis assessment by duplex ultrasound. </w:t>
      </w:r>
      <w:r>
        <w:rPr>
          <w:i/>
          <w:sz w:val="22"/>
          <w:szCs w:val="22"/>
          <w:lang w:val="en-US"/>
        </w:rPr>
        <w:t>In: Book of abstracts of the 3rd International Conference Health Technology Management (ICHTM-2016).</w:t>
      </w:r>
      <w:r>
        <w:rPr>
          <w:sz w:val="22"/>
          <w:szCs w:val="22"/>
          <w:lang w:val="en-US"/>
        </w:rPr>
        <w:t xml:space="preserve"> </w:t>
      </w:r>
      <w:r>
        <w:rPr>
          <w:sz w:val="22"/>
          <w:szCs w:val="22"/>
        </w:rPr>
        <w:t>Chisinau, Moldova, October 6-7, 2016,  67., ISBN 978-9975-51-774-4.</w:t>
      </w:r>
    </w:p>
    <w:p>
      <w:pPr>
        <w:pStyle w:val="ListParagraph"/>
        <w:widowControl/>
        <w:numPr>
          <w:ilvl w:val="0"/>
          <w:numId w:val="96"/>
        </w:numPr>
        <w:tabs>
          <w:tab w:val="left" w:pos="360" w:leader="none"/>
        </w:tabs>
        <w:bidi w:val="0"/>
        <w:spacing w:before="0" w:after="0"/>
        <w:ind w:left="360" w:right="0" w:hanging="0"/>
        <w:contextualSpacing/>
        <w:jc w:val="left"/>
        <w:textAlignment w:val="auto"/>
        <w:rPr>
          <w:lang w:val="en-US"/>
        </w:rPr>
      </w:pPr>
      <w:r>
        <w:rPr>
          <w:sz w:val="22"/>
          <w:szCs w:val="22"/>
          <w:lang w:val="en-US"/>
        </w:rPr>
        <w:t xml:space="preserve">TAMBALA, C.; SECRIERU, Iu.; MACARI, D. Scoring for portal henodynamics disorders severity in liver cirrhosis assessment by duplex ultrasound. </w:t>
      </w:r>
      <w:r>
        <w:rPr>
          <w:i/>
          <w:sz w:val="22"/>
          <w:szCs w:val="22"/>
          <w:lang w:val="en-US"/>
        </w:rPr>
        <w:t>In:BringITon! 2016 Catalogue, 18-19 november, 2016, „Alexandru Ioan Cuza” University of Iasi, România</w:t>
      </w:r>
      <w:r>
        <w:rPr>
          <w:sz w:val="22"/>
          <w:szCs w:val="22"/>
          <w:lang w:val="en-US"/>
        </w:rPr>
        <w:t>, 24-25, ISSN 2285-0926.</w:t>
      </w:r>
    </w:p>
    <w:p>
      <w:pPr>
        <w:pStyle w:val="ListParagraph"/>
        <w:widowControl/>
        <w:numPr>
          <w:ilvl w:val="0"/>
          <w:numId w:val="96"/>
        </w:numPr>
        <w:tabs>
          <w:tab w:val="left" w:pos="360" w:leader="none"/>
        </w:tabs>
        <w:bidi w:val="0"/>
        <w:spacing w:before="0" w:after="0"/>
        <w:ind w:left="360" w:right="0" w:hanging="0"/>
        <w:contextualSpacing/>
        <w:jc w:val="left"/>
        <w:textAlignment w:val="auto"/>
        <w:rPr/>
      </w:pPr>
      <w:r>
        <w:rPr>
          <w:sz w:val="22"/>
          <w:szCs w:val="22"/>
          <w:lang w:val="en-US"/>
        </w:rPr>
        <w:t xml:space="preserve">TITCHIEV I. Modelling and verification of evacuation system using Time Petri nets in case of disaster, </w:t>
      </w:r>
      <w:r>
        <w:rPr>
          <w:i/>
          <w:sz w:val="22"/>
          <w:szCs w:val="22"/>
          <w:lang w:val="en-US"/>
        </w:rPr>
        <w:t>In: Proceedings of the 18-th International Conference System Analysis and Information Technology (SAIT 2016)</w:t>
      </w:r>
      <w:r>
        <w:rPr>
          <w:sz w:val="22"/>
          <w:szCs w:val="22"/>
          <w:lang w:val="en-US"/>
        </w:rPr>
        <w:t>,  May 30 – June 2, 2016, Kyiv, Ukraine,  46-47.</w:t>
      </w:r>
    </w:p>
    <w:p>
      <w:pPr>
        <w:pStyle w:val="ListParagraph"/>
        <w:widowControl/>
        <w:numPr>
          <w:ilvl w:val="0"/>
          <w:numId w:val="96"/>
        </w:numPr>
        <w:tabs>
          <w:tab w:val="left" w:pos="360" w:leader="none"/>
        </w:tabs>
        <w:bidi w:val="0"/>
        <w:spacing w:before="0" w:after="0"/>
        <w:ind w:left="360" w:right="0" w:hanging="0"/>
        <w:contextualSpacing/>
        <w:jc w:val="left"/>
        <w:textAlignment w:val="auto"/>
        <w:rPr/>
      </w:pPr>
      <w:r>
        <w:rPr>
          <w:sz w:val="22"/>
          <w:szCs w:val="22"/>
          <w:lang w:val="en-US"/>
        </w:rPr>
        <w:t xml:space="preserve">TITCHIEV I. Quantitative and qualitative analysis of  evacuation system by using GSPNs, </w:t>
      </w:r>
      <w:r>
        <w:rPr>
          <w:i/>
          <w:sz w:val="22"/>
          <w:szCs w:val="22"/>
          <w:lang w:val="en-US"/>
        </w:rPr>
        <w:t>In: Proceeding of the 24th CONFERENCE ON APPLIED AND INDUSTRIAL MATHEMATICS - CAIM 2016</w:t>
      </w:r>
      <w:r>
        <w:rPr>
          <w:sz w:val="22"/>
          <w:szCs w:val="22"/>
          <w:lang w:val="en-US"/>
        </w:rPr>
        <w:t>, September 15-18, 2016, Craiova, Romania,  87.</w:t>
      </w:r>
    </w:p>
    <w:p>
      <w:pPr>
        <w:pStyle w:val="Normal"/>
        <w:widowControl/>
        <w:bidi w:val="0"/>
        <w:ind w:left="0" w:right="0" w:hanging="0"/>
        <w:jc w:val="both"/>
        <w:textAlignment w:val="auto"/>
        <w:rPr>
          <w:lang w:val="ro-RO"/>
        </w:rPr>
      </w:pPr>
      <w:r>
        <w:rPr>
          <w:b/>
          <w:i/>
          <w:sz w:val="22"/>
          <w:szCs w:val="22"/>
          <w:lang w:val="ro-RO"/>
        </w:rPr>
        <w:t>Teze ale co</w:t>
      </w:r>
      <w:r>
        <w:rPr>
          <w:rFonts w:cs="Times New Roman CE" w:ascii="Times New Roman CE" w:hAnsi="Times New Roman CE"/>
          <w:b/>
          <w:i/>
          <w:sz w:val="22"/>
          <w:szCs w:val="22"/>
          <w:lang w:val="ro-RO"/>
        </w:rPr>
        <w:t xml:space="preserve">municărilor la congrese, conferinţe, simpozioane, în </w:t>
      </w:r>
      <w:r>
        <w:rPr>
          <w:b/>
          <w:i/>
          <w:sz w:val="22"/>
          <w:szCs w:val="22"/>
          <w:lang w:val="ro-MD"/>
        </w:rPr>
        <w:t>culegeri (n</w:t>
      </w:r>
      <w:r>
        <w:rPr>
          <w:rFonts w:cs="Times New Roman CE" w:ascii="Times New Roman CE" w:hAnsi="Times New Roman CE"/>
          <w:b/>
          <w:i/>
          <w:sz w:val="22"/>
          <w:szCs w:val="22"/>
          <w:lang w:val="ro-MD"/>
        </w:rPr>
        <w:t>aţionale)</w:t>
      </w:r>
    </w:p>
    <w:p>
      <w:pPr>
        <w:pStyle w:val="ListParagraph"/>
        <w:widowControl/>
        <w:numPr>
          <w:ilvl w:val="0"/>
          <w:numId w:val="97"/>
        </w:numPr>
        <w:tabs>
          <w:tab w:val="left" w:pos="360" w:leader="none"/>
        </w:tabs>
        <w:bidi w:val="0"/>
        <w:spacing w:before="0" w:after="0"/>
        <w:ind w:left="360" w:right="0" w:hanging="0"/>
        <w:contextualSpacing/>
        <w:jc w:val="left"/>
        <w:textAlignment w:val="auto"/>
        <w:rPr>
          <w:lang w:val="ro-RO"/>
        </w:rPr>
      </w:pPr>
      <w:r>
        <w:rPr>
          <w:rFonts w:cs="CMTI10" w:ascii="CMTI10" w:hAnsi="CMTI10"/>
          <w:sz w:val="22"/>
          <w:szCs w:val="22"/>
          <w:lang w:val="ro-RO"/>
        </w:rPr>
        <w:t xml:space="preserve">CIUBOTARU, C.; COJOCARU, S.; DEMIDOVA, V.; COLESNICOV, A.; MALAHOV, L.; UNGUR, Ş. Converter for Romanian printed texts of the 18th-20th centuries. </w:t>
      </w:r>
      <w:r>
        <w:rPr>
          <w:rFonts w:cs="CMTI10" w:ascii="CMTI10" w:hAnsi="CMTI10"/>
          <w:i/>
          <w:sz w:val="22"/>
          <w:szCs w:val="22"/>
          <w:lang w:val="ro-RO"/>
        </w:rPr>
        <w:t>In: Book of Abstract International Scientific Conference Mathematics &amp; IT: Research and Education MITRE-2016</w:t>
      </w:r>
      <w:r>
        <w:rPr>
          <w:rFonts w:cs="CMTI10" w:ascii="CMTI10" w:hAnsi="CMTI10"/>
          <w:sz w:val="22"/>
          <w:szCs w:val="22"/>
          <w:lang w:val="ro-RO"/>
        </w:rPr>
        <w:t>, Chişinău, 24-25 June 2016, 79.</w:t>
      </w:r>
    </w:p>
    <w:p>
      <w:pPr>
        <w:pStyle w:val="ListParagraph"/>
        <w:widowControl/>
        <w:numPr>
          <w:ilvl w:val="0"/>
          <w:numId w:val="97"/>
        </w:numPr>
        <w:tabs>
          <w:tab w:val="left" w:pos="360" w:leader="none"/>
        </w:tabs>
        <w:bidi w:val="0"/>
        <w:spacing w:before="0" w:after="0"/>
        <w:ind w:left="360" w:right="0" w:hanging="0"/>
        <w:contextualSpacing/>
        <w:jc w:val="left"/>
        <w:textAlignment w:val="auto"/>
        <w:rPr>
          <w:lang w:val="ro-RO"/>
        </w:rPr>
      </w:pPr>
      <w:r>
        <w:rPr>
          <w:sz w:val="22"/>
          <w:szCs w:val="22"/>
          <w:lang w:val="ro-RO"/>
        </w:rPr>
        <w:t>CORLAT A.</w:t>
      </w:r>
      <w:r>
        <w:rPr>
          <w:rFonts w:cs="Times New Roman CE" w:ascii="Times New Roman CE" w:hAnsi="Times New Roman CE"/>
          <w:sz w:val="22"/>
          <w:szCs w:val="22"/>
          <w:lang w:val="en-US"/>
        </w:rPr>
        <w:t xml:space="preserve"> Pregătirea viitotilor matematicieni. </w:t>
      </w:r>
      <w:r>
        <w:rPr>
          <w:rFonts w:cs="CMTI10" w:ascii="CMTI10" w:hAnsi="CMTI10"/>
          <w:i/>
          <w:sz w:val="22"/>
          <w:szCs w:val="22"/>
          <w:lang w:val="ro-RO"/>
        </w:rPr>
        <w:t>In: Book of Abstract International Scientific Conference Mathematics &amp; IT: Research and Education MITRE-2016</w:t>
      </w:r>
      <w:r>
        <w:rPr>
          <w:sz w:val="22"/>
          <w:szCs w:val="22"/>
          <w:lang w:val="en-US"/>
        </w:rPr>
        <w:t xml:space="preserve">.  </w:t>
      </w:r>
      <w:r>
        <w:rPr>
          <w:sz w:val="22"/>
          <w:szCs w:val="22"/>
        </w:rPr>
        <w:t xml:space="preserve">June 23-26, 2016, </w:t>
      </w:r>
      <w:r>
        <w:rPr>
          <w:sz w:val="22"/>
          <w:szCs w:val="22"/>
          <w:lang w:val="ro-RO"/>
        </w:rPr>
        <w:t xml:space="preserve"> </w:t>
      </w:r>
      <w:r>
        <w:rPr>
          <w:sz w:val="22"/>
          <w:szCs w:val="22"/>
        </w:rPr>
        <w:t>98-99. ISBN 978-9975-71-678-9.</w:t>
      </w:r>
    </w:p>
    <w:p>
      <w:pPr>
        <w:pStyle w:val="ListParagraph"/>
        <w:widowControl/>
        <w:numPr>
          <w:ilvl w:val="0"/>
          <w:numId w:val="97"/>
        </w:numPr>
        <w:tabs>
          <w:tab w:val="left" w:pos="360" w:leader="none"/>
        </w:tabs>
        <w:bidi w:val="0"/>
        <w:spacing w:before="0" w:after="0"/>
        <w:ind w:left="360" w:right="0" w:hanging="0"/>
        <w:contextualSpacing/>
        <w:jc w:val="left"/>
        <w:textAlignment w:val="auto"/>
        <w:rPr>
          <w:lang w:val="ro-RO"/>
        </w:rPr>
      </w:pPr>
      <w:r>
        <w:rPr>
          <w:rFonts w:cs="CMTI10" w:ascii="CMTI10" w:hAnsi="CMTI10"/>
          <w:sz w:val="22"/>
          <w:szCs w:val="22"/>
          <w:lang w:val="ro-RO"/>
        </w:rPr>
        <w:t xml:space="preserve">DEMIDOVA, V.; BURTSEVA, L. On digitalization of cultural heritage of historical Romanian Cyrillic texts. </w:t>
      </w:r>
      <w:r>
        <w:rPr>
          <w:rFonts w:cs="CMTI10" w:ascii="CMTI10" w:hAnsi="CMTI10"/>
          <w:i/>
          <w:sz w:val="22"/>
          <w:szCs w:val="22"/>
          <w:lang w:val="ro-RO"/>
        </w:rPr>
        <w:t>In: Book of Abstract International Scientific Conference Mathematics &amp; IT: Research and Education MITRE-2016,</w:t>
      </w:r>
      <w:r>
        <w:rPr>
          <w:rFonts w:cs="CMTI10" w:ascii="CMTI10" w:hAnsi="CMTI10"/>
          <w:sz w:val="22"/>
          <w:szCs w:val="22"/>
          <w:lang w:val="ro-RO"/>
        </w:rPr>
        <w:t xml:space="preserve"> Chişinău, 24-25 June 2016, 82.</w:t>
      </w:r>
    </w:p>
    <w:p>
      <w:pPr>
        <w:pStyle w:val="ListParagraph"/>
        <w:widowControl/>
        <w:numPr>
          <w:ilvl w:val="0"/>
          <w:numId w:val="97"/>
        </w:numPr>
        <w:tabs>
          <w:tab w:val="left" w:pos="360" w:leader="none"/>
        </w:tabs>
        <w:bidi w:val="0"/>
        <w:spacing w:before="0" w:after="0"/>
        <w:ind w:left="360" w:right="0" w:hanging="0"/>
        <w:contextualSpacing/>
        <w:jc w:val="left"/>
        <w:textAlignment w:val="auto"/>
        <w:rPr/>
      </w:pPr>
      <w:r>
        <w:rPr>
          <w:rFonts w:cs="CMTI10" w:ascii="CMTI10" w:hAnsi="CMTI10"/>
          <w:sz w:val="22"/>
          <w:szCs w:val="22"/>
          <w:lang w:val="ro-RO"/>
        </w:rPr>
        <w:t xml:space="preserve">DUMBRAVEANU, R.; PETIC, M. Softcrates application and its mathematical aspects, </w:t>
      </w:r>
      <w:r>
        <w:rPr>
          <w:rFonts w:cs="CMTI10" w:ascii="CMTI10" w:hAnsi="CMTI10"/>
          <w:i/>
          <w:sz w:val="22"/>
          <w:szCs w:val="22"/>
          <w:lang w:val="ro-RO"/>
        </w:rPr>
        <w:t>In: Book of Abstract International Scientific Conference Mathematics &amp; IT: Research and Education MITRE-2016</w:t>
      </w:r>
      <w:r>
        <w:rPr>
          <w:rFonts w:cs="CMTI10" w:ascii="CMTI10" w:hAnsi="CMTI10"/>
          <w:sz w:val="22"/>
          <w:szCs w:val="22"/>
          <w:lang w:val="ro-RO"/>
        </w:rPr>
        <w:t>, Chişinău, 24-25 June 2016, 29-30.</w:t>
      </w:r>
    </w:p>
    <w:p>
      <w:pPr>
        <w:pStyle w:val="Normal"/>
        <w:widowControl/>
        <w:bidi w:val="0"/>
        <w:ind w:left="0" w:right="0" w:hanging="0"/>
        <w:jc w:val="left"/>
        <w:textAlignment w:val="auto"/>
        <w:rPr>
          <w:lang w:val="ro-RO"/>
        </w:rPr>
      </w:pPr>
      <w:r>
        <w:rPr>
          <w:b/>
          <w:bCs/>
          <w:i/>
          <w:sz w:val="22"/>
          <w:szCs w:val="22"/>
          <w:lang w:val="ro-RO"/>
        </w:rPr>
        <w:t>Certificat de inovator</w:t>
      </w:r>
    </w:p>
    <w:p>
      <w:pPr>
        <w:pStyle w:val="ListParagraph"/>
        <w:widowControl/>
        <w:numPr>
          <w:ilvl w:val="0"/>
          <w:numId w:val="98"/>
        </w:numPr>
        <w:tabs>
          <w:tab w:val="left" w:pos="360" w:leader="none"/>
        </w:tabs>
        <w:bidi w:val="0"/>
        <w:spacing w:before="0" w:after="0"/>
        <w:ind w:left="360" w:right="0" w:hanging="0"/>
        <w:contextualSpacing/>
        <w:jc w:val="left"/>
        <w:textAlignment w:val="auto"/>
        <w:rPr>
          <w:lang w:val="ro-RO"/>
        </w:rPr>
      </w:pPr>
      <w:r>
        <w:rPr>
          <w:rFonts w:cs="CMTI10" w:ascii="CMTI10" w:hAnsi="CMTI10"/>
          <w:sz w:val="22"/>
          <w:szCs w:val="22"/>
          <w:lang w:val="ro-RO"/>
        </w:rPr>
        <w:t>TÂMBALĂ, C.; SECRIERU, Iu; CAZACOV, V.; LUPAŞCO, Iu. Metoda de apreciere a severităţii dereglărilor circulatorii în hipertensiunea portală asociată cirozei heppatice bazată pe ecografia doppler duplex color. Certificat de inovator Nr.5492, emis de Ministerul Sănătăţii al RM. 2016-01-24</w:t>
      </w:r>
    </w:p>
    <w:p>
      <w:pPr>
        <w:pStyle w:val="Normal"/>
        <w:widowControl/>
        <w:bidi w:val="0"/>
        <w:ind w:left="0" w:right="0" w:hanging="0"/>
        <w:jc w:val="left"/>
        <w:textAlignment w:val="auto"/>
        <w:rPr>
          <w:lang w:val="fr-FR"/>
        </w:rPr>
      </w:pPr>
      <w:r>
        <w:rPr>
          <w:b/>
          <w:bCs/>
          <w:i/>
          <w:sz w:val="22"/>
          <w:szCs w:val="22"/>
          <w:lang w:val="fr-FR"/>
        </w:rPr>
        <w:t xml:space="preserve">Certificate de </w:t>
      </w:r>
      <w:r>
        <w:rPr>
          <w:rFonts w:cs="Times New Roman CE" w:ascii="Times New Roman CE" w:hAnsi="Times New Roman CE"/>
          <w:b/>
          <w:bCs/>
          <w:i/>
          <w:sz w:val="22"/>
          <w:szCs w:val="22"/>
          <w:lang w:val="ro-RO"/>
        </w:rPr>
        <w:t>î</w:t>
      </w:r>
      <w:r>
        <w:rPr>
          <w:b/>
          <w:bCs/>
          <w:i/>
          <w:sz w:val="22"/>
          <w:szCs w:val="22"/>
          <w:lang w:val="fr-FR"/>
        </w:rPr>
        <w:t xml:space="preserve">nregistrare a </w:t>
      </w:r>
      <w:r>
        <w:rPr>
          <w:b/>
          <w:bCs/>
          <w:i/>
          <w:sz w:val="22"/>
          <w:szCs w:val="22"/>
          <w:lang w:val="ro-RO"/>
        </w:rPr>
        <w:t xml:space="preserve">obiectelor </w:t>
      </w:r>
      <w:r>
        <w:rPr>
          <w:b/>
          <w:bCs/>
          <w:i/>
          <w:sz w:val="22"/>
          <w:szCs w:val="22"/>
          <w:lang w:val="fr-FR"/>
        </w:rPr>
        <w:t>dreptu</w:t>
      </w:r>
      <w:r>
        <w:rPr>
          <w:b/>
          <w:bCs/>
          <w:i/>
          <w:sz w:val="22"/>
          <w:szCs w:val="22"/>
          <w:lang w:val="ro-RO"/>
        </w:rPr>
        <w:t>lui</w:t>
      </w:r>
      <w:r>
        <w:rPr>
          <w:b/>
          <w:bCs/>
          <w:i/>
          <w:sz w:val="22"/>
          <w:szCs w:val="22"/>
          <w:lang w:val="fr-FR"/>
        </w:rPr>
        <w:t xml:space="preserve"> de autor </w:t>
      </w:r>
      <w:r>
        <w:rPr>
          <w:rFonts w:cs="Times New Roman CE" w:ascii="Times New Roman CE" w:hAnsi="Times New Roman CE"/>
          <w:b/>
          <w:bCs/>
          <w:i/>
          <w:sz w:val="22"/>
          <w:szCs w:val="22"/>
          <w:lang w:val="ro-RO"/>
        </w:rPr>
        <w:t>ş</w:t>
      </w:r>
      <w:r>
        <w:rPr>
          <w:b/>
          <w:bCs/>
          <w:i/>
          <w:sz w:val="22"/>
          <w:szCs w:val="22"/>
          <w:lang w:val="fr-FR"/>
        </w:rPr>
        <w:t xml:space="preserve">i </w:t>
      </w:r>
      <w:r>
        <w:rPr>
          <w:b/>
          <w:bCs/>
          <w:i/>
          <w:sz w:val="22"/>
          <w:szCs w:val="22"/>
          <w:lang w:val="ro-RO"/>
        </w:rPr>
        <w:t>drepturilor conexe</w:t>
      </w:r>
    </w:p>
    <w:p>
      <w:pPr>
        <w:pStyle w:val="ListParagraph"/>
        <w:widowControl/>
        <w:numPr>
          <w:ilvl w:val="0"/>
          <w:numId w:val="99"/>
        </w:numPr>
        <w:tabs>
          <w:tab w:val="left" w:pos="360" w:leader="none"/>
        </w:tabs>
        <w:bidi w:val="0"/>
        <w:spacing w:before="0" w:after="0"/>
        <w:ind w:left="360" w:right="0" w:hanging="0"/>
        <w:contextualSpacing/>
        <w:jc w:val="left"/>
        <w:textAlignment w:val="auto"/>
        <w:rPr>
          <w:lang w:val="ro-RO"/>
        </w:rPr>
      </w:pPr>
      <w:r>
        <w:rPr>
          <w:rFonts w:cs="CMTI10" w:ascii="CMTI10" w:hAnsi="CMTI10"/>
          <w:sz w:val="22"/>
          <w:szCs w:val="22"/>
          <w:lang w:val="ro-RO"/>
        </w:rPr>
        <w:t>ALBU, V. Antrenarea reţelei neurale modulare. Certificat AGEPI, PC (program pentru calculator) Nr. 5483. 2016-10-18</w:t>
      </w:r>
    </w:p>
    <w:p>
      <w:pPr>
        <w:pStyle w:val="Normal"/>
        <w:widowControl/>
        <w:numPr>
          <w:ilvl w:val="0"/>
          <w:numId w:val="99"/>
        </w:numPr>
        <w:tabs>
          <w:tab w:val="left" w:pos="360" w:leader="none"/>
        </w:tabs>
        <w:bidi w:val="0"/>
        <w:ind w:left="360" w:right="0" w:hanging="0"/>
        <w:jc w:val="left"/>
        <w:textAlignment w:val="auto"/>
        <w:rPr>
          <w:lang w:val="ro-RO"/>
        </w:rPr>
      </w:pPr>
      <w:r>
        <w:rPr>
          <w:rFonts w:cs="CMTI10" w:ascii="CMTI10" w:hAnsi="CMTI10"/>
          <w:sz w:val="22"/>
          <w:szCs w:val="22"/>
          <w:lang w:val="ro-RO"/>
        </w:rPr>
        <w:t>TÂMBALĂ, C.; SECRIERU, Iu. Scoring for portal henodynamics disorders severity in liver cirrhosis assessment by duplex ultrasound. Certificat AGEPI, OŞ (operă de ştiinţă) Nr. 5494. 2016-11-01</w:t>
      </w:r>
    </w:p>
    <w:p>
      <w:pPr>
        <w:pStyle w:val="Normal"/>
        <w:widowControl/>
        <w:bidi w:val="0"/>
        <w:ind w:left="360" w:right="0" w:hanging="0"/>
        <w:jc w:val="left"/>
        <w:textAlignment w:val="auto"/>
        <w:rPr>
          <w:rFonts w:ascii="Times New Roman" w:hAnsi="Times New Roman"/>
          <w:b/>
          <w:b/>
          <w:bCs/>
          <w:sz w:val="22"/>
          <w:szCs w:val="22"/>
          <w:lang w:val="ro-MD"/>
        </w:rPr>
      </w:pPr>
      <w:r>
        <w:rPr>
          <w:b/>
          <w:bCs/>
          <w:sz w:val="22"/>
          <w:szCs w:val="22"/>
          <w:lang w:val="ro-MD"/>
        </w:rPr>
      </w:r>
    </w:p>
    <w:p>
      <w:pPr>
        <w:pStyle w:val="Normal"/>
        <w:widowControl/>
        <w:numPr>
          <w:ilvl w:val="0"/>
          <w:numId w:val="103"/>
        </w:numPr>
        <w:tabs>
          <w:tab w:val="left" w:pos="180" w:leader="none"/>
        </w:tabs>
        <w:bidi w:val="0"/>
        <w:ind w:left="180" w:right="0" w:hanging="0"/>
        <w:jc w:val="left"/>
        <w:textAlignment w:val="auto"/>
        <w:rPr>
          <w:lang w:val="ro-MD"/>
        </w:rPr>
      </w:pPr>
      <w:r>
        <w:rPr>
          <w:rFonts w:cs="Times New Roman CE" w:ascii="Times New Roman CE" w:hAnsi="Times New Roman CE"/>
          <w:bCs/>
          <w:sz w:val="22"/>
          <w:szCs w:val="22"/>
          <w:lang w:val="ro-MD"/>
        </w:rPr>
        <w:t>Relevanţa rezultatelor ştiinţifice teoretice / aplicative obţinute, 201</w:t>
      </w:r>
      <w:r>
        <w:rPr>
          <w:bCs/>
          <w:sz w:val="22"/>
          <w:szCs w:val="22"/>
          <w:lang w:val="ro-MD"/>
        </w:rPr>
        <w:t>6</w:t>
      </w:r>
    </w:p>
    <w:tbl>
      <w:tblPr>
        <w:tblW w:w="9638" w:type="dxa"/>
        <w:jc w:val="left"/>
        <w:tblInd w:w="-109"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638"/>
      </w:tblGrid>
      <w:tr>
        <w:trPr/>
        <w:tc>
          <w:tcPr>
            <w:tcW w:w="9638"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ListParagraph"/>
              <w:widowControl/>
              <w:numPr>
                <w:ilvl w:val="0"/>
                <w:numId w:val="101"/>
              </w:numPr>
              <w:bidi w:val="0"/>
              <w:spacing w:before="0" w:after="0"/>
              <w:ind w:left="360" w:right="0" w:hanging="360"/>
              <w:contextualSpacing/>
              <w:jc w:val="both"/>
              <w:textAlignment w:val="auto"/>
              <w:rPr>
                <w:lang w:val="ro-MD"/>
              </w:rPr>
            </w:pPr>
            <w:r>
              <w:rPr>
                <w:sz w:val="22"/>
                <w:szCs w:val="22"/>
                <w:lang w:val="ro-MD"/>
              </w:rPr>
              <w:t xml:space="preserve">Rezultatele teoretice </w:t>
            </w:r>
            <w:r>
              <w:rPr>
                <w:rFonts w:cs="Times New Roman CE" w:ascii="Times New Roman CE" w:hAnsi="Times New Roman CE"/>
                <w:sz w:val="22"/>
                <w:szCs w:val="22"/>
                <w:lang w:val="ro-MD"/>
              </w:rPr>
              <w:t>ş</w:t>
            </w:r>
            <w:r>
              <w:rPr>
                <w:sz w:val="22"/>
                <w:szCs w:val="22"/>
                <w:lang w:val="ro-MD"/>
              </w:rPr>
              <w:t>i aplicative ob</w:t>
            </w:r>
            <w:r>
              <w:rPr>
                <w:rFonts w:cs="Times New Roman CE" w:ascii="Times New Roman CE" w:hAnsi="Times New Roman CE"/>
                <w:sz w:val="22"/>
                <w:szCs w:val="22"/>
                <w:lang w:val="ro-MD"/>
              </w:rPr>
              <w:t>ţinute în cadrul proiectului constituie o contribuţie importantă la edificarea şi consolidarea societăţii bazate pe cunoaştere. Modelul formal de calcul P system bazat pe paradigme biompleculare ar putea depăş</w:t>
            </w:r>
            <w:r>
              <w:rPr>
                <w:sz w:val="22"/>
                <w:szCs w:val="22"/>
                <w:lang w:val="ro-MD"/>
              </w:rPr>
              <w:t>i o parte din restric</w:t>
            </w:r>
            <w:r>
              <w:rPr>
                <w:rFonts w:cs="Times New Roman CE" w:ascii="Times New Roman CE" w:hAnsi="Times New Roman CE"/>
                <w:sz w:val="22"/>
                <w:szCs w:val="22"/>
                <w:lang w:val="ro-MD"/>
              </w:rPr>
              <w:t>ţ</w:t>
            </w:r>
            <w:r>
              <w:rPr>
                <w:sz w:val="22"/>
                <w:szCs w:val="22"/>
                <w:lang w:val="ro-MD"/>
              </w:rPr>
              <w:t xml:space="preserve">iile inerente acestor paradigme </w:t>
            </w:r>
            <w:r>
              <w:rPr>
                <w:rFonts w:cs="Times New Roman CE" w:ascii="Times New Roman CE" w:hAnsi="Times New Roman CE"/>
                <w:sz w:val="22"/>
                <w:szCs w:val="22"/>
                <w:lang w:val="ro-MD"/>
              </w:rPr>
              <w:t>ş</w:t>
            </w:r>
            <w:r>
              <w:rPr>
                <w:sz w:val="22"/>
                <w:szCs w:val="22"/>
                <w:lang w:val="ro-MD"/>
              </w:rPr>
              <w:t>i ar putea contribui la proiectarea noilor genera</w:t>
            </w:r>
            <w:r>
              <w:rPr>
                <w:rFonts w:cs="Times New Roman CE" w:ascii="Times New Roman CE" w:hAnsi="Times New Roman CE"/>
                <w:sz w:val="22"/>
                <w:szCs w:val="22"/>
                <w:lang w:val="ro-MD"/>
              </w:rPr>
              <w:t>ţ</w:t>
            </w:r>
            <w:r>
              <w:rPr>
                <w:sz w:val="22"/>
                <w:szCs w:val="22"/>
                <w:lang w:val="ro-MD"/>
              </w:rPr>
              <w:t xml:space="preserve">ii de calculatoare. </w:t>
            </w:r>
          </w:p>
          <w:p>
            <w:pPr>
              <w:pStyle w:val="ListParagraph"/>
              <w:widowControl/>
              <w:numPr>
                <w:ilvl w:val="0"/>
                <w:numId w:val="101"/>
              </w:numPr>
              <w:bidi w:val="0"/>
              <w:spacing w:before="0" w:after="0"/>
              <w:ind w:left="360" w:right="0" w:hanging="360"/>
              <w:contextualSpacing/>
              <w:jc w:val="both"/>
              <w:textAlignment w:val="auto"/>
              <w:rPr>
                <w:lang w:val="ro-MD"/>
              </w:rPr>
            </w:pPr>
            <w:r>
              <w:rPr>
                <w:sz w:val="22"/>
                <w:szCs w:val="22"/>
                <w:lang w:val="ro-MD"/>
              </w:rPr>
              <w:t xml:space="preserve">Tehnologia pentru digitizarea </w:t>
            </w:r>
            <w:r>
              <w:rPr>
                <w:rFonts w:cs="Times New Roman CE" w:ascii="Times New Roman CE" w:hAnsi="Times New Roman CE"/>
                <w:sz w:val="22"/>
                <w:szCs w:val="22"/>
                <w:lang w:val="ro-MD"/>
              </w:rPr>
              <w:t>ş</w:t>
            </w:r>
            <w:r>
              <w:rPr>
                <w:sz w:val="22"/>
                <w:szCs w:val="22"/>
                <w:lang w:val="ro-MD"/>
              </w:rPr>
              <w:t>i recunoa</w:t>
            </w:r>
            <w:r>
              <w:rPr>
                <w:rFonts w:cs="Times New Roman CE" w:ascii="Times New Roman CE" w:hAnsi="Times New Roman CE"/>
                <w:sz w:val="22"/>
                <w:szCs w:val="22"/>
                <w:lang w:val="ro-MD"/>
              </w:rPr>
              <w:t xml:space="preserve">şterea patrimoniului istoric şi lingvistic românesc tipărit cu alfabet chirilic în secolele 17-20 </w:t>
            </w:r>
            <w:r>
              <w:rPr>
                <w:sz w:val="22"/>
                <w:szCs w:val="22"/>
                <w:lang w:val="ro-MD"/>
              </w:rPr>
              <w:t xml:space="preserve">va asigura accesibilitatea </w:t>
            </w:r>
            <w:r>
              <w:rPr>
                <w:rFonts w:cs="Times New Roman CE" w:ascii="Times New Roman CE" w:hAnsi="Times New Roman CE"/>
                <w:sz w:val="22"/>
                <w:szCs w:val="22"/>
                <w:lang w:val="ro-MD"/>
              </w:rPr>
              <w:t>ş</w:t>
            </w:r>
            <w:r>
              <w:rPr>
                <w:sz w:val="22"/>
                <w:szCs w:val="22"/>
                <w:lang w:val="ro-MD"/>
              </w:rPr>
              <w:t xml:space="preserve">i conservarea acestui patrimoniu.  </w:t>
            </w:r>
            <w:r>
              <w:rPr>
                <w:rFonts w:cs="Times New Roman CE" w:ascii="Times New Roman CE" w:hAnsi="Times New Roman CE"/>
                <w:sz w:val="22"/>
                <w:szCs w:val="22"/>
                <w:lang w:val="ro-MD"/>
              </w:rPr>
              <w:t xml:space="preserve">Tehnologia de generare a lexiconului chirilic românesc pentru perioada 1967-1989 este utilă pentru automatizarea reeditării operelor de valoare apărute în această perioadă. </w:t>
            </w:r>
            <w:r>
              <w:rPr>
                <w:sz w:val="22"/>
                <w:szCs w:val="22"/>
                <w:lang w:val="fr-FR"/>
              </w:rPr>
              <w:t xml:space="preserve">Integral, rezultatele vor </w:t>
            </w:r>
            <w:r>
              <w:rPr>
                <w:color w:val="000000"/>
                <w:sz w:val="22"/>
                <w:szCs w:val="22"/>
                <w:lang w:val="ro-MD"/>
              </w:rPr>
              <w:t xml:space="preserve">contribui la automatizarea procesului de </w:t>
            </w:r>
            <w:r>
              <w:rPr>
                <w:rFonts w:cs="Times New Roman CE" w:ascii="Times New Roman CE" w:hAnsi="Times New Roman CE"/>
                <w:sz w:val="22"/>
                <w:szCs w:val="22"/>
                <w:lang w:val="fr-FR"/>
              </w:rPr>
              <w:t>creare, dezvoltare şi valorificare a conţinutului digital</w:t>
            </w:r>
            <w:r>
              <w:rPr>
                <w:rFonts w:cs="Times New Roman CE" w:ascii="Times New Roman CE" w:hAnsi="Times New Roman CE"/>
                <w:color w:val="000000"/>
                <w:sz w:val="22"/>
                <w:szCs w:val="22"/>
                <w:lang w:val="ro-MD"/>
              </w:rPr>
              <w:t>, parte componentă a Programului „Moldova digitală 2020”.</w:t>
            </w:r>
          </w:p>
          <w:p>
            <w:pPr>
              <w:pStyle w:val="ListParagraph"/>
              <w:widowControl/>
              <w:numPr>
                <w:ilvl w:val="0"/>
                <w:numId w:val="101"/>
              </w:numPr>
              <w:bidi w:val="0"/>
              <w:spacing w:before="0" w:after="0"/>
              <w:ind w:left="360" w:right="0" w:hanging="360"/>
              <w:contextualSpacing/>
              <w:jc w:val="both"/>
              <w:textAlignment w:val="auto"/>
              <w:rPr>
                <w:lang w:val="fr-FR"/>
              </w:rPr>
            </w:pPr>
            <w:r>
              <w:rPr>
                <w:rFonts w:cs="Times New Roman CE" w:ascii="Times New Roman CE" w:hAnsi="Times New Roman CE"/>
                <w:sz w:val="22"/>
                <w:szCs w:val="22"/>
                <w:lang w:val="fr-FR"/>
              </w:rPr>
              <w:t>Conceptul de remodelare a bazei de cunoştinţe Sonares, inclusiv a structurii, prin introducerea arhitecturii de multi-niveluri cu scopul utilizării acesteia în triajul medical la locul accidentelor cu multiple victime se încadrează cu succes în tendinţele moderne ale domeniului. Abordarea ce permite diferenţierea procesului de triaj la faţa locului este una nouă şi apreciată de medici-experţi.</w:t>
            </w:r>
          </w:p>
          <w:p>
            <w:pPr>
              <w:pStyle w:val="ListParagraph"/>
              <w:widowControl/>
              <w:numPr>
                <w:ilvl w:val="0"/>
                <w:numId w:val="101"/>
              </w:numPr>
              <w:bidi w:val="0"/>
              <w:spacing w:before="0" w:after="0"/>
              <w:ind w:left="360" w:right="0" w:hanging="360"/>
              <w:contextualSpacing/>
              <w:jc w:val="both"/>
              <w:textAlignment w:val="auto"/>
              <w:rPr>
                <w:lang w:val="fr-FR"/>
              </w:rPr>
            </w:pPr>
            <w:r>
              <w:rPr>
                <w:rFonts w:cs="Times New Roman CE" w:ascii="Times New Roman CE" w:hAnsi="Times New Roman CE"/>
                <w:sz w:val="22"/>
                <w:szCs w:val="22"/>
                <w:lang w:val="fr-FR"/>
              </w:rPr>
              <w:t>Rezultatele obţinute în domeniul calculului distribuit tip „cloud ştiinţific” permit optimizarea procedurii de instalare, integrare şi utilizare practică a infrastructurilor distribuite de calcul.</w:t>
            </w:r>
          </w:p>
        </w:tc>
      </w:tr>
    </w:tbl>
    <w:p>
      <w:pPr>
        <w:pStyle w:val="5"/>
        <w:keepNext/>
        <w:widowControl/>
        <w:numPr>
          <w:ilvl w:val="0"/>
          <w:numId w:val="0"/>
        </w:numPr>
        <w:bidi w:val="0"/>
        <w:ind w:left="0" w:right="0" w:hanging="0"/>
        <w:jc w:val="right"/>
        <w:textAlignment w:val="auto"/>
        <w:outlineLvl w:val="4"/>
        <w:rPr>
          <w:rFonts w:ascii="Times New Roman" w:hAnsi="Times New Roman"/>
          <w:b w:val="false"/>
          <w:b w:val="false"/>
          <w:bCs w:val="false"/>
          <w:i/>
          <w:i/>
          <w:iCs/>
          <w:sz w:val="20"/>
        </w:rPr>
      </w:pPr>
      <w:r>
        <w:rPr>
          <w:b w:val="false"/>
          <w:bCs w:val="false"/>
          <w:i/>
          <w:iCs/>
          <w:sz w:val="20"/>
        </w:rPr>
      </w:r>
    </w:p>
    <w:p>
      <w:pPr>
        <w:pStyle w:val="Normal"/>
        <w:widowControl/>
        <w:numPr>
          <w:ilvl w:val="0"/>
          <w:numId w:val="102"/>
        </w:numPr>
        <w:tabs>
          <w:tab w:val="left" w:pos="180" w:leader="none"/>
        </w:tabs>
        <w:bidi w:val="0"/>
        <w:ind w:left="180" w:right="0" w:hanging="0"/>
        <w:jc w:val="left"/>
        <w:textAlignment w:val="auto"/>
        <w:rPr>
          <w:lang w:val="ro-MD"/>
        </w:rPr>
      </w:pPr>
      <w:r>
        <w:rPr>
          <w:bCs/>
          <w:sz w:val="22"/>
          <w:szCs w:val="22"/>
          <w:lang w:val="ro-MD"/>
        </w:rPr>
        <w:t xml:space="preserve">Rezumatul </w:t>
      </w:r>
      <w:r>
        <w:rPr>
          <w:rFonts w:cs="Times New Roman CE" w:ascii="Times New Roman CE" w:hAnsi="Times New Roman CE"/>
          <w:bCs/>
          <w:sz w:val="22"/>
          <w:szCs w:val="22"/>
          <w:lang w:val="ro-MD"/>
        </w:rPr>
        <w:t>celor mai semnificative rezultate ştiinţifice teoretice / aplicative obţinute în cadrul proiectului în anul 201</w:t>
      </w:r>
      <w:r>
        <w:rPr>
          <w:bCs/>
          <w:sz w:val="22"/>
          <w:szCs w:val="22"/>
          <w:lang w:val="ro-MD"/>
        </w:rPr>
        <w:t>6</w:t>
      </w:r>
    </w:p>
    <w:p>
      <w:pPr>
        <w:pStyle w:val="ListParagraph"/>
        <w:widowControl/>
        <w:numPr>
          <w:ilvl w:val="0"/>
          <w:numId w:val="101"/>
        </w:numPr>
        <w:bidi w:val="0"/>
        <w:spacing w:before="0" w:after="0"/>
        <w:ind w:left="360" w:right="0" w:hanging="0"/>
        <w:contextualSpacing/>
        <w:jc w:val="both"/>
        <w:textAlignment w:val="auto"/>
        <w:rPr>
          <w:lang w:val="fr-FR"/>
        </w:rPr>
      </w:pPr>
      <w:r>
        <w:rPr>
          <w:sz w:val="22"/>
          <w:szCs w:val="22"/>
          <w:lang w:val="fr-FR"/>
        </w:rPr>
        <w:t xml:space="preserve">Au fost cercetate extensiunile curente ale P sistemelor. </w:t>
      </w:r>
      <w:r>
        <w:rPr>
          <w:rFonts w:cs="Times New Roman CE" w:ascii="Times New Roman CE" w:hAnsi="Times New Roman CE"/>
          <w:sz w:val="22"/>
          <w:szCs w:val="22"/>
          <w:lang w:val="en-US"/>
        </w:rPr>
        <w:t xml:space="preserve">A fost studiat framework-ul general pentru P sisteme cu stări. S-au studiat variaţii de P sisteme cu o membrană activă fără polarizări şi P sisteme neurale spiking cu două stări. A fost demonstrată completitudinea computaţională a reţelelor procesoarelor evoluţioniste hibride cu cinci noduri. </w:t>
      </w:r>
    </w:p>
    <w:p>
      <w:pPr>
        <w:pStyle w:val="ListParagraph"/>
        <w:widowControl/>
        <w:numPr>
          <w:ilvl w:val="0"/>
          <w:numId w:val="101"/>
        </w:numPr>
        <w:bidi w:val="0"/>
        <w:spacing w:before="0" w:after="0"/>
        <w:ind w:left="360" w:right="0" w:hanging="0"/>
        <w:contextualSpacing/>
        <w:jc w:val="both"/>
        <w:textAlignment w:val="auto"/>
        <w:rPr/>
      </w:pPr>
      <w:r>
        <w:rPr>
          <w:rFonts w:cs="Times New Roman CE" w:ascii="Times New Roman CE" w:hAnsi="Times New Roman CE"/>
          <w:sz w:val="22"/>
          <w:szCs w:val="22"/>
          <w:lang w:val="en-US"/>
        </w:rPr>
        <w:t>A fost dezvoltată o tehnologie pentru digitizarea şi recunoaşterea patrimoniului istoric şi lingvistic românesc tipărit cu alfabet chirilic în secolele 17-20. Tehnologia include: alfabete pentru ABBYY FineReader, dicţionare (liste de cuvinte), modele de recunoaştere, fonturi care acoperă glifurile rare</w:t>
      </w:r>
      <w:r>
        <w:rPr>
          <w:sz w:val="22"/>
          <w:szCs w:val="22"/>
          <w:lang w:val="en-US"/>
        </w:rPr>
        <w:t xml:space="preserve"> </w:t>
      </w:r>
      <w:r>
        <w:rPr>
          <w:rFonts w:cs="Times New Roman CE" w:ascii="Times New Roman CE" w:hAnsi="Times New Roman CE"/>
          <w:sz w:val="22"/>
          <w:szCs w:val="22"/>
          <w:lang w:val="en-US"/>
        </w:rPr>
        <w:t>ş</w:t>
      </w:r>
      <w:r>
        <w:rPr>
          <w:sz w:val="22"/>
          <w:szCs w:val="22"/>
          <w:lang w:val="en-US"/>
        </w:rPr>
        <w:t xml:space="preserve">i un manual de utilizare </w:t>
      </w:r>
    </w:p>
    <w:p>
      <w:pPr>
        <w:pStyle w:val="ListParagraph"/>
        <w:widowControl/>
        <w:numPr>
          <w:ilvl w:val="0"/>
          <w:numId w:val="101"/>
        </w:numPr>
        <w:bidi w:val="0"/>
        <w:spacing w:before="0" w:after="0"/>
        <w:ind w:left="360" w:right="0" w:hanging="0"/>
        <w:contextualSpacing/>
        <w:jc w:val="both"/>
        <w:textAlignment w:val="auto"/>
        <w:rPr>
          <w:lang w:val="fr-FR"/>
        </w:rPr>
      </w:pPr>
      <w:r>
        <w:rPr>
          <w:rFonts w:cs="Times New Roman CE" w:ascii="Times New Roman CE" w:hAnsi="Times New Roman CE"/>
          <w:sz w:val="22"/>
          <w:szCs w:val="22"/>
          <w:lang w:val="fr-FR"/>
        </w:rPr>
        <w:t>A fost elaborată o tehnologie de generare a lexiconului chirilic românesc pentru perioada 1967-1989.</w:t>
      </w:r>
    </w:p>
    <w:p>
      <w:pPr>
        <w:pStyle w:val="ListParagraph"/>
        <w:widowControl/>
        <w:numPr>
          <w:ilvl w:val="0"/>
          <w:numId w:val="101"/>
        </w:numPr>
        <w:bidi w:val="0"/>
        <w:spacing w:before="0" w:after="0"/>
        <w:ind w:left="360" w:right="0" w:hanging="0"/>
        <w:contextualSpacing/>
        <w:jc w:val="both"/>
        <w:textAlignment w:val="auto"/>
        <w:rPr>
          <w:lang w:val="fr-FR"/>
        </w:rPr>
      </w:pPr>
      <w:r>
        <w:rPr>
          <w:rFonts w:cs="Times New Roman CE" w:ascii="Times New Roman CE" w:hAnsi="Times New Roman CE"/>
          <w:sz w:val="22"/>
          <w:szCs w:val="22"/>
          <w:lang w:val="fr-FR"/>
        </w:rPr>
        <w:t>A fost şi propus conceptul de remodelare a bazei de cunoştinţe Sonares cu scopul utilizării acesteea în triajul medical la locul accidentelor cu multiple victime. Abordarea permite diferenţierea procesului de triaj la faţa locului, în funcţie de timpul disponibil pentru luarea deciziilor. BC Sonares remodelată constă din 3 nivele: nivelurile 1-2 corespund stării de severitate a victimei, iar nivelul 3 – patologiilor, când lichidul liber este prezent în cavitatea abdominală, dar nu este consecinţa unei leziuni abdominale.</w:t>
      </w:r>
    </w:p>
    <w:p>
      <w:pPr>
        <w:pStyle w:val="ListParagraph"/>
        <w:widowControl/>
        <w:numPr>
          <w:ilvl w:val="0"/>
          <w:numId w:val="101"/>
        </w:numPr>
        <w:bidi w:val="0"/>
        <w:spacing w:before="0" w:after="0"/>
        <w:ind w:left="360" w:right="0" w:hanging="0"/>
        <w:contextualSpacing/>
        <w:jc w:val="both"/>
        <w:textAlignment w:val="auto"/>
        <w:rPr>
          <w:lang w:val="fr-FR"/>
        </w:rPr>
      </w:pPr>
      <w:r>
        <w:rPr>
          <w:rFonts w:cs="Times New Roman CE" w:ascii="Times New Roman CE" w:hAnsi="Times New Roman CE"/>
          <w:sz w:val="22"/>
          <w:szCs w:val="22"/>
          <w:lang w:val="fr-FR"/>
        </w:rPr>
        <w:t>Au fost instalate, examinate şi testate soluţiile bazate pe ”middleware” Open source pentru ingineria sistemelor de perspectivă pentru organizarea funcţionării resurselor de calcul distribuit tip „calcul de cloud ştiinţific”. A fost instalat şi testat softul open source pentru desfăşurare a cluster-OpenStack</w:t>
      </w:r>
      <w:r>
        <w:rPr>
          <w:sz w:val="22"/>
          <w:szCs w:val="22"/>
          <w:lang w:val="fr-FR"/>
        </w:rPr>
        <w:t xml:space="preserve"> </w:t>
      </w:r>
      <w:r>
        <w:rPr>
          <w:rFonts w:cs="Times New Roman CE" w:ascii="Times New Roman CE" w:hAnsi="Times New Roman CE"/>
          <w:sz w:val="22"/>
          <w:szCs w:val="22"/>
          <w:lang w:val="fr-FR"/>
        </w:rPr>
        <w:t>folosind soluţii pentru proiecte Mirantis Fuel (v7, v8) şi creat model optim de desfăşurare a infrastructurii OpenStack Cloud.</w:t>
      </w:r>
    </w:p>
    <w:p>
      <w:pPr>
        <w:pStyle w:val="ListParagraph"/>
        <w:widowControl/>
        <w:numPr>
          <w:ilvl w:val="0"/>
          <w:numId w:val="101"/>
        </w:numPr>
        <w:bidi w:val="0"/>
        <w:spacing w:before="0" w:after="0"/>
        <w:ind w:left="360" w:right="0" w:hanging="0"/>
        <w:contextualSpacing/>
        <w:jc w:val="both"/>
        <w:textAlignment w:val="auto"/>
        <w:rPr>
          <w:lang w:val="fr-FR"/>
        </w:rPr>
      </w:pPr>
      <w:r>
        <w:rPr>
          <w:rFonts w:cs="Times New Roman CE" w:ascii="Times New Roman CE" w:hAnsi="Times New Roman CE"/>
          <w:sz w:val="22"/>
          <w:szCs w:val="22"/>
          <w:lang w:val="fr-FR"/>
        </w:rPr>
        <w:t>În cadrul dezvoltării Sistemului Informaţional Analitic al potenţialului ştiinţific al Institutului de Matematică şi Informatică au fost elaborate instrumente pentru achiziţionarea indicatorilor de raportare despre resursele umane (angajaţi) şi despre publicaţii. A fost realizată funcţia de generare a raportului în format XML.</w:t>
      </w:r>
    </w:p>
    <w:p>
      <w:pPr>
        <w:pStyle w:val="Normal"/>
        <w:widowControl/>
        <w:numPr>
          <w:ilvl w:val="0"/>
          <w:numId w:val="102"/>
        </w:numPr>
        <w:tabs>
          <w:tab w:val="left" w:pos="180" w:leader="none"/>
        </w:tabs>
        <w:bidi w:val="0"/>
        <w:ind w:left="180" w:right="0" w:hanging="0"/>
        <w:jc w:val="left"/>
        <w:textAlignment w:val="auto"/>
        <w:rPr>
          <w:lang w:val="ro-MD"/>
        </w:rPr>
      </w:pPr>
      <w:r>
        <w:rPr>
          <w:rFonts w:cs="Times New Roman CE" w:ascii="Times New Roman CE" w:hAnsi="Times New Roman CE"/>
          <w:bCs/>
          <w:sz w:val="22"/>
          <w:szCs w:val="22"/>
          <w:lang w:val="ro-MD"/>
        </w:rPr>
        <w:t xml:space="preserve"> </w:t>
      </w:r>
      <w:r>
        <w:rPr>
          <w:rFonts w:cs="Times New Roman CE" w:ascii="Times New Roman CE" w:hAnsi="Times New Roman CE"/>
          <w:bCs/>
          <w:sz w:val="22"/>
          <w:szCs w:val="22"/>
          <w:lang w:val="ro-MD"/>
        </w:rPr>
        <w:t>Beneficiarul (ministere, instituţii de stat sau private, întreprinderi, etc</w:t>
      </w:r>
    </w:p>
    <w:p>
      <w:pPr>
        <w:pStyle w:val="ListParagraph"/>
        <w:widowControl/>
        <w:numPr>
          <w:ilvl w:val="0"/>
          <w:numId w:val="101"/>
        </w:numPr>
        <w:bidi w:val="0"/>
        <w:spacing w:before="0" w:after="0"/>
        <w:ind w:left="360" w:right="0" w:hanging="0"/>
        <w:contextualSpacing/>
        <w:jc w:val="both"/>
        <w:textAlignment w:val="auto"/>
        <w:rPr>
          <w:lang w:val="ro-MD"/>
        </w:rPr>
      </w:pPr>
      <w:r>
        <w:rPr>
          <w:rFonts w:cs="Times New Roman CE" w:ascii="Times New Roman CE" w:hAnsi="Times New Roman CE"/>
          <w:sz w:val="22"/>
          <w:szCs w:val="22"/>
          <w:lang w:val="ro-MD"/>
        </w:rPr>
        <w:t>Ministerul sănătăţii, Ministerul TIC,  Centrele medicale publice şi private, Universitatea de Stat de Medicină şi Farmacie „Nicolae Testemiţanu”, biblioteci, edituri etc.</w:t>
      </w:r>
    </w:p>
    <w:p>
      <w:pPr>
        <w:pStyle w:val="ListParagraph"/>
        <w:widowControl/>
        <w:numPr>
          <w:ilvl w:val="0"/>
          <w:numId w:val="101"/>
        </w:numPr>
        <w:bidi w:val="0"/>
        <w:spacing w:before="0" w:after="0"/>
        <w:ind w:left="360" w:right="0" w:hanging="0"/>
        <w:contextualSpacing/>
        <w:jc w:val="both"/>
        <w:textAlignment w:val="auto"/>
        <w:rPr>
          <w:lang w:val="ro-MD"/>
        </w:rPr>
      </w:pPr>
      <w:r>
        <w:rPr>
          <w:rFonts w:cs="Times New Roman CE" w:ascii="Times New Roman CE" w:hAnsi="Times New Roman CE"/>
          <w:sz w:val="22"/>
          <w:szCs w:val="22"/>
          <w:lang w:val="ro-MD"/>
        </w:rPr>
        <w:t>Dezvoltatori de tehnologii, instrumente şi software destinate detectării şi diferenţierii diverselor emoţii faciale umane în baza înregistrării video</w:t>
      </w:r>
      <w:r>
        <w:rPr>
          <w:sz w:val="22"/>
          <w:szCs w:val="22"/>
          <w:lang w:val="ro-MD"/>
        </w:rPr>
        <w:t>.</w:t>
      </w:r>
    </w:p>
    <w:p>
      <w:pPr>
        <w:pStyle w:val="5"/>
        <w:keepNext/>
        <w:widowControl/>
        <w:numPr>
          <w:ilvl w:val="0"/>
          <w:numId w:val="0"/>
        </w:numPr>
        <w:bidi w:val="0"/>
        <w:ind w:left="0" w:right="0" w:hanging="0"/>
        <w:jc w:val="left"/>
        <w:textAlignment w:val="auto"/>
        <w:outlineLvl w:val="4"/>
        <w:rPr>
          <w:rFonts w:ascii="Times New Roman" w:hAnsi="Times New Roman"/>
          <w:b w:val="false"/>
          <w:b w:val="false"/>
          <w:bCs w:val="false"/>
          <w:iCs/>
          <w:sz w:val="20"/>
        </w:rPr>
      </w:pPr>
      <w:r>
        <w:rPr>
          <w:b w:val="false"/>
          <w:bCs w:val="false"/>
          <w:iCs/>
          <w:sz w:val="20"/>
        </w:rPr>
      </w:r>
    </w:p>
    <w:p>
      <w:pPr>
        <w:pStyle w:val="5"/>
        <w:keepNext/>
        <w:widowControl/>
        <w:numPr>
          <w:ilvl w:val="0"/>
          <w:numId w:val="0"/>
        </w:numPr>
        <w:tabs>
          <w:tab w:val="left" w:pos="0" w:leader="none"/>
        </w:tabs>
        <w:suppressAutoHyphens w:val="true"/>
        <w:bidi w:val="0"/>
        <w:ind w:left="1008" w:right="0" w:hanging="1008"/>
        <w:jc w:val="left"/>
        <w:textAlignment w:val="auto"/>
        <w:outlineLvl w:val="4"/>
        <w:rPr>
          <w:b w:val="false"/>
          <w:b w:val="false"/>
          <w:lang w:val="it-IT"/>
        </w:rPr>
      </w:pPr>
      <w:r>
        <w:rPr>
          <w:rFonts w:cs="Times New Roman CE" w:ascii="Times New Roman CE" w:hAnsi="Times New Roman CE"/>
          <w:b w:val="false"/>
          <w:bCs w:val="false"/>
          <w:iCs/>
          <w:spacing w:val="0"/>
          <w:sz w:val="24"/>
          <w:szCs w:val="24"/>
          <w:lang w:val="it-IT" w:eastAsia="ar-SA"/>
        </w:rPr>
        <w:t>Conducătorul proiectului</w:t>
      </w:r>
      <w:r>
        <w:rPr>
          <w:b w:val="false"/>
          <w:bCs w:val="false"/>
          <w:iCs/>
          <w:sz w:val="24"/>
          <w:szCs w:val="24"/>
        </w:rPr>
        <w:t xml:space="preserve"> </w:t>
      </w:r>
      <w:r>
        <w:rPr>
          <w:b w:val="false"/>
          <w:bCs w:val="false"/>
          <w:i/>
          <w:iCs/>
          <w:spacing w:val="0"/>
          <w:sz w:val="24"/>
          <w:szCs w:val="24"/>
          <w:lang w:val="ro-RO"/>
        </w:rPr>
        <w:t xml:space="preserve">_____________________________________  </w:t>
      </w:r>
      <w:bookmarkStart w:id="43" w:name="_Toc375219570"/>
      <w:bookmarkStart w:id="44" w:name="_Toc311820778"/>
      <w:bookmarkStart w:id="45" w:name="_Toc311820454"/>
      <w:bookmarkStart w:id="46" w:name="_Toc311819975"/>
      <w:bookmarkStart w:id="47" w:name="_Toc311819704"/>
      <w:bookmarkStart w:id="48" w:name="_Toc311818760"/>
      <w:r>
        <w:rPr>
          <w:b w:val="false"/>
          <w:bCs w:val="false"/>
          <w:color w:val="000000"/>
          <w:spacing w:val="0"/>
          <w:sz w:val="24"/>
          <w:szCs w:val="24"/>
        </w:rPr>
        <w:t xml:space="preserve"> dr. CIUBOTARU Constantin  </w:t>
      </w:r>
    </w:p>
    <w:p>
      <w:pPr>
        <w:pStyle w:val="Normal"/>
        <w:widowControl/>
        <w:bidi w:val="0"/>
        <w:ind w:left="0" w:right="0" w:hanging="0"/>
        <w:jc w:val="center"/>
        <w:textAlignment w:val="auto"/>
        <w:rPr>
          <w:rFonts w:ascii="Times New Roman" w:hAnsi="Times New Roman"/>
          <w:b/>
          <w:b/>
          <w:sz w:val="22"/>
          <w:szCs w:val="22"/>
          <w:lang w:val="ro-MD"/>
        </w:rPr>
      </w:pPr>
      <w:r>
        <w:rPr>
          <w:b/>
          <w:sz w:val="22"/>
          <w:szCs w:val="22"/>
          <w:lang w:val="ro-MD"/>
        </w:rPr>
      </w:r>
    </w:p>
    <w:p>
      <w:pPr>
        <w:pStyle w:val="Normal"/>
        <w:widowControl/>
        <w:bidi w:val="0"/>
        <w:ind w:left="0" w:right="0" w:hanging="0"/>
        <w:jc w:val="center"/>
        <w:textAlignment w:val="auto"/>
        <w:rPr>
          <w:rFonts w:ascii="Times New Roman" w:hAnsi="Times New Roman"/>
          <w:b/>
          <w:b/>
          <w:sz w:val="22"/>
          <w:szCs w:val="22"/>
          <w:lang w:val="ro-MD"/>
        </w:rPr>
      </w:pPr>
      <w:r>
        <w:rPr>
          <w:b/>
          <w:sz w:val="22"/>
          <w:szCs w:val="22"/>
          <w:lang w:val="ro-MD"/>
        </w:rPr>
      </w:r>
    </w:p>
    <w:p>
      <w:pPr>
        <w:pStyle w:val="Normal"/>
        <w:widowControl/>
        <w:bidi w:val="0"/>
        <w:ind w:left="0" w:right="0" w:hanging="0"/>
        <w:jc w:val="center"/>
        <w:textAlignment w:val="auto"/>
        <w:rPr>
          <w:rFonts w:ascii="Times New Roman" w:hAnsi="Times New Roman"/>
          <w:b/>
          <w:b/>
          <w:sz w:val="22"/>
          <w:szCs w:val="22"/>
          <w:lang w:val="ro-MD"/>
        </w:rPr>
      </w:pPr>
      <w:r>
        <w:rPr>
          <w:b/>
          <w:sz w:val="22"/>
          <w:szCs w:val="22"/>
          <w:lang w:val="ro-MD"/>
        </w:rPr>
      </w:r>
    </w:p>
    <w:p>
      <w:pPr>
        <w:pStyle w:val="Normal"/>
        <w:widowControl/>
        <w:bidi w:val="0"/>
        <w:ind w:left="0" w:right="0" w:hanging="0"/>
        <w:jc w:val="center"/>
        <w:textAlignment w:val="auto"/>
        <w:rPr>
          <w:rFonts w:ascii="Times New Roman" w:hAnsi="Times New Roman"/>
          <w:b/>
          <w:b/>
          <w:sz w:val="22"/>
          <w:szCs w:val="22"/>
          <w:lang w:val="ro-MD"/>
        </w:rPr>
      </w:pPr>
      <w:r>
        <w:rPr>
          <w:b/>
          <w:sz w:val="22"/>
          <w:szCs w:val="22"/>
          <w:lang w:val="ro-MD"/>
        </w:rPr>
      </w:r>
    </w:p>
    <w:p>
      <w:pPr>
        <w:pStyle w:val="Normal"/>
        <w:widowControl/>
        <w:bidi w:val="0"/>
        <w:ind w:left="0" w:right="0" w:hanging="0"/>
        <w:jc w:val="center"/>
        <w:textAlignment w:val="auto"/>
        <w:rPr>
          <w:rFonts w:ascii="Times New Roman" w:hAnsi="Times New Roman"/>
          <w:b/>
          <w:b/>
          <w:sz w:val="22"/>
          <w:szCs w:val="22"/>
          <w:lang w:val="ro-MD"/>
        </w:rPr>
      </w:pPr>
      <w:r>
        <w:rPr>
          <w:b/>
          <w:sz w:val="22"/>
          <w:szCs w:val="22"/>
          <w:lang w:val="ro-MD"/>
        </w:rPr>
      </w:r>
    </w:p>
    <w:p>
      <w:pPr>
        <w:pStyle w:val="Normal"/>
        <w:widowControl/>
        <w:bidi w:val="0"/>
        <w:ind w:left="0" w:right="0" w:hanging="0"/>
        <w:jc w:val="center"/>
        <w:textAlignment w:val="auto"/>
        <w:rPr>
          <w:rFonts w:ascii="Times New Roman" w:hAnsi="Times New Roman"/>
          <w:b/>
          <w:b/>
          <w:sz w:val="22"/>
          <w:szCs w:val="22"/>
          <w:lang w:val="ro-MD"/>
        </w:rPr>
      </w:pPr>
      <w:r>
        <w:rPr>
          <w:b/>
          <w:sz w:val="22"/>
          <w:szCs w:val="22"/>
          <w:lang w:val="ro-MD"/>
        </w:rPr>
      </w:r>
    </w:p>
    <w:p>
      <w:pPr>
        <w:pStyle w:val="Normal"/>
        <w:widowControl/>
        <w:bidi w:val="0"/>
        <w:ind w:left="0" w:right="0" w:hanging="0"/>
        <w:jc w:val="center"/>
        <w:textAlignment w:val="auto"/>
        <w:rPr>
          <w:rFonts w:ascii="Times New Roman" w:hAnsi="Times New Roman"/>
          <w:b/>
          <w:b/>
          <w:sz w:val="22"/>
          <w:szCs w:val="22"/>
          <w:lang w:val="ro-MD"/>
        </w:rPr>
      </w:pPr>
      <w:r>
        <w:rPr>
          <w:b/>
          <w:sz w:val="22"/>
          <w:szCs w:val="22"/>
          <w:lang w:val="ro-MD"/>
        </w:rPr>
      </w:r>
    </w:p>
    <w:p>
      <w:pPr>
        <w:pStyle w:val="Normal"/>
        <w:widowControl/>
        <w:bidi w:val="0"/>
        <w:ind w:left="0" w:right="0" w:hanging="0"/>
        <w:jc w:val="center"/>
        <w:textAlignment w:val="auto"/>
        <w:rPr>
          <w:rFonts w:ascii="Times New Roman" w:hAnsi="Times New Roman"/>
          <w:b/>
          <w:b/>
          <w:sz w:val="22"/>
          <w:szCs w:val="22"/>
          <w:lang w:val="ro-MD"/>
        </w:rPr>
      </w:pPr>
      <w:r>
        <w:rPr>
          <w:b/>
          <w:sz w:val="22"/>
          <w:szCs w:val="22"/>
          <w:lang w:val="ro-MD"/>
        </w:rPr>
      </w:r>
    </w:p>
    <w:p>
      <w:pPr>
        <w:pStyle w:val="Normal"/>
        <w:widowControl/>
        <w:bidi w:val="0"/>
        <w:ind w:left="0" w:right="0" w:hanging="0"/>
        <w:jc w:val="center"/>
        <w:textAlignment w:val="auto"/>
        <w:rPr>
          <w:rFonts w:ascii="Times New Roman" w:hAnsi="Times New Roman"/>
          <w:b/>
          <w:b/>
          <w:sz w:val="22"/>
          <w:szCs w:val="22"/>
          <w:lang w:val="ro-MD"/>
        </w:rPr>
      </w:pPr>
      <w:r>
        <w:rPr>
          <w:b/>
          <w:sz w:val="22"/>
          <w:szCs w:val="22"/>
          <w:lang w:val="ro-MD"/>
        </w:rPr>
      </w:r>
    </w:p>
    <w:p>
      <w:pPr>
        <w:pStyle w:val="Normal"/>
        <w:widowControl/>
        <w:bidi w:val="0"/>
        <w:ind w:left="0" w:right="0" w:hanging="0"/>
        <w:jc w:val="center"/>
        <w:textAlignment w:val="auto"/>
        <w:rPr>
          <w:rFonts w:ascii="Times New Roman" w:hAnsi="Times New Roman"/>
          <w:b/>
          <w:b/>
          <w:sz w:val="22"/>
          <w:szCs w:val="22"/>
          <w:lang w:val="ro-MD"/>
        </w:rPr>
      </w:pPr>
      <w:r>
        <w:rPr>
          <w:b/>
          <w:sz w:val="22"/>
          <w:szCs w:val="22"/>
          <w:lang w:val="ro-MD"/>
        </w:rPr>
      </w:r>
    </w:p>
    <w:p>
      <w:pPr>
        <w:pStyle w:val="Normal"/>
        <w:widowControl/>
        <w:bidi w:val="0"/>
        <w:ind w:left="0" w:right="0" w:hanging="0"/>
        <w:jc w:val="center"/>
        <w:textAlignment w:val="auto"/>
        <w:rPr>
          <w:rFonts w:ascii="Times New Roman" w:hAnsi="Times New Roman"/>
          <w:b/>
          <w:b/>
          <w:sz w:val="22"/>
          <w:szCs w:val="22"/>
          <w:lang w:val="ro-MD"/>
        </w:rPr>
      </w:pPr>
      <w:r>
        <w:rPr>
          <w:b/>
          <w:sz w:val="22"/>
          <w:szCs w:val="22"/>
          <w:lang w:val="ro-MD"/>
        </w:rPr>
      </w:r>
    </w:p>
    <w:p>
      <w:pPr>
        <w:pStyle w:val="Normal"/>
        <w:widowControl/>
        <w:bidi w:val="0"/>
        <w:ind w:left="0" w:right="0" w:hanging="0"/>
        <w:jc w:val="center"/>
        <w:textAlignment w:val="auto"/>
        <w:rPr>
          <w:rFonts w:ascii="Times New Roman" w:hAnsi="Times New Roman"/>
          <w:b/>
          <w:b/>
          <w:sz w:val="22"/>
          <w:szCs w:val="22"/>
          <w:lang w:val="ro-MD"/>
        </w:rPr>
      </w:pPr>
      <w:r>
        <w:rPr>
          <w:b/>
          <w:sz w:val="22"/>
          <w:szCs w:val="22"/>
          <w:lang w:val="ro-MD"/>
        </w:rPr>
      </w:r>
    </w:p>
    <w:p>
      <w:pPr>
        <w:pStyle w:val="Normal"/>
        <w:widowControl/>
        <w:bidi w:val="0"/>
        <w:ind w:left="0" w:right="0" w:hanging="0"/>
        <w:jc w:val="center"/>
        <w:textAlignment w:val="auto"/>
        <w:rPr>
          <w:rFonts w:ascii="Times New Roman" w:hAnsi="Times New Roman"/>
          <w:b/>
          <w:b/>
          <w:sz w:val="22"/>
          <w:szCs w:val="22"/>
          <w:lang w:val="ro-MD"/>
        </w:rPr>
      </w:pPr>
      <w:r>
        <w:rPr>
          <w:b/>
          <w:sz w:val="22"/>
          <w:szCs w:val="22"/>
          <w:lang w:val="ro-MD"/>
        </w:rPr>
      </w:r>
    </w:p>
    <w:p>
      <w:pPr>
        <w:pStyle w:val="Normal"/>
        <w:widowControl/>
        <w:bidi w:val="0"/>
        <w:ind w:left="0" w:right="0" w:hanging="0"/>
        <w:jc w:val="center"/>
        <w:textAlignment w:val="auto"/>
        <w:rPr>
          <w:rFonts w:ascii="Times New Roman" w:hAnsi="Times New Roman"/>
          <w:b/>
          <w:b/>
          <w:sz w:val="22"/>
          <w:szCs w:val="22"/>
          <w:lang w:val="ro-MD"/>
        </w:rPr>
      </w:pPr>
      <w:r>
        <w:rPr>
          <w:b/>
          <w:sz w:val="22"/>
          <w:szCs w:val="22"/>
          <w:lang w:val="ro-MD"/>
        </w:rPr>
      </w:r>
    </w:p>
    <w:p>
      <w:pPr>
        <w:pStyle w:val="Normal"/>
        <w:widowControl/>
        <w:bidi w:val="0"/>
        <w:ind w:left="0" w:right="0" w:hanging="0"/>
        <w:jc w:val="center"/>
        <w:textAlignment w:val="auto"/>
        <w:rPr>
          <w:rFonts w:ascii="Times New Roman" w:hAnsi="Times New Roman"/>
          <w:b/>
          <w:b/>
          <w:sz w:val="22"/>
          <w:szCs w:val="22"/>
          <w:lang w:val="ro-MD"/>
        </w:rPr>
      </w:pPr>
      <w:r>
        <w:rPr>
          <w:b/>
          <w:sz w:val="22"/>
          <w:szCs w:val="22"/>
          <w:lang w:val="ro-MD"/>
        </w:rPr>
      </w:r>
    </w:p>
    <w:p>
      <w:pPr>
        <w:pStyle w:val="Normal"/>
        <w:widowControl/>
        <w:bidi w:val="0"/>
        <w:ind w:left="0" w:right="0" w:hanging="0"/>
        <w:jc w:val="center"/>
        <w:textAlignment w:val="auto"/>
        <w:rPr>
          <w:rFonts w:ascii="Times New Roman" w:hAnsi="Times New Roman"/>
          <w:b/>
          <w:b/>
          <w:sz w:val="22"/>
          <w:szCs w:val="22"/>
          <w:lang w:val="ro-MD"/>
        </w:rPr>
      </w:pPr>
      <w:r>
        <w:rPr>
          <w:b/>
          <w:sz w:val="22"/>
          <w:szCs w:val="22"/>
          <w:lang w:val="ro-MD"/>
        </w:rPr>
      </w:r>
    </w:p>
    <w:p>
      <w:pPr>
        <w:pStyle w:val="Normal"/>
        <w:widowControl/>
        <w:bidi w:val="0"/>
        <w:ind w:left="0" w:right="0" w:hanging="0"/>
        <w:jc w:val="center"/>
        <w:textAlignment w:val="auto"/>
        <w:rPr>
          <w:rFonts w:ascii="Times New Roman" w:hAnsi="Times New Roman"/>
          <w:b/>
          <w:b/>
          <w:sz w:val="22"/>
          <w:szCs w:val="22"/>
          <w:lang w:val="ro-MD"/>
        </w:rPr>
      </w:pPr>
      <w:r>
        <w:rPr>
          <w:b/>
          <w:sz w:val="22"/>
          <w:szCs w:val="22"/>
          <w:lang w:val="ro-MD"/>
        </w:rPr>
      </w:r>
    </w:p>
    <w:p>
      <w:pPr>
        <w:pStyle w:val="Normal"/>
        <w:widowControl/>
        <w:bidi w:val="0"/>
        <w:ind w:left="0" w:right="0" w:hanging="0"/>
        <w:jc w:val="center"/>
        <w:textAlignment w:val="auto"/>
        <w:rPr>
          <w:rFonts w:ascii="Times New Roman" w:hAnsi="Times New Roman"/>
          <w:b/>
          <w:b/>
          <w:sz w:val="22"/>
          <w:szCs w:val="22"/>
          <w:lang w:val="ro-MD"/>
        </w:rPr>
      </w:pPr>
      <w:r>
        <w:rPr>
          <w:b/>
          <w:sz w:val="22"/>
          <w:szCs w:val="22"/>
          <w:lang w:val="ro-MD"/>
        </w:rPr>
      </w:r>
    </w:p>
    <w:p>
      <w:pPr>
        <w:pStyle w:val="Normal"/>
        <w:widowControl/>
        <w:bidi w:val="0"/>
        <w:ind w:left="0" w:right="0" w:hanging="0"/>
        <w:jc w:val="center"/>
        <w:textAlignment w:val="auto"/>
        <w:rPr>
          <w:rFonts w:ascii="Times New Roman" w:hAnsi="Times New Roman"/>
          <w:b/>
          <w:b/>
          <w:sz w:val="22"/>
          <w:szCs w:val="22"/>
          <w:lang w:val="ro-MD"/>
        </w:rPr>
      </w:pPr>
      <w:r>
        <w:rPr>
          <w:b/>
          <w:sz w:val="22"/>
          <w:szCs w:val="22"/>
          <w:lang w:val="ro-MD"/>
        </w:rPr>
      </w:r>
    </w:p>
    <w:p>
      <w:pPr>
        <w:pStyle w:val="Normal"/>
        <w:widowControl/>
        <w:bidi w:val="0"/>
        <w:ind w:left="0" w:right="0" w:hanging="0"/>
        <w:jc w:val="center"/>
        <w:textAlignment w:val="auto"/>
        <w:rPr>
          <w:rFonts w:ascii="Times New Roman" w:hAnsi="Times New Roman"/>
          <w:b/>
          <w:b/>
          <w:sz w:val="22"/>
          <w:szCs w:val="22"/>
          <w:lang w:val="ro-MD"/>
        </w:rPr>
      </w:pPr>
      <w:r>
        <w:rPr>
          <w:b/>
          <w:sz w:val="22"/>
          <w:szCs w:val="22"/>
          <w:lang w:val="ro-MD"/>
        </w:rPr>
      </w:r>
    </w:p>
    <w:p>
      <w:pPr>
        <w:pStyle w:val="Normal"/>
        <w:widowControl/>
        <w:bidi w:val="0"/>
        <w:ind w:left="0" w:right="0" w:hanging="0"/>
        <w:jc w:val="center"/>
        <w:textAlignment w:val="auto"/>
        <w:rPr>
          <w:rFonts w:ascii="Times New Roman" w:hAnsi="Times New Roman"/>
          <w:b/>
          <w:b/>
          <w:sz w:val="22"/>
          <w:szCs w:val="22"/>
          <w:lang w:val="ro-MD"/>
        </w:rPr>
      </w:pPr>
      <w:r>
        <w:rPr>
          <w:b/>
          <w:sz w:val="22"/>
          <w:szCs w:val="22"/>
          <w:lang w:val="ro-MD"/>
        </w:rPr>
      </w:r>
    </w:p>
    <w:p>
      <w:pPr>
        <w:pStyle w:val="Normal"/>
        <w:widowControl/>
        <w:bidi w:val="0"/>
        <w:ind w:left="0" w:right="0" w:hanging="0"/>
        <w:jc w:val="center"/>
        <w:textAlignment w:val="auto"/>
        <w:rPr>
          <w:rFonts w:ascii="Times New Roman" w:hAnsi="Times New Roman"/>
          <w:b/>
          <w:b/>
          <w:sz w:val="22"/>
          <w:szCs w:val="22"/>
          <w:lang w:val="ro-MD"/>
        </w:rPr>
      </w:pPr>
      <w:r>
        <w:rPr>
          <w:b/>
          <w:sz w:val="22"/>
          <w:szCs w:val="22"/>
          <w:lang w:val="ro-MD"/>
        </w:rPr>
      </w:r>
    </w:p>
    <w:p>
      <w:pPr>
        <w:pStyle w:val="1"/>
        <w:keepNext/>
        <w:widowControl/>
        <w:numPr>
          <w:ilvl w:val="0"/>
          <w:numId w:val="0"/>
        </w:numPr>
        <w:bidi w:val="0"/>
        <w:spacing w:before="240" w:after="60"/>
        <w:ind w:left="0" w:right="0" w:hanging="0"/>
        <w:jc w:val="left"/>
        <w:textAlignment w:val="auto"/>
        <w:outlineLvl w:val="0"/>
        <w:rPr>
          <w:b w:val="false"/>
          <w:b w:val="false"/>
          <w:lang w:val="fr-FR"/>
        </w:rPr>
      </w:pPr>
      <w:bookmarkStart w:id="49" w:name="_Toc311818428"/>
      <w:bookmarkStart w:id="50" w:name="_Toc469651880"/>
      <w:bookmarkEnd w:id="43"/>
      <w:bookmarkEnd w:id="44"/>
      <w:bookmarkEnd w:id="45"/>
      <w:bookmarkEnd w:id="46"/>
      <w:bookmarkEnd w:id="47"/>
      <w:bookmarkEnd w:id="48"/>
      <w:bookmarkEnd w:id="49"/>
      <w:bookmarkEnd w:id="50"/>
      <w:r>
        <w:rPr>
          <w:rFonts w:cs="Times New Roman CE" w:ascii="Times New Roman CE" w:hAnsi="Times New Roman CE"/>
          <w:b w:val="false"/>
          <w:lang w:val="fr-FR"/>
        </w:rPr>
        <w:t>Fişele proiectelor din cadrul Programului de Stat (I)</w:t>
      </w:r>
    </w:p>
    <w:p>
      <w:pPr>
        <w:pStyle w:val="2"/>
        <w:keepNext/>
        <w:widowControl/>
        <w:numPr>
          <w:ilvl w:val="0"/>
          <w:numId w:val="0"/>
        </w:numPr>
        <w:bidi w:val="0"/>
        <w:ind w:left="0" w:right="0" w:hanging="0"/>
        <w:jc w:val="left"/>
        <w:textAlignment w:val="auto"/>
        <w:outlineLvl w:val="1"/>
        <w:rPr/>
      </w:pPr>
      <w:bookmarkStart w:id="51" w:name="_Toc375219571"/>
      <w:bookmarkStart w:id="52" w:name="_Toc469651881"/>
      <w:r>
        <w:rPr>
          <w:rFonts w:cs="Times New Roman CE" w:ascii="Times New Roman CE" w:hAnsi="Times New Roman CE"/>
          <w:i/>
          <w:sz w:val="26"/>
          <w:szCs w:val="26"/>
        </w:rPr>
        <w:t xml:space="preserve">Fişa proiectului </w:t>
      </w:r>
      <w:r>
        <w:rPr>
          <w:i/>
          <w:sz w:val="26"/>
          <w:szCs w:val="26"/>
          <w:lang w:val="ro-MD"/>
        </w:rPr>
        <w:t xml:space="preserve">din cadrul Programului de Stat </w:t>
      </w:r>
      <w:bookmarkEnd w:id="51"/>
      <w:bookmarkEnd w:id="52"/>
      <w:r>
        <w:rPr>
          <w:i/>
          <w:sz w:val="26"/>
          <w:szCs w:val="26"/>
        </w:rPr>
        <w:t>I</w:t>
      </w:r>
    </w:p>
    <w:p>
      <w:pPr>
        <w:pStyle w:val="Normal"/>
        <w:keepNext/>
        <w:widowControl/>
        <w:numPr>
          <w:ilvl w:val="0"/>
          <w:numId w:val="27"/>
        </w:numPr>
        <w:tabs>
          <w:tab w:val="left" w:pos="180" w:leader="none"/>
        </w:tabs>
        <w:bidi w:val="0"/>
        <w:ind w:left="180" w:right="0" w:hanging="0"/>
        <w:jc w:val="left"/>
        <w:textAlignment w:val="auto"/>
        <w:outlineLvl w:val="1"/>
        <w:rPr>
          <w:lang w:val="ro-MD"/>
        </w:rPr>
      </w:pPr>
      <w:bookmarkStart w:id="53" w:name="_Anexa_2.3.la_forma_2"/>
      <w:bookmarkEnd w:id="53"/>
      <w:r>
        <w:rPr>
          <w:rFonts w:cs="Times New Roman CE" w:ascii="Times New Roman CE" w:hAnsi="Times New Roman CE"/>
          <w:bCs/>
          <w:sz w:val="22"/>
          <w:szCs w:val="22"/>
          <w:lang w:val="ro-MD"/>
        </w:rPr>
        <w:t>Codul şi</w:t>
      </w:r>
      <w:r>
        <w:rPr>
          <w:bCs/>
          <w:sz w:val="22"/>
          <w:szCs w:val="22"/>
          <w:lang w:val="ro-MD"/>
        </w:rPr>
        <w:t xml:space="preserve"> </w:t>
      </w:r>
      <w:r>
        <w:rPr>
          <w:bCs/>
          <w:color w:val="000000"/>
          <w:sz w:val="22"/>
          <w:szCs w:val="22"/>
          <w:lang w:val="ro-MD"/>
        </w:rPr>
        <w:t xml:space="preserve">denumirea </w:t>
      </w:r>
      <w:r>
        <w:rPr>
          <w:color w:val="000000"/>
          <w:sz w:val="22"/>
          <w:szCs w:val="22"/>
          <w:lang w:val="ro-MD"/>
        </w:rPr>
        <w:t>proiectului</w:t>
      </w:r>
      <w:r>
        <w:rPr>
          <w:bCs/>
          <w:color w:val="000000"/>
          <w:sz w:val="22"/>
          <w:szCs w:val="22"/>
          <w:lang w:val="ro-MD"/>
        </w:rPr>
        <w:t xml:space="preserve"> </w:t>
      </w:r>
    </w:p>
    <w:tbl>
      <w:tblPr>
        <w:tblW w:w="9512"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512"/>
      </w:tblGrid>
      <w:tr>
        <w:trPr/>
        <w:tc>
          <w:tcPr>
            <w:tcW w:w="9512"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en-US"/>
              </w:rPr>
            </w:pPr>
            <w:r>
              <w:rPr>
                <w:sz w:val="22"/>
                <w:szCs w:val="22"/>
                <w:lang w:val="en-US"/>
              </w:rPr>
              <w:t>15.856.02.04A</w:t>
            </w:r>
            <w:r>
              <w:rPr>
                <w:b/>
                <w:sz w:val="22"/>
                <w:szCs w:val="22"/>
                <w:lang w:val="en-US"/>
              </w:rPr>
              <w:t xml:space="preserve"> </w:t>
            </w:r>
            <w:r>
              <w:rPr>
                <w:b/>
                <w:sz w:val="22"/>
                <w:szCs w:val="22"/>
                <w:lang w:val="ro-RO"/>
              </w:rPr>
              <w:t xml:space="preserve"> </w:t>
            </w:r>
            <w:r>
              <w:rPr>
                <w:color w:val="000000"/>
                <w:sz w:val="22"/>
                <w:szCs w:val="22"/>
                <w:lang w:val="en-US"/>
              </w:rPr>
              <w:t>Sistem Informa</w:t>
            </w:r>
            <w:r>
              <w:rPr>
                <w:rFonts w:ascii="Calibri" w:hAnsi="Calibri"/>
                <w:color w:val="000000"/>
                <w:sz w:val="22"/>
                <w:szCs w:val="22"/>
                <w:lang w:val="en-US"/>
              </w:rPr>
              <w:t>ț</w:t>
            </w:r>
            <w:r>
              <w:rPr>
                <w:color w:val="000000"/>
                <w:sz w:val="22"/>
                <w:szCs w:val="22"/>
                <w:lang w:val="en-US"/>
              </w:rPr>
              <w:t xml:space="preserve">ional pentru cercetare, tratament, recuperare </w:t>
            </w:r>
            <w:r>
              <w:rPr>
                <w:rFonts w:ascii="Calibri" w:hAnsi="Calibri"/>
                <w:color w:val="000000"/>
                <w:sz w:val="22"/>
                <w:szCs w:val="22"/>
                <w:lang w:val="en-US"/>
              </w:rPr>
              <w:t>ș</w:t>
            </w:r>
            <w:r>
              <w:rPr>
                <w:color w:val="000000"/>
                <w:sz w:val="22"/>
                <w:szCs w:val="22"/>
                <w:lang w:val="en-US"/>
              </w:rPr>
              <w:t>i reabilitare în accidentele vasculare cerebrale</w:t>
            </w:r>
            <w:r>
              <w:rPr>
                <w:sz w:val="22"/>
                <w:szCs w:val="22"/>
                <w:lang w:val="en-US"/>
              </w:rPr>
              <w:t xml:space="preserve">  </w:t>
            </w:r>
          </w:p>
        </w:tc>
      </w:tr>
    </w:tbl>
    <w:p>
      <w:pPr>
        <w:pStyle w:val="Normal"/>
        <w:widowControl/>
        <w:numPr>
          <w:ilvl w:val="0"/>
          <w:numId w:val="27"/>
        </w:numPr>
        <w:tabs>
          <w:tab w:val="left" w:pos="180" w:leader="none"/>
        </w:tabs>
        <w:bidi w:val="0"/>
        <w:ind w:left="180" w:right="0" w:hanging="0"/>
        <w:jc w:val="left"/>
        <w:textAlignment w:val="auto"/>
        <w:rPr>
          <w:lang w:val="ro-MD"/>
        </w:rPr>
      </w:pPr>
      <w:r>
        <w:rPr>
          <w:bCs/>
          <w:color w:val="000000"/>
          <w:sz w:val="22"/>
          <w:szCs w:val="22"/>
          <w:lang w:val="ro-MD"/>
        </w:rPr>
        <w:t xml:space="preserve">Denumirea Programului de stat, </w:t>
      </w:r>
      <w:r>
        <w:rPr>
          <w:rFonts w:cs="Times New Roman CE" w:ascii="Times New Roman CE" w:hAnsi="Times New Roman CE"/>
          <w:bCs/>
          <w:sz w:val="22"/>
          <w:szCs w:val="22"/>
          <w:lang w:val="ro-MD"/>
        </w:rPr>
        <w:t>Denumirea direcţiei strategice</w:t>
      </w:r>
    </w:p>
    <w:tbl>
      <w:tblPr>
        <w:tblW w:w="9512"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512"/>
      </w:tblGrid>
      <w:tr>
        <w:trPr/>
        <w:tc>
          <w:tcPr>
            <w:tcW w:w="9512"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both"/>
              <w:textAlignment w:val="auto"/>
              <w:rPr>
                <w:lang w:val="en-US"/>
              </w:rPr>
            </w:pPr>
            <w:r>
              <w:rPr>
                <w:color w:val="000000"/>
                <w:sz w:val="22"/>
                <w:szCs w:val="22"/>
                <w:shd w:fill="FFFFFF" w:val="clear"/>
                <w:lang w:val="en-US"/>
              </w:rPr>
              <w:t>Sistemogeneza factorilor de risc, optimiz</w:t>
            </w:r>
            <w:r>
              <w:rPr>
                <w:rFonts w:cs="Times New Roman CE" w:ascii="Times New Roman CE" w:hAnsi="Times New Roman CE"/>
                <w:color w:val="000000"/>
                <w:sz w:val="22"/>
                <w:szCs w:val="22"/>
                <w:shd w:fill="FFFFFF" w:val="clear"/>
                <w:lang w:val="en-US"/>
              </w:rPr>
              <w:t>area serviciului de asistenţă medicală, evaluarea durabilă şi modelarea matematică a Accidentelor Vasculare Cerebrale,</w:t>
            </w:r>
          </w:p>
          <w:p>
            <w:pPr>
              <w:pStyle w:val="Normal"/>
              <w:widowControl/>
              <w:bidi w:val="0"/>
              <w:ind w:left="0" w:right="0" w:hanging="0"/>
              <w:jc w:val="both"/>
              <w:textAlignment w:val="auto"/>
              <w:rPr/>
            </w:pPr>
            <w:r>
              <w:rPr>
                <w:rFonts w:cs="Times New Roman CE" w:ascii="Times New Roman CE" w:hAnsi="Times New Roman CE"/>
                <w:color w:val="000000"/>
                <w:sz w:val="22"/>
                <w:szCs w:val="22"/>
                <w:shd w:fill="FFFFFF" w:val="clear"/>
                <w:lang w:val="en-US"/>
              </w:rPr>
              <w:t xml:space="preserve">Direcţia strategică: </w:t>
            </w:r>
            <w:r>
              <w:rPr>
                <w:rFonts w:cs="Times New Roman CE" w:ascii="Times New Roman CE" w:hAnsi="Times New Roman CE"/>
                <w:sz w:val="22"/>
                <w:szCs w:val="22"/>
                <w:lang w:val="en-US"/>
              </w:rPr>
              <w:t xml:space="preserve">Sănătate </w:t>
            </w:r>
            <w:r>
              <w:rPr>
                <w:rFonts w:ascii="Calibri" w:hAnsi="Calibri"/>
                <w:sz w:val="22"/>
                <w:szCs w:val="22"/>
                <w:lang w:val="en-US"/>
              </w:rPr>
              <w:t>ș</w:t>
            </w:r>
            <w:r>
              <w:rPr>
                <w:rFonts w:cs="Times New Roman CE" w:ascii="Times New Roman CE" w:hAnsi="Times New Roman CE"/>
                <w:sz w:val="22"/>
                <w:szCs w:val="22"/>
                <w:lang w:val="en-US"/>
              </w:rPr>
              <w:t>i Biomedicină</w:t>
            </w:r>
          </w:p>
        </w:tc>
      </w:tr>
    </w:tbl>
    <w:p>
      <w:pPr>
        <w:pStyle w:val="Normal"/>
        <w:widowControl/>
        <w:numPr>
          <w:ilvl w:val="0"/>
          <w:numId w:val="27"/>
        </w:numPr>
        <w:tabs>
          <w:tab w:val="left" w:pos="180" w:leader="none"/>
        </w:tabs>
        <w:bidi w:val="0"/>
        <w:ind w:left="180" w:right="0" w:hanging="0"/>
        <w:jc w:val="left"/>
        <w:textAlignment w:val="auto"/>
        <w:rPr>
          <w:lang w:val="ro-MD"/>
        </w:rPr>
      </w:pPr>
      <w:r>
        <w:rPr>
          <w:bCs/>
          <w:sz w:val="22"/>
          <w:szCs w:val="22"/>
          <w:lang w:val="ro-MD"/>
        </w:rPr>
        <w:t xml:space="preserve">Obiectivele proiectului </w:t>
      </w:r>
    </w:p>
    <w:tbl>
      <w:tblPr>
        <w:tblW w:w="10065"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10065"/>
      </w:tblGrid>
      <w:tr>
        <w:trPr/>
        <w:tc>
          <w:tcPr>
            <w:tcW w:w="10065"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both"/>
              <w:textAlignment w:val="auto"/>
              <w:rPr>
                <w:lang w:val="fr-FR"/>
              </w:rPr>
            </w:pPr>
            <w:r>
              <w:rPr>
                <w:lang w:val="fr-FR"/>
              </w:rPr>
              <w:t xml:space="preserve">Elaborarea instrumentarului informatic, ce va contribui la identificarea factorilor de risc pentru AVC </w:t>
            </w:r>
            <w:r>
              <w:rPr>
                <w:rFonts w:cs="Times New Roman CE" w:ascii="Times New Roman CE" w:hAnsi="Times New Roman CE"/>
                <w:lang w:val="fr-FR"/>
              </w:rPr>
              <w:t>ş</w:t>
            </w:r>
            <w:r>
              <w:rPr>
                <w:lang w:val="fr-FR"/>
              </w:rPr>
              <w:t>i formalizarea lor, cercetarea noilor factori.</w:t>
            </w:r>
          </w:p>
          <w:p>
            <w:pPr>
              <w:pStyle w:val="Normal"/>
              <w:widowControl/>
              <w:bidi w:val="0"/>
              <w:ind w:left="0" w:right="0" w:hanging="0"/>
              <w:jc w:val="both"/>
              <w:textAlignment w:val="auto"/>
              <w:rPr>
                <w:lang w:val="fr-FR"/>
              </w:rPr>
            </w:pPr>
            <w:r>
              <w:rPr>
                <w:rFonts w:cs="Times New Roman CE" w:ascii="Times New Roman CE" w:hAnsi="Times New Roman CE"/>
                <w:lang w:val="fr-FR"/>
              </w:rPr>
              <w:t>Elaborarea bazei de date a pacienţilor AVC conform grupurilor de risc.</w:t>
            </w:r>
          </w:p>
          <w:p>
            <w:pPr>
              <w:pStyle w:val="Normal"/>
              <w:widowControl/>
              <w:bidi w:val="0"/>
              <w:ind w:left="0" w:right="0" w:hanging="0"/>
              <w:jc w:val="both"/>
              <w:textAlignment w:val="auto"/>
              <w:rPr>
                <w:lang w:val="ro-RO"/>
              </w:rPr>
            </w:pPr>
            <w:r>
              <w:rPr>
                <w:lang w:val="ro-RO"/>
              </w:rPr>
              <w:t xml:space="preserve">Elaborarea metodelor noi de extragere a </w:t>
            </w:r>
            <w:r>
              <w:rPr>
                <w:rFonts w:cs="Times New Roman CE" w:ascii="Times New Roman CE" w:hAnsi="Times New Roman CE"/>
                <w:lang w:val="fr-FR"/>
              </w:rPr>
              <w:t>cunoştinţe</w:t>
            </w:r>
            <w:r>
              <w:rPr>
                <w:lang w:val="ro-RO"/>
              </w:rPr>
              <w:t>lor</w:t>
            </w:r>
            <w:r>
              <w:rPr>
                <w:rFonts w:cs="Times New Roman CE" w:ascii="Times New Roman CE" w:hAnsi="Times New Roman CE"/>
                <w:lang w:val="fr-FR"/>
              </w:rPr>
              <w:t xml:space="preserve"> în baza informaţiilor colectate despre accidentele vasculare cerebrale şi modul de tratare a acestei boli.</w:t>
            </w:r>
          </w:p>
        </w:tc>
      </w:tr>
    </w:tbl>
    <w:p>
      <w:pPr>
        <w:pStyle w:val="Normal"/>
        <w:widowControl/>
        <w:numPr>
          <w:ilvl w:val="0"/>
          <w:numId w:val="27"/>
        </w:numPr>
        <w:tabs>
          <w:tab w:val="left" w:pos="180" w:leader="none"/>
        </w:tabs>
        <w:bidi w:val="0"/>
        <w:ind w:left="180" w:right="0" w:hanging="0"/>
        <w:jc w:val="left"/>
        <w:textAlignment w:val="auto"/>
        <w:rPr>
          <w:lang w:val="ro-MD"/>
        </w:rPr>
      </w:pPr>
      <w:r>
        <w:rPr>
          <w:rFonts w:cs="Times New Roman CE" w:ascii="Times New Roman CE" w:hAnsi="Times New Roman CE"/>
          <w:bCs/>
          <w:sz w:val="22"/>
          <w:szCs w:val="22"/>
          <w:lang w:val="ro-MD"/>
        </w:rPr>
        <w:t>Termenul executării</w:t>
      </w:r>
      <w:r>
        <w:rPr>
          <w:color w:val="800000"/>
          <w:sz w:val="22"/>
          <w:szCs w:val="22"/>
          <w:lang w:val="ro-MD"/>
        </w:rPr>
        <w:t xml:space="preserve"> </w:t>
      </w:r>
    </w:p>
    <w:tbl>
      <w:tblPr>
        <w:tblW w:w="9512"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512"/>
      </w:tblGrid>
      <w:tr>
        <w:trPr/>
        <w:tc>
          <w:tcPr>
            <w:tcW w:w="9512"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MD"/>
              </w:rPr>
            </w:pPr>
            <w:r>
              <w:rPr>
                <w:bCs/>
                <w:lang w:val="ro-MD"/>
              </w:rPr>
              <w:t>2015-2016</w:t>
            </w:r>
          </w:p>
        </w:tc>
      </w:tr>
    </w:tbl>
    <w:p>
      <w:pPr>
        <w:pStyle w:val="Normal"/>
        <w:widowControl/>
        <w:numPr>
          <w:ilvl w:val="0"/>
          <w:numId w:val="27"/>
        </w:numPr>
        <w:tabs>
          <w:tab w:val="left" w:pos="180" w:leader="none"/>
        </w:tabs>
        <w:bidi w:val="0"/>
        <w:ind w:left="180" w:right="0" w:hanging="0"/>
        <w:jc w:val="left"/>
        <w:textAlignment w:val="auto"/>
        <w:rPr>
          <w:lang w:val="ro-MD"/>
        </w:rPr>
      </w:pPr>
      <w:r>
        <w:rPr>
          <w:sz w:val="22"/>
          <w:szCs w:val="22"/>
          <w:lang w:val="ro-MD"/>
        </w:rPr>
        <w:t xml:space="preserve">Volumul total planificat al </w:t>
      </w:r>
      <w:r>
        <w:rPr>
          <w:rFonts w:cs="Times New Roman CE" w:ascii="Times New Roman CE" w:hAnsi="Times New Roman CE"/>
          <w:sz w:val="22"/>
          <w:szCs w:val="22"/>
          <w:lang w:val="ro-MD"/>
        </w:rPr>
        <w:t>finanţării</w:t>
      </w:r>
    </w:p>
    <w:tbl>
      <w:tblPr>
        <w:tblW w:w="10065" w:type="dxa"/>
        <w:jc w:val="left"/>
        <w:tblInd w:w="425"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10065"/>
      </w:tblGrid>
      <w:tr>
        <w:trPr/>
        <w:tc>
          <w:tcPr>
            <w:tcW w:w="10065"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both"/>
              <w:textAlignment w:val="auto"/>
              <w:rPr>
                <w:lang w:val="ro-MD"/>
              </w:rPr>
            </w:pPr>
            <w:r>
              <w:rPr>
                <w:i/>
                <w:sz w:val="22"/>
                <w:szCs w:val="22"/>
                <w:lang w:val="ro-MD"/>
              </w:rPr>
              <w:t>90 (mii lei) 180 mii lei</w:t>
            </w:r>
            <w:r>
              <w:rPr>
                <w:sz w:val="22"/>
                <w:szCs w:val="22"/>
                <w:lang w:val="ro-RO" w:eastAsia="ro-RO"/>
              </w:rPr>
              <w:t xml:space="preserve"> (ulterior </w:t>
            </w:r>
            <w:r>
              <w:rPr>
                <w:rFonts w:cs="Times New Roman CE" w:ascii="Times New Roman CE" w:hAnsi="Times New Roman CE"/>
                <w:sz w:val="22"/>
                <w:szCs w:val="22"/>
                <w:lang w:val="ro-RO" w:eastAsia="ro-RO"/>
              </w:rPr>
              <w:t>14,5 mii reduse în conformitate cu scrisoarea Ministerului Finanţ</w:t>
            </w:r>
            <w:r>
              <w:rPr>
                <w:sz w:val="22"/>
                <w:szCs w:val="22"/>
                <w:lang w:val="ro-RO" w:eastAsia="ro-RO"/>
              </w:rPr>
              <w:t>elor Nr.07-17/169 din 01.08.2016)</w:t>
            </w:r>
            <w:r>
              <w:rPr>
                <w:bCs/>
                <w:lang w:val="ro-MD"/>
              </w:rPr>
              <w:t xml:space="preserve"> </w:t>
            </w:r>
          </w:p>
        </w:tc>
      </w:tr>
    </w:tbl>
    <w:p>
      <w:pPr>
        <w:pStyle w:val="Normal"/>
        <w:widowControl/>
        <w:numPr>
          <w:ilvl w:val="0"/>
          <w:numId w:val="27"/>
        </w:numPr>
        <w:tabs>
          <w:tab w:val="left" w:pos="180" w:leader="none"/>
        </w:tabs>
        <w:bidi w:val="0"/>
        <w:ind w:left="180" w:right="0" w:hanging="0"/>
        <w:jc w:val="left"/>
        <w:textAlignment w:val="auto"/>
        <w:rPr>
          <w:lang w:val="ro-MD"/>
        </w:rPr>
      </w:pPr>
      <w:r>
        <w:rPr>
          <w:rFonts w:cs="Times New Roman CE" w:ascii="Times New Roman CE" w:hAnsi="Times New Roman CE"/>
          <w:sz w:val="22"/>
          <w:szCs w:val="22"/>
          <w:lang w:val="ro-MD"/>
        </w:rPr>
        <w:t>Volumul finanţări</w:t>
      </w:r>
      <w:r>
        <w:rPr>
          <w:sz w:val="22"/>
          <w:szCs w:val="22"/>
          <w:lang w:val="ro-MD"/>
        </w:rPr>
        <w:t>i pe perioada evaluat</w:t>
      </w:r>
      <w:r>
        <w:rPr>
          <w:rFonts w:cs="Times New Roman CE" w:ascii="Times New Roman CE" w:hAnsi="Times New Roman CE"/>
          <w:sz w:val="22"/>
          <w:szCs w:val="22"/>
          <w:lang w:val="ro-RO"/>
        </w:rPr>
        <w:t>ă (mii lei)</w:t>
      </w:r>
    </w:p>
    <w:tbl>
      <w:tblPr>
        <w:tblW w:w="10065" w:type="dxa"/>
        <w:jc w:val="left"/>
        <w:tblInd w:w="425"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5015"/>
        <w:gridCol w:w="5049"/>
      </w:tblGrid>
      <w:tr>
        <w:trPr/>
        <w:tc>
          <w:tcPr>
            <w:tcW w:w="5015"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spacing w:lineRule="auto" w:line="276"/>
              <w:ind w:left="0" w:right="0" w:hanging="0"/>
              <w:jc w:val="left"/>
              <w:textAlignment w:val="auto"/>
              <w:rPr>
                <w:lang w:val="ro-MD"/>
              </w:rPr>
            </w:pPr>
            <w:r>
              <w:rPr>
                <w:rFonts w:cs="Times New Roman CE" w:ascii="Times New Roman CE" w:hAnsi="Times New Roman CE"/>
                <w:i/>
                <w:sz w:val="22"/>
                <w:szCs w:val="22"/>
                <w:lang w:val="ro-MD"/>
              </w:rPr>
              <w:t>Finanţarea planificată  90 (mii lei)</w:t>
            </w:r>
          </w:p>
        </w:tc>
        <w:tc>
          <w:tcPr>
            <w:tcW w:w="5049"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spacing w:lineRule="auto" w:line="276"/>
              <w:ind w:left="0" w:right="0" w:hanging="0"/>
              <w:jc w:val="both"/>
              <w:textAlignment w:val="auto"/>
              <w:rPr>
                <w:lang w:val="ro-MD"/>
              </w:rPr>
            </w:pPr>
            <w:r>
              <w:rPr>
                <w:rFonts w:cs="Times New Roman CE" w:ascii="Times New Roman CE" w:hAnsi="Times New Roman CE"/>
                <w:bCs/>
                <w:i/>
                <w:sz w:val="22"/>
                <w:szCs w:val="22"/>
                <w:lang w:val="ro-MD"/>
              </w:rPr>
              <w:t>Executată (mii lei)</w:t>
            </w:r>
            <w:r>
              <w:rPr>
                <w:bCs/>
                <w:i/>
                <w:sz w:val="22"/>
                <w:szCs w:val="22"/>
                <w:lang w:val="ro-MD"/>
              </w:rPr>
              <w:t xml:space="preserve"> </w:t>
            </w:r>
            <w:r>
              <w:rPr>
                <w:rFonts w:cs="Times New Roman CE" w:ascii="Times New Roman CE" w:hAnsi="Times New Roman CE"/>
                <w:sz w:val="22"/>
                <w:szCs w:val="22"/>
                <w:lang w:val="ro-RO" w:eastAsia="ro-RO"/>
              </w:rPr>
              <w:t>75,5 mii lei (14,5 mii reduse în conformitate cu scrisoarea Ministerului Finanţ</w:t>
            </w:r>
            <w:r>
              <w:rPr>
                <w:sz w:val="22"/>
                <w:szCs w:val="22"/>
                <w:lang w:val="ro-RO" w:eastAsia="ro-RO"/>
              </w:rPr>
              <w:t>elor Nr.07-17/169 din 01.08.2016)</w:t>
            </w:r>
          </w:p>
        </w:tc>
      </w:tr>
    </w:tbl>
    <w:p>
      <w:pPr>
        <w:pStyle w:val="Normal"/>
        <w:widowControl/>
        <w:numPr>
          <w:ilvl w:val="0"/>
          <w:numId w:val="27"/>
        </w:numPr>
        <w:tabs>
          <w:tab w:val="left" w:pos="180" w:leader="none"/>
        </w:tabs>
        <w:bidi w:val="0"/>
        <w:spacing w:lineRule="auto" w:line="276"/>
        <w:ind w:left="180" w:right="0" w:hanging="0"/>
        <w:jc w:val="left"/>
        <w:textAlignment w:val="auto"/>
        <w:rPr>
          <w:lang w:val="ro-MD"/>
        </w:rPr>
      </w:pPr>
      <w:r>
        <w:rPr>
          <w:rFonts w:cs="Times New Roman CE" w:ascii="Times New Roman CE" w:hAnsi="Times New Roman CE"/>
          <w:sz w:val="22"/>
          <w:szCs w:val="22"/>
          <w:lang w:val="ro-MD"/>
        </w:rPr>
        <w:t>Volumul cofinanţării</w:t>
      </w:r>
      <w:r>
        <w:rPr>
          <w:i/>
          <w:sz w:val="22"/>
          <w:szCs w:val="22"/>
          <w:lang w:val="ro-MD"/>
        </w:rPr>
        <w:t xml:space="preserve"> (mii lei)</w:t>
      </w:r>
    </w:p>
    <w:tbl>
      <w:tblPr>
        <w:tblW w:w="8857" w:type="dxa"/>
        <w:jc w:val="left"/>
        <w:tblInd w:w="425"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8857"/>
      </w:tblGrid>
      <w:tr>
        <w:trPr>
          <w:trHeight w:val="269" w:hRule="atLeast"/>
        </w:trPr>
        <w:tc>
          <w:tcPr>
            <w:tcW w:w="8857"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spacing w:lineRule="auto" w:line="276"/>
              <w:ind w:left="0" w:right="0" w:hanging="0"/>
              <w:jc w:val="left"/>
              <w:textAlignment w:val="auto"/>
              <w:rPr>
                <w:lang w:val="ro-MD"/>
              </w:rPr>
            </w:pPr>
            <w:r>
              <w:rPr>
                <w:bCs/>
                <w:lang w:val="ro-MD"/>
              </w:rPr>
              <w:t>0 lei</w:t>
            </w:r>
          </w:p>
        </w:tc>
      </w:tr>
    </w:tbl>
    <w:p>
      <w:pPr>
        <w:pStyle w:val="Normal"/>
        <w:widowControl/>
        <w:numPr>
          <w:ilvl w:val="0"/>
          <w:numId w:val="27"/>
        </w:numPr>
        <w:tabs>
          <w:tab w:val="left" w:pos="180" w:leader="none"/>
        </w:tabs>
        <w:bidi w:val="0"/>
        <w:spacing w:lineRule="auto" w:line="276"/>
        <w:ind w:left="180" w:right="0" w:hanging="0"/>
        <w:jc w:val="left"/>
        <w:textAlignment w:val="auto"/>
        <w:rPr>
          <w:lang w:val="ro-MD"/>
        </w:rPr>
      </w:pPr>
      <w:r>
        <w:rPr>
          <w:rFonts w:cs="Times New Roman CE" w:ascii="Times New Roman CE" w:hAnsi="Times New Roman CE"/>
          <w:sz w:val="22"/>
          <w:szCs w:val="22"/>
          <w:lang w:val="ro-MD"/>
        </w:rPr>
        <w:t>Organizaţiile, subdiviziunile - executori ai proiectului (institut, laborator, secţie, sector etc.)</w:t>
      </w:r>
    </w:p>
    <w:tbl>
      <w:tblPr>
        <w:tblW w:w="8947" w:type="dxa"/>
        <w:jc w:val="left"/>
        <w:tblInd w:w="425"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8947"/>
      </w:tblGrid>
      <w:tr>
        <w:trPr>
          <w:trHeight w:val="242" w:hRule="atLeast"/>
        </w:trPr>
        <w:tc>
          <w:tcPr>
            <w:tcW w:w="8947"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spacing w:lineRule="auto" w:line="276"/>
              <w:ind w:left="0" w:right="0" w:hanging="0"/>
              <w:jc w:val="left"/>
              <w:textAlignment w:val="auto"/>
              <w:rPr>
                <w:lang w:val="ro-MD"/>
              </w:rPr>
            </w:pPr>
            <w:r>
              <w:rPr>
                <w:rFonts w:cs="Times New Roman CE" w:ascii="Times New Roman CE" w:hAnsi="Times New Roman CE"/>
                <w:bCs/>
                <w:i/>
                <w:lang w:val="ro-MD"/>
              </w:rPr>
              <w:t>Institutul de Matematică şi Informatică A</w:t>
            </w:r>
            <w:r>
              <w:rPr>
                <w:rFonts w:cs="Cambria Math" w:ascii="Cambria Math" w:hAnsi="Cambria Math"/>
                <w:bCs/>
                <w:i/>
                <w:lang w:val="ro-MD"/>
              </w:rPr>
              <w:t>Ș</w:t>
            </w:r>
            <w:r>
              <w:rPr>
                <w:bCs/>
                <w:i/>
                <w:lang w:val="ro-MD"/>
              </w:rPr>
              <w:t>M, laboratorul „Sisteme de programare”, ”Sisteme informatice”</w:t>
            </w:r>
          </w:p>
        </w:tc>
      </w:tr>
    </w:tbl>
    <w:p>
      <w:pPr>
        <w:pStyle w:val="Normal"/>
        <w:widowControl/>
        <w:numPr>
          <w:ilvl w:val="0"/>
          <w:numId w:val="27"/>
        </w:numPr>
        <w:tabs>
          <w:tab w:val="left" w:pos="180" w:leader="none"/>
        </w:tabs>
        <w:bidi w:val="0"/>
        <w:spacing w:lineRule="auto" w:line="276"/>
        <w:ind w:left="180" w:right="0" w:hanging="0"/>
        <w:jc w:val="left"/>
        <w:textAlignment w:val="auto"/>
        <w:rPr>
          <w:lang w:val="ro-MD"/>
        </w:rPr>
      </w:pPr>
      <w:r>
        <w:rPr>
          <w:sz w:val="22"/>
          <w:szCs w:val="22"/>
          <w:lang w:val="ro-MD"/>
        </w:rPr>
        <w:t xml:space="preserve">Executorii  </w:t>
      </w:r>
    </w:p>
    <w:tbl>
      <w:tblPr>
        <w:tblW w:w="8973" w:type="dxa"/>
        <w:jc w:val="left"/>
        <w:tblInd w:w="56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3" w:type="dxa"/>
          <w:bottom w:w="0" w:type="dxa"/>
          <w:right w:w="108" w:type="dxa"/>
        </w:tblCellMar>
      </w:tblPr>
      <w:tblGrid>
        <w:gridCol w:w="1392"/>
        <w:gridCol w:w="2084"/>
        <w:gridCol w:w="3061"/>
        <w:gridCol w:w="2435"/>
      </w:tblGrid>
      <w:tr>
        <w:trPr/>
        <w:tc>
          <w:tcPr>
            <w:tcW w:w="13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Nr./ord.</w:t>
            </w:r>
          </w:p>
        </w:tc>
        <w:tc>
          <w:tcPr>
            <w:tcW w:w="20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sz w:val="22"/>
                <w:szCs w:val="22"/>
                <w:lang w:val="ro-MD"/>
              </w:rPr>
              <w:t xml:space="preserve">Nume, prenume </w:t>
            </w:r>
          </w:p>
        </w:tc>
        <w:tc>
          <w:tcPr>
            <w:tcW w:w="549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sz w:val="22"/>
                <w:szCs w:val="22"/>
                <w:lang w:val="ro-MD"/>
              </w:rPr>
              <w:t xml:space="preserve"> </w:t>
            </w:r>
            <w:r>
              <w:rPr>
                <w:bCs/>
                <w:i/>
                <w:sz w:val="22"/>
                <w:szCs w:val="22"/>
                <w:lang w:val="ro-MD"/>
              </w:rPr>
              <w:t>F</w:t>
            </w:r>
            <w:r>
              <w:rPr>
                <w:rFonts w:cs="Times New Roman CE" w:ascii="Times New Roman CE" w:hAnsi="Times New Roman CE"/>
                <w:bCs/>
                <w:i/>
                <w:sz w:val="22"/>
                <w:szCs w:val="22"/>
                <w:lang w:val="ro-MD"/>
              </w:rPr>
              <w:t>uncţia în cadrul proiectului</w:t>
            </w:r>
          </w:p>
        </w:tc>
      </w:tr>
      <w:tr>
        <w:trPr/>
        <w:tc>
          <w:tcPr>
            <w:tcW w:w="13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1.</w:t>
            </w:r>
          </w:p>
        </w:tc>
        <w:tc>
          <w:tcPr>
            <w:tcW w:w="20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317" w:leader="none"/>
                <w:tab w:val="left" w:pos="3222" w:leader="none"/>
                <w:tab w:val="left" w:pos="3768" w:leader="none"/>
              </w:tabs>
              <w:bidi w:val="0"/>
              <w:ind w:left="0" w:right="0" w:hanging="0"/>
              <w:jc w:val="left"/>
              <w:textAlignment w:val="auto"/>
              <w:rPr>
                <w:lang w:val="ro-RO"/>
              </w:rPr>
            </w:pPr>
            <w:r>
              <w:rPr>
                <w:i/>
                <w:sz w:val="22"/>
                <w:szCs w:val="22"/>
                <w:lang w:val="ro-RO"/>
              </w:rPr>
              <w:t xml:space="preserve">Svetlana Cojocaru </w:t>
            </w:r>
          </w:p>
        </w:tc>
        <w:tc>
          <w:tcPr>
            <w:tcW w:w="30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
                <w:sz w:val="22"/>
                <w:szCs w:val="22"/>
                <w:lang w:val="ro-RO"/>
              </w:rPr>
              <w:t>conducătorul proiectului</w:t>
            </w:r>
          </w:p>
        </w:tc>
        <w:tc>
          <w:tcPr>
            <w:tcW w:w="24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bCs/>
                <w:i/>
                <w:sz w:val="22"/>
                <w:szCs w:val="22"/>
                <w:lang w:val="ro-MD"/>
              </w:rPr>
              <w:t>doctor habilitat</w:t>
            </w:r>
          </w:p>
        </w:tc>
      </w:tr>
      <w:tr>
        <w:trPr/>
        <w:tc>
          <w:tcPr>
            <w:tcW w:w="13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2.</w:t>
            </w:r>
          </w:p>
        </w:tc>
        <w:tc>
          <w:tcPr>
            <w:tcW w:w="20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i/>
                <w:sz w:val="22"/>
                <w:szCs w:val="22"/>
                <w:lang w:val="en-US"/>
              </w:rPr>
              <w:t>Constantin Gaindric</w:t>
            </w:r>
          </w:p>
        </w:tc>
        <w:tc>
          <w:tcPr>
            <w:tcW w:w="30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bCs/>
                <w:i/>
                <w:iCs/>
                <w:sz w:val="22"/>
                <w:szCs w:val="22"/>
                <w:lang w:val="ro-MD"/>
              </w:rPr>
              <w:t>cercetător ştiinţific  principal</w:t>
            </w:r>
          </w:p>
        </w:tc>
        <w:tc>
          <w:tcPr>
            <w:tcW w:w="24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sz w:val="22"/>
                <w:szCs w:val="22"/>
                <w:lang w:val="ro-MD"/>
              </w:rPr>
              <w:t xml:space="preserve">m.cor., </w:t>
            </w:r>
            <w:r>
              <w:rPr>
                <w:bCs/>
                <w:i/>
                <w:iCs/>
                <w:sz w:val="22"/>
                <w:szCs w:val="22"/>
                <w:lang w:val="ro-MD"/>
              </w:rPr>
              <w:t>doctor habilitat</w:t>
            </w:r>
          </w:p>
        </w:tc>
      </w:tr>
      <w:tr>
        <w:trPr/>
        <w:tc>
          <w:tcPr>
            <w:tcW w:w="13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2.</w:t>
            </w:r>
          </w:p>
        </w:tc>
        <w:tc>
          <w:tcPr>
            <w:tcW w:w="20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i/>
                <w:sz w:val="22"/>
                <w:szCs w:val="22"/>
                <w:lang w:val="en-US"/>
              </w:rPr>
              <w:t>Magariu Galina</w:t>
            </w:r>
          </w:p>
        </w:tc>
        <w:tc>
          <w:tcPr>
            <w:tcW w:w="30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bCs/>
                <w:i/>
                <w:iCs/>
                <w:sz w:val="22"/>
                <w:szCs w:val="22"/>
                <w:lang w:val="ro-MD"/>
              </w:rPr>
              <w:t xml:space="preserve">cercetător ştiinţific </w:t>
            </w:r>
            <w:r>
              <w:rPr>
                <w:i/>
                <w:sz w:val="22"/>
                <w:szCs w:val="22"/>
                <w:lang w:val="ro-RO"/>
              </w:rPr>
              <w:t>coordonator</w:t>
            </w:r>
          </w:p>
        </w:tc>
        <w:tc>
          <w:tcPr>
            <w:tcW w:w="24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iCs/>
                <w:sz w:val="22"/>
                <w:szCs w:val="22"/>
                <w:lang w:val="ro-MD"/>
              </w:rPr>
              <w:t xml:space="preserve">doctor </w:t>
            </w:r>
          </w:p>
        </w:tc>
      </w:tr>
      <w:tr>
        <w:trPr/>
        <w:tc>
          <w:tcPr>
            <w:tcW w:w="13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4.</w:t>
            </w:r>
          </w:p>
        </w:tc>
        <w:tc>
          <w:tcPr>
            <w:tcW w:w="20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317" w:leader="none"/>
                <w:tab w:val="left" w:pos="3222" w:leader="none"/>
                <w:tab w:val="left" w:pos="3768" w:leader="none"/>
              </w:tabs>
              <w:bidi w:val="0"/>
              <w:ind w:left="0" w:right="0" w:hanging="0"/>
              <w:jc w:val="left"/>
              <w:textAlignment w:val="auto"/>
              <w:rPr>
                <w:lang w:val="ro-RO"/>
              </w:rPr>
            </w:pPr>
            <w:r>
              <w:rPr>
                <w:i/>
                <w:sz w:val="22"/>
                <w:szCs w:val="22"/>
                <w:lang w:val="ro-RO"/>
              </w:rPr>
              <w:t>Verlan Tatiana</w:t>
            </w:r>
          </w:p>
        </w:tc>
        <w:tc>
          <w:tcPr>
            <w:tcW w:w="30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
                <w:sz w:val="22"/>
                <w:szCs w:val="22"/>
                <w:lang w:val="ro-RO"/>
              </w:rPr>
              <w:t xml:space="preserve">cercetător ştiinţific </w:t>
            </w:r>
          </w:p>
        </w:tc>
        <w:tc>
          <w:tcPr>
            <w:tcW w:w="24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rFonts w:ascii="Times New Roman" w:hAnsi="Times New Roman"/>
                <w:bCs/>
                <w:i/>
                <w:i/>
                <w:iCs/>
                <w:sz w:val="22"/>
                <w:szCs w:val="22"/>
                <w:lang w:val="ro-MD"/>
              </w:rPr>
            </w:pPr>
            <w:r>
              <w:rPr>
                <w:bCs/>
                <w:i/>
                <w:iCs/>
                <w:sz w:val="22"/>
                <w:szCs w:val="22"/>
                <w:lang w:val="ro-MD"/>
              </w:rPr>
            </w:r>
          </w:p>
        </w:tc>
      </w:tr>
      <w:tr>
        <w:trPr/>
        <w:tc>
          <w:tcPr>
            <w:tcW w:w="13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5.</w:t>
            </w:r>
          </w:p>
        </w:tc>
        <w:tc>
          <w:tcPr>
            <w:tcW w:w="20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317" w:leader="none"/>
                <w:tab w:val="left" w:pos="3222" w:leader="none"/>
                <w:tab w:val="left" w:pos="3768" w:leader="none"/>
              </w:tabs>
              <w:bidi w:val="0"/>
              <w:ind w:left="0" w:right="0" w:hanging="0"/>
              <w:jc w:val="left"/>
              <w:textAlignment w:val="auto"/>
              <w:rPr>
                <w:lang w:val="ro-RO"/>
              </w:rPr>
            </w:pPr>
            <w:r>
              <w:rPr>
                <w:rFonts w:cs="Times New Roman CE" w:ascii="Times New Roman CE" w:hAnsi="Times New Roman CE"/>
                <w:i/>
                <w:sz w:val="22"/>
                <w:szCs w:val="22"/>
                <w:lang w:val="ro-RO"/>
              </w:rPr>
              <w:t>Zamşa Elena</w:t>
            </w:r>
          </w:p>
        </w:tc>
        <w:tc>
          <w:tcPr>
            <w:tcW w:w="30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
                <w:sz w:val="22"/>
                <w:szCs w:val="22"/>
                <w:lang w:val="ro-RO"/>
              </w:rPr>
              <w:t xml:space="preserve">cercetător ştiinţific </w:t>
            </w:r>
          </w:p>
        </w:tc>
        <w:tc>
          <w:tcPr>
            <w:tcW w:w="24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rFonts w:ascii="Times New Roman" w:hAnsi="Times New Roman"/>
                <w:i/>
                <w:i/>
                <w:sz w:val="22"/>
                <w:szCs w:val="22"/>
                <w:lang w:val="ro-RO"/>
              </w:rPr>
            </w:pPr>
            <w:r>
              <w:rPr>
                <w:i/>
                <w:sz w:val="22"/>
                <w:szCs w:val="22"/>
                <w:lang w:val="ro-RO"/>
              </w:rPr>
            </w:r>
          </w:p>
        </w:tc>
      </w:tr>
      <w:tr>
        <w:trPr/>
        <w:tc>
          <w:tcPr>
            <w:tcW w:w="13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6.</w:t>
            </w:r>
          </w:p>
        </w:tc>
        <w:tc>
          <w:tcPr>
            <w:tcW w:w="20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317" w:leader="none"/>
                <w:tab w:val="left" w:pos="3222" w:leader="none"/>
                <w:tab w:val="left" w:pos="3768" w:leader="none"/>
              </w:tabs>
              <w:bidi w:val="0"/>
              <w:ind w:left="0" w:right="0" w:hanging="0"/>
              <w:jc w:val="left"/>
              <w:textAlignment w:val="auto"/>
              <w:rPr>
                <w:lang w:val="ro-RO"/>
              </w:rPr>
            </w:pPr>
            <w:r>
              <w:rPr>
                <w:i/>
                <w:sz w:val="22"/>
                <w:szCs w:val="22"/>
                <w:lang w:val="ro-RO"/>
              </w:rPr>
              <w:t>Manea Diana</w:t>
            </w:r>
          </w:p>
        </w:tc>
        <w:tc>
          <w:tcPr>
            <w:tcW w:w="30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
                <w:sz w:val="22"/>
                <w:szCs w:val="22"/>
                <w:lang w:val="ro-RO"/>
              </w:rPr>
              <w:t>cercetător ştiinţific</w:t>
            </w:r>
          </w:p>
        </w:tc>
        <w:tc>
          <w:tcPr>
            <w:tcW w:w="24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rFonts w:ascii="Times New Roman" w:hAnsi="Times New Roman"/>
                <w:i/>
                <w:i/>
                <w:sz w:val="22"/>
                <w:szCs w:val="22"/>
                <w:lang w:val="ro-RO"/>
              </w:rPr>
            </w:pPr>
            <w:r>
              <w:rPr>
                <w:i/>
                <w:sz w:val="22"/>
                <w:szCs w:val="22"/>
                <w:lang w:val="ro-RO"/>
              </w:rPr>
            </w:r>
          </w:p>
        </w:tc>
      </w:tr>
      <w:tr>
        <w:trPr/>
        <w:tc>
          <w:tcPr>
            <w:tcW w:w="13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7.</w:t>
            </w:r>
          </w:p>
        </w:tc>
        <w:tc>
          <w:tcPr>
            <w:tcW w:w="20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317" w:leader="none"/>
                <w:tab w:val="left" w:pos="3222" w:leader="none"/>
                <w:tab w:val="left" w:pos="3768" w:leader="none"/>
              </w:tabs>
              <w:bidi w:val="0"/>
              <w:ind w:left="0" w:right="0" w:hanging="0"/>
              <w:jc w:val="left"/>
              <w:textAlignment w:val="auto"/>
              <w:rPr>
                <w:lang w:val="ro-RO"/>
              </w:rPr>
            </w:pPr>
            <w:r>
              <w:rPr>
                <w:rFonts w:cs="Times New Roman CE" w:ascii="Times New Roman CE" w:hAnsi="Times New Roman CE"/>
                <w:i/>
                <w:sz w:val="22"/>
                <w:szCs w:val="22"/>
                <w:lang w:val="ro-RO"/>
              </w:rPr>
              <w:t>Horoş Grigore</w:t>
            </w:r>
          </w:p>
        </w:tc>
        <w:tc>
          <w:tcPr>
            <w:tcW w:w="30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
                <w:sz w:val="22"/>
                <w:szCs w:val="22"/>
                <w:lang w:val="ro-RO"/>
              </w:rPr>
              <w:t>cercetător ştiinţific</w:t>
            </w:r>
            <w:r>
              <w:rPr>
                <w:i/>
                <w:sz w:val="22"/>
                <w:szCs w:val="22"/>
                <w:lang w:val="ro-RO"/>
              </w:rPr>
              <w:t xml:space="preserve"> stagiar</w:t>
            </w:r>
          </w:p>
        </w:tc>
        <w:tc>
          <w:tcPr>
            <w:tcW w:w="24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rFonts w:ascii="Times New Roman" w:hAnsi="Times New Roman"/>
                <w:i/>
                <w:i/>
                <w:sz w:val="22"/>
                <w:szCs w:val="22"/>
                <w:lang w:val="ro-RO"/>
              </w:rPr>
            </w:pPr>
            <w:r>
              <w:rPr>
                <w:i/>
                <w:sz w:val="22"/>
                <w:szCs w:val="22"/>
                <w:lang w:val="ro-RO"/>
              </w:rPr>
            </w:r>
          </w:p>
        </w:tc>
      </w:tr>
      <w:tr>
        <w:trPr/>
        <w:tc>
          <w:tcPr>
            <w:tcW w:w="13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8.</w:t>
            </w:r>
          </w:p>
        </w:tc>
        <w:tc>
          <w:tcPr>
            <w:tcW w:w="20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317" w:leader="none"/>
                <w:tab w:val="left" w:pos="3222" w:leader="none"/>
                <w:tab w:val="left" w:pos="3768" w:leader="none"/>
              </w:tabs>
              <w:bidi w:val="0"/>
              <w:ind w:left="0" w:right="0" w:hanging="0"/>
              <w:jc w:val="left"/>
              <w:textAlignment w:val="auto"/>
              <w:rPr>
                <w:lang w:val="ro-RO"/>
              </w:rPr>
            </w:pPr>
            <w:r>
              <w:rPr>
                <w:i/>
                <w:sz w:val="22"/>
                <w:szCs w:val="22"/>
                <w:lang w:val="ro-RO"/>
              </w:rPr>
              <w:t>Degteariov Nichita</w:t>
            </w:r>
          </w:p>
        </w:tc>
        <w:tc>
          <w:tcPr>
            <w:tcW w:w="30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
                <w:sz w:val="22"/>
                <w:szCs w:val="22"/>
                <w:lang w:val="ro-RO"/>
              </w:rPr>
              <w:t>cercetător ştiinţific</w:t>
            </w:r>
            <w:r>
              <w:rPr>
                <w:i/>
                <w:sz w:val="22"/>
                <w:szCs w:val="22"/>
                <w:lang w:val="ro-RO"/>
              </w:rPr>
              <w:t xml:space="preserve"> stagiar</w:t>
            </w:r>
          </w:p>
        </w:tc>
        <w:tc>
          <w:tcPr>
            <w:tcW w:w="24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rFonts w:ascii="Times New Roman" w:hAnsi="Times New Roman"/>
                <w:i/>
                <w:i/>
                <w:sz w:val="22"/>
                <w:szCs w:val="22"/>
                <w:lang w:val="ro-RO"/>
              </w:rPr>
            </w:pPr>
            <w:r>
              <w:rPr>
                <w:i/>
                <w:sz w:val="22"/>
                <w:szCs w:val="22"/>
                <w:lang w:val="ro-RO"/>
              </w:rPr>
            </w:r>
          </w:p>
        </w:tc>
      </w:tr>
    </w:tbl>
    <w:p>
      <w:pPr>
        <w:pStyle w:val="Normal"/>
        <w:widowControl/>
        <w:numPr>
          <w:ilvl w:val="0"/>
          <w:numId w:val="27"/>
        </w:numPr>
        <w:tabs>
          <w:tab w:val="left" w:pos="180" w:leader="none"/>
        </w:tabs>
        <w:bidi w:val="0"/>
        <w:spacing w:lineRule="auto" w:line="276"/>
        <w:ind w:left="180" w:right="0" w:hanging="0"/>
        <w:jc w:val="left"/>
        <w:textAlignment w:val="auto"/>
        <w:rPr>
          <w:lang w:val="ro-MD"/>
        </w:rPr>
      </w:pPr>
      <w:r>
        <w:rPr>
          <w:rFonts w:cs="Times New Roman CE" w:ascii="Times New Roman CE" w:hAnsi="Times New Roman CE"/>
          <w:sz w:val="22"/>
          <w:szCs w:val="22"/>
          <w:lang w:val="ro-MD"/>
        </w:rPr>
        <w:t>Sumarul activităţilor realizate până în preze</w:t>
      </w:r>
      <w:r>
        <w:rPr>
          <w:sz w:val="22"/>
          <w:szCs w:val="22"/>
          <w:lang w:val="ro-MD"/>
        </w:rPr>
        <w:t>nt</w:t>
      </w:r>
    </w:p>
    <w:tbl>
      <w:tblPr>
        <w:tblW w:w="9585" w:type="dxa"/>
        <w:jc w:val="left"/>
        <w:tblInd w:w="-142"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425"/>
        <w:gridCol w:w="3821"/>
        <w:gridCol w:w="5339"/>
      </w:tblGrid>
      <w:tr>
        <w:trPr>
          <w:trHeight w:val="507" w:hRule="atLeast"/>
        </w:trPr>
        <w:tc>
          <w:tcPr>
            <w:tcW w:w="425"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rFonts w:ascii="Times New Roman" w:hAnsi="Times New Roman"/>
                <w:bCs/>
                <w:color w:val="000000"/>
                <w:lang w:val="ro-MD"/>
              </w:rPr>
            </w:pPr>
            <w:r>
              <w:rPr>
                <w:bCs/>
                <w:color w:val="000000"/>
                <w:lang w:val="ro-MD"/>
              </w:rPr>
            </w:r>
          </w:p>
        </w:tc>
        <w:tc>
          <w:tcPr>
            <w:tcW w:w="3821"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bCs/>
                <w:i/>
                <w:color w:val="000000"/>
                <w:sz w:val="22"/>
                <w:szCs w:val="22"/>
                <w:lang w:val="ro-MD"/>
              </w:rPr>
              <w:t>Activităţi planificate</w:t>
            </w:r>
          </w:p>
        </w:tc>
        <w:tc>
          <w:tcPr>
            <w:tcW w:w="5339"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bCs/>
                <w:i/>
                <w:color w:val="000000"/>
                <w:sz w:val="22"/>
                <w:szCs w:val="22"/>
                <w:lang w:val="ro-MD"/>
              </w:rPr>
              <w:t>Activităţi realizate şi rezultate noi obţinute în cadrul proiectului</w:t>
            </w:r>
            <w:r>
              <w:rPr>
                <w:bCs/>
                <w:i/>
                <w:color w:val="000000"/>
                <w:sz w:val="22"/>
                <w:szCs w:val="22"/>
                <w:lang w:val="ro-MD"/>
              </w:rPr>
              <w:t xml:space="preserve"> </w:t>
            </w:r>
          </w:p>
        </w:tc>
      </w:tr>
      <w:tr>
        <w:trPr>
          <w:trHeight w:val="507" w:hRule="atLeast"/>
        </w:trPr>
        <w:tc>
          <w:tcPr>
            <w:tcW w:w="425"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MD"/>
              </w:rPr>
            </w:pPr>
            <w:r>
              <w:rPr>
                <w:bCs/>
                <w:color w:val="000000"/>
                <w:lang w:val="ro-MD"/>
              </w:rPr>
              <w:t>1.</w:t>
            </w:r>
          </w:p>
          <w:p>
            <w:pPr>
              <w:pStyle w:val="Normal"/>
              <w:widowControl/>
              <w:bidi w:val="0"/>
              <w:ind w:left="0" w:right="0" w:hanging="0"/>
              <w:jc w:val="left"/>
              <w:textAlignment w:val="auto"/>
              <w:rPr>
                <w:rFonts w:ascii="Times New Roman" w:hAnsi="Times New Roman"/>
                <w:bCs/>
                <w:color w:val="000000"/>
                <w:lang w:val="ro-MD"/>
              </w:rPr>
            </w:pPr>
            <w:r>
              <w:rPr>
                <w:bCs/>
                <w:color w:val="000000"/>
                <w:lang w:val="ro-MD"/>
              </w:rPr>
            </w:r>
          </w:p>
          <w:p>
            <w:pPr>
              <w:pStyle w:val="Normal"/>
              <w:widowControl/>
              <w:bidi w:val="0"/>
              <w:ind w:left="0" w:right="0" w:hanging="0"/>
              <w:jc w:val="left"/>
              <w:textAlignment w:val="auto"/>
              <w:rPr>
                <w:lang w:val="ro-MD"/>
              </w:rPr>
            </w:pPr>
            <w:r>
              <w:rPr>
                <w:bCs/>
                <w:color w:val="000000"/>
                <w:lang w:val="ro-MD"/>
              </w:rPr>
              <w:t>2.</w:t>
            </w:r>
          </w:p>
          <w:p>
            <w:pPr>
              <w:pStyle w:val="Normal"/>
              <w:widowControl/>
              <w:bidi w:val="0"/>
              <w:ind w:left="0" w:right="0" w:hanging="0"/>
              <w:jc w:val="left"/>
              <w:textAlignment w:val="auto"/>
              <w:rPr>
                <w:rFonts w:ascii="Times New Roman" w:hAnsi="Times New Roman"/>
                <w:bCs/>
                <w:color w:val="000000"/>
                <w:lang w:val="ro-MD"/>
              </w:rPr>
            </w:pPr>
            <w:r>
              <w:rPr>
                <w:bCs/>
                <w:color w:val="000000"/>
                <w:lang w:val="ro-MD"/>
              </w:rPr>
            </w:r>
          </w:p>
          <w:p>
            <w:pPr>
              <w:pStyle w:val="Normal"/>
              <w:widowControl/>
              <w:bidi w:val="0"/>
              <w:ind w:left="0" w:right="0" w:hanging="0"/>
              <w:jc w:val="left"/>
              <w:textAlignment w:val="auto"/>
              <w:rPr>
                <w:lang w:val="ro-MD"/>
              </w:rPr>
            </w:pPr>
            <w:r>
              <w:rPr>
                <w:bCs/>
                <w:color w:val="000000"/>
                <w:lang w:val="ro-MD"/>
              </w:rPr>
              <w:t>3.</w:t>
            </w:r>
          </w:p>
          <w:p>
            <w:pPr>
              <w:pStyle w:val="Normal"/>
              <w:widowControl/>
              <w:bidi w:val="0"/>
              <w:ind w:left="0" w:right="0" w:hanging="0"/>
              <w:jc w:val="left"/>
              <w:textAlignment w:val="auto"/>
              <w:rPr>
                <w:rFonts w:ascii="Times New Roman" w:hAnsi="Times New Roman"/>
                <w:bCs/>
                <w:color w:val="000000"/>
                <w:lang w:val="ro-MD"/>
              </w:rPr>
            </w:pPr>
            <w:r>
              <w:rPr>
                <w:bCs/>
                <w:color w:val="000000"/>
                <w:lang w:val="ro-MD"/>
              </w:rPr>
            </w:r>
          </w:p>
          <w:p>
            <w:pPr>
              <w:pStyle w:val="Normal"/>
              <w:widowControl/>
              <w:bidi w:val="0"/>
              <w:ind w:left="0" w:right="0" w:hanging="0"/>
              <w:jc w:val="left"/>
              <w:textAlignment w:val="auto"/>
              <w:rPr>
                <w:lang w:val="ro-MD"/>
              </w:rPr>
            </w:pPr>
            <w:r>
              <w:rPr>
                <w:bCs/>
                <w:color w:val="000000"/>
                <w:lang w:val="ro-MD"/>
              </w:rPr>
              <w:t>4.</w:t>
            </w:r>
          </w:p>
        </w:tc>
        <w:tc>
          <w:tcPr>
            <w:tcW w:w="3821"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bCs/>
                <w:i/>
                <w:color w:val="000000"/>
                <w:sz w:val="22"/>
                <w:szCs w:val="22"/>
                <w:lang w:val="ro-MD"/>
              </w:rPr>
              <w:t xml:space="preserve"> </w:t>
            </w:r>
            <w:r>
              <w:rPr>
                <w:rFonts w:cs="Times New Roman CE" w:ascii="Times New Roman CE" w:hAnsi="Times New Roman CE"/>
                <w:bCs/>
                <w:i/>
                <w:color w:val="000000"/>
                <w:sz w:val="22"/>
                <w:szCs w:val="22"/>
                <w:lang w:val="ro-MD"/>
              </w:rPr>
              <w:t xml:space="preserve">Studiu asupra factorilor de risc şi elaborarea structurii bazei de date. Proiectarea şi dezvoltarea interfeţei </w:t>
            </w:r>
            <w:r>
              <w:rPr>
                <w:bCs/>
                <w:i/>
                <w:color w:val="000000"/>
                <w:sz w:val="22"/>
                <w:szCs w:val="22"/>
                <w:lang w:val="ro-MD"/>
              </w:rPr>
              <w:t>pentru utilizator</w:t>
            </w:r>
          </w:p>
          <w:p>
            <w:pPr>
              <w:pStyle w:val="Normal"/>
              <w:widowControl/>
              <w:bidi w:val="0"/>
              <w:ind w:left="0" w:right="0" w:hanging="0"/>
              <w:jc w:val="left"/>
              <w:textAlignment w:val="auto"/>
              <w:rPr/>
            </w:pPr>
            <w:r>
              <w:rPr>
                <w:bCs/>
                <w:i/>
                <w:color w:val="000000"/>
                <w:sz w:val="22"/>
                <w:szCs w:val="22"/>
                <w:lang w:val="ro-MD"/>
              </w:rPr>
              <w:t>Dezvoltarea m</w:t>
            </w:r>
            <w:r>
              <w:rPr>
                <w:rFonts w:cs="Times New Roman CE" w:ascii="Times New Roman CE" w:hAnsi="Times New Roman CE"/>
                <w:bCs/>
                <w:i/>
                <w:color w:val="000000"/>
                <w:sz w:val="22"/>
                <w:szCs w:val="22"/>
                <w:lang w:val="ro-MD"/>
              </w:rPr>
              <w:t>etodelor de analiză a</w:t>
            </w:r>
          </w:p>
          <w:p>
            <w:pPr>
              <w:pStyle w:val="Normal"/>
              <w:widowControl/>
              <w:bidi w:val="0"/>
              <w:ind w:left="0" w:right="0" w:hanging="0"/>
              <w:jc w:val="left"/>
              <w:textAlignment w:val="auto"/>
              <w:rPr>
                <w:lang w:val="ro-MD"/>
              </w:rPr>
            </w:pPr>
            <w:r>
              <w:rPr>
                <w:bCs/>
                <w:i/>
                <w:color w:val="000000"/>
                <w:sz w:val="22"/>
                <w:szCs w:val="22"/>
                <w:lang w:val="ro-MD"/>
              </w:rPr>
              <w:t>datelor medicale/factorilor de risc</w:t>
            </w:r>
          </w:p>
          <w:p>
            <w:pPr>
              <w:pStyle w:val="Normal"/>
              <w:widowControl/>
              <w:bidi w:val="0"/>
              <w:ind w:left="0" w:right="0" w:hanging="0"/>
              <w:jc w:val="left"/>
              <w:textAlignment w:val="auto"/>
              <w:rPr>
                <w:lang w:val="ro-MD"/>
              </w:rPr>
            </w:pPr>
            <w:r>
              <w:rPr>
                <w:rFonts w:cs="Times New Roman CE" w:ascii="Times New Roman CE" w:hAnsi="Times New Roman CE"/>
                <w:bCs/>
                <w:i/>
                <w:color w:val="000000"/>
                <w:sz w:val="22"/>
                <w:szCs w:val="22"/>
                <w:lang w:val="ro-MD"/>
              </w:rPr>
              <w:t>Testarea şi Implementarea Sistemului informaţional.</w:t>
            </w:r>
          </w:p>
          <w:p>
            <w:pPr>
              <w:pStyle w:val="Normal"/>
              <w:widowControl/>
              <w:bidi w:val="0"/>
              <w:ind w:left="0" w:right="0" w:hanging="0"/>
              <w:jc w:val="left"/>
              <w:textAlignment w:val="auto"/>
              <w:rPr>
                <w:rFonts w:ascii="Times New Roman" w:hAnsi="Times New Roman"/>
                <w:bCs/>
                <w:i/>
                <w:i/>
                <w:color w:val="000000"/>
                <w:sz w:val="22"/>
                <w:szCs w:val="22"/>
                <w:lang w:val="ro-MD"/>
              </w:rPr>
            </w:pPr>
            <w:r>
              <w:rPr>
                <w:bCs/>
                <w:i/>
                <w:color w:val="000000"/>
                <w:sz w:val="22"/>
                <w:szCs w:val="22"/>
                <w:lang w:val="ro-MD"/>
              </w:rPr>
            </w:r>
          </w:p>
        </w:tc>
        <w:tc>
          <w:tcPr>
            <w:tcW w:w="5339"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ListParagraph"/>
              <w:widowControl/>
              <w:numPr>
                <w:ilvl w:val="0"/>
                <w:numId w:val="28"/>
              </w:numPr>
              <w:shd w:fill="FFFFFF"/>
              <w:bidi w:val="0"/>
              <w:spacing w:before="0" w:after="0"/>
              <w:ind w:left="340" w:right="0" w:hanging="0"/>
              <w:contextualSpacing/>
              <w:jc w:val="left"/>
              <w:textAlignment w:val="auto"/>
              <w:rPr>
                <w:lang w:val="ro-MD"/>
              </w:rPr>
            </w:pPr>
            <w:r>
              <w:rPr>
                <w:bCs/>
                <w:i/>
                <w:color w:val="000000"/>
                <w:sz w:val="22"/>
                <w:szCs w:val="22"/>
                <w:lang w:val="ro-MD"/>
              </w:rPr>
              <w:t>Au fost Identifica</w:t>
            </w:r>
            <w:r>
              <w:rPr>
                <w:rFonts w:cs="Times New Roman CE" w:ascii="Times New Roman CE" w:hAnsi="Times New Roman CE"/>
                <w:bCs/>
                <w:i/>
                <w:color w:val="000000"/>
                <w:sz w:val="22"/>
                <w:szCs w:val="22"/>
                <w:lang w:val="ro-MD"/>
              </w:rPr>
              <w:t xml:space="preserve">ţi şi formalizaţi factorii de risc legaţi de AVC.  </w:t>
            </w:r>
          </w:p>
          <w:p>
            <w:pPr>
              <w:pStyle w:val="ListParagraph"/>
              <w:widowControl/>
              <w:numPr>
                <w:ilvl w:val="0"/>
                <w:numId w:val="28"/>
              </w:numPr>
              <w:shd w:fill="FFFFFF"/>
              <w:bidi w:val="0"/>
              <w:spacing w:before="0" w:after="0"/>
              <w:ind w:left="340" w:right="0" w:hanging="0"/>
              <w:contextualSpacing/>
              <w:jc w:val="left"/>
              <w:textAlignment w:val="auto"/>
              <w:rPr>
                <w:lang w:val="ro-MD"/>
              </w:rPr>
            </w:pPr>
            <w:r>
              <w:rPr>
                <w:bCs/>
                <w:i/>
                <w:color w:val="000000"/>
                <w:sz w:val="22"/>
                <w:szCs w:val="22"/>
                <w:lang w:val="ro-MD"/>
              </w:rPr>
              <w:t>S-au stabilit seturile</w:t>
            </w:r>
            <w:r>
              <w:rPr>
                <w:rFonts w:cs="Times New Roman CE" w:ascii="Times New Roman CE" w:hAnsi="Times New Roman CE"/>
                <w:bCs/>
                <w:i/>
                <w:color w:val="000000"/>
                <w:sz w:val="22"/>
                <w:szCs w:val="22"/>
                <w:lang w:val="ro-MD"/>
              </w:rPr>
              <w:t xml:space="preserve"> necesare şi suficiente de factori de risc pentru evaluarea  pacienţilor.</w:t>
            </w:r>
          </w:p>
          <w:p>
            <w:pPr>
              <w:pStyle w:val="ListParagraph"/>
              <w:widowControl/>
              <w:numPr>
                <w:ilvl w:val="0"/>
                <w:numId w:val="28"/>
              </w:numPr>
              <w:shd w:fill="FFFFFF"/>
              <w:bidi w:val="0"/>
              <w:spacing w:before="0" w:after="0"/>
              <w:ind w:left="340" w:right="0" w:hanging="0"/>
              <w:contextualSpacing/>
              <w:jc w:val="left"/>
              <w:textAlignment w:val="auto"/>
              <w:rPr>
                <w:lang w:val="ro-MD"/>
              </w:rPr>
            </w:pPr>
            <w:r>
              <w:rPr>
                <w:bCs/>
                <w:i/>
                <w:color w:val="000000"/>
                <w:sz w:val="22"/>
                <w:szCs w:val="22"/>
                <w:lang w:val="ro-MD"/>
              </w:rPr>
              <w:t>A fost elabora</w:t>
            </w:r>
            <w:r>
              <w:rPr>
                <w:rFonts w:cs="Times New Roman CE" w:ascii="Times New Roman CE" w:hAnsi="Times New Roman CE"/>
                <w:bCs/>
                <w:i/>
                <w:color w:val="000000"/>
                <w:sz w:val="22"/>
                <w:szCs w:val="22"/>
                <w:lang w:val="ro-MD"/>
              </w:rPr>
              <w:t>tă</w:t>
            </w:r>
            <w:r>
              <w:rPr>
                <w:bCs/>
                <w:i/>
                <w:color w:val="000000"/>
                <w:sz w:val="22"/>
                <w:szCs w:val="22"/>
                <w:lang w:val="ro-MD"/>
              </w:rPr>
              <w:t xml:space="preserve"> structura </w:t>
            </w:r>
            <w:r>
              <w:rPr>
                <w:rFonts w:cs="Times New Roman CE" w:ascii="Times New Roman CE" w:hAnsi="Times New Roman CE"/>
                <w:bCs/>
                <w:i/>
                <w:color w:val="000000"/>
                <w:sz w:val="22"/>
                <w:szCs w:val="22"/>
                <w:lang w:val="ro-MD"/>
              </w:rPr>
              <w:t>bazei de date a pacienţilor cu AVC şi a grupurilor de risc.</w:t>
            </w:r>
          </w:p>
          <w:p>
            <w:pPr>
              <w:pStyle w:val="ListParagraph"/>
              <w:widowControl/>
              <w:numPr>
                <w:ilvl w:val="0"/>
                <w:numId w:val="28"/>
              </w:numPr>
              <w:shd w:fill="FFFFFF"/>
              <w:bidi w:val="0"/>
              <w:spacing w:before="0" w:after="0"/>
              <w:ind w:left="340" w:right="0" w:hanging="0"/>
              <w:contextualSpacing/>
              <w:jc w:val="left"/>
              <w:textAlignment w:val="auto"/>
              <w:rPr>
                <w:lang w:val="ro-MD"/>
              </w:rPr>
            </w:pPr>
            <w:r>
              <w:rPr>
                <w:bCs/>
                <w:i/>
                <w:color w:val="000000"/>
                <w:sz w:val="22"/>
                <w:szCs w:val="22"/>
                <w:lang w:val="ro-MD"/>
              </w:rPr>
              <w:t>S-a elaborat interfa</w:t>
            </w:r>
            <w:r>
              <w:rPr>
                <w:rFonts w:cs="Times New Roman CE" w:ascii="Times New Roman CE" w:hAnsi="Times New Roman CE"/>
                <w:bCs/>
                <w:i/>
                <w:color w:val="000000"/>
                <w:sz w:val="22"/>
                <w:szCs w:val="22"/>
                <w:lang w:val="ro-MD"/>
              </w:rPr>
              <w:t>ţ</w:t>
            </w:r>
            <w:r>
              <w:rPr>
                <w:bCs/>
                <w:i/>
                <w:color w:val="000000"/>
                <w:sz w:val="22"/>
                <w:szCs w:val="22"/>
                <w:lang w:val="ro-MD"/>
              </w:rPr>
              <w:t>a</w:t>
            </w:r>
            <w:r>
              <w:rPr>
                <w:rFonts w:cs="Times New Roman CE" w:ascii="Times New Roman CE" w:hAnsi="Times New Roman CE"/>
                <w:bCs/>
                <w:i/>
                <w:color w:val="000000"/>
                <w:sz w:val="22"/>
                <w:szCs w:val="22"/>
                <w:lang w:val="ro-MD"/>
              </w:rPr>
              <w:t xml:space="preserve"> sistemului cu orientare la specificul activităţii medicilor neurologi.</w:t>
            </w:r>
          </w:p>
          <w:p>
            <w:pPr>
              <w:pStyle w:val="ListParagraph"/>
              <w:widowControl/>
              <w:numPr>
                <w:ilvl w:val="0"/>
                <w:numId w:val="28"/>
              </w:numPr>
              <w:shd w:fill="FFFFFF"/>
              <w:bidi w:val="0"/>
              <w:spacing w:before="0" w:after="0"/>
              <w:ind w:left="340" w:right="0" w:hanging="0"/>
              <w:contextualSpacing/>
              <w:jc w:val="left"/>
              <w:textAlignment w:val="auto"/>
              <w:rPr>
                <w:lang w:val="ro-MD"/>
              </w:rPr>
            </w:pPr>
            <w:r>
              <w:rPr>
                <w:bCs/>
                <w:i/>
                <w:color w:val="000000"/>
                <w:sz w:val="22"/>
                <w:szCs w:val="22"/>
                <w:lang w:val="ro-MD"/>
              </w:rPr>
              <w:t>Au fost dezvoltat</w:t>
            </w:r>
            <w:r>
              <w:rPr>
                <w:rFonts w:cs="Times New Roman CE" w:ascii="Times New Roman CE" w:hAnsi="Times New Roman CE"/>
                <w:bCs/>
                <w:i/>
                <w:color w:val="000000"/>
                <w:sz w:val="22"/>
                <w:szCs w:val="22"/>
                <w:lang w:val="ro-MD"/>
              </w:rPr>
              <w:t>e metode de analiză a datelor medical</w:t>
            </w:r>
            <w:r>
              <w:rPr>
                <w:bCs/>
                <w:i/>
                <w:color w:val="000000"/>
                <w:sz w:val="22"/>
                <w:szCs w:val="22"/>
                <w:lang w:val="ro-MD"/>
              </w:rPr>
              <w:t>e/factorilor de risc.</w:t>
            </w:r>
          </w:p>
          <w:p>
            <w:pPr>
              <w:pStyle w:val="ListParagraph"/>
              <w:widowControl/>
              <w:numPr>
                <w:ilvl w:val="0"/>
                <w:numId w:val="28"/>
              </w:numPr>
              <w:shd w:fill="FFFFFF"/>
              <w:bidi w:val="0"/>
              <w:spacing w:before="0" w:after="0"/>
              <w:ind w:left="340" w:right="0" w:hanging="0"/>
              <w:contextualSpacing/>
              <w:jc w:val="left"/>
              <w:textAlignment w:val="auto"/>
              <w:rPr>
                <w:lang w:val="ro-MD"/>
              </w:rPr>
            </w:pPr>
            <w:r>
              <w:rPr>
                <w:bCs/>
                <w:i/>
                <w:color w:val="000000"/>
                <w:sz w:val="22"/>
                <w:szCs w:val="22"/>
                <w:lang w:val="ro-MD"/>
              </w:rPr>
              <w:t>S-a produs t</w:t>
            </w:r>
            <w:r>
              <w:rPr>
                <w:rFonts w:cs="Times New Roman CE" w:ascii="Times New Roman CE" w:hAnsi="Times New Roman CE"/>
                <w:bCs/>
                <w:i/>
                <w:color w:val="000000"/>
                <w:sz w:val="22"/>
                <w:szCs w:val="22"/>
                <w:lang w:val="ro-MD"/>
              </w:rPr>
              <w:t>estarea şi implementarea Sistemului informaţional.</w:t>
            </w:r>
          </w:p>
        </w:tc>
      </w:tr>
    </w:tbl>
    <w:p>
      <w:pPr>
        <w:pStyle w:val="Normal"/>
        <w:widowControl/>
        <w:numPr>
          <w:ilvl w:val="0"/>
          <w:numId w:val="27"/>
        </w:numPr>
        <w:tabs>
          <w:tab w:val="left" w:pos="426" w:leader="none"/>
        </w:tabs>
        <w:bidi w:val="0"/>
        <w:ind w:left="180" w:right="0" w:hanging="0"/>
        <w:jc w:val="left"/>
        <w:textAlignment w:val="auto"/>
        <w:rPr>
          <w:lang w:val="ro-MD"/>
        </w:rPr>
      </w:pPr>
      <w:r>
        <w:rPr>
          <w:sz w:val="22"/>
          <w:szCs w:val="22"/>
          <w:lang w:val="ro-MD"/>
        </w:rPr>
        <w:t xml:space="preserve">Sumarul </w:t>
      </w:r>
      <w:r>
        <w:rPr>
          <w:rFonts w:cs="Times New Roman CE" w:ascii="Times New Roman CE" w:hAnsi="Times New Roman CE"/>
          <w:sz w:val="22"/>
          <w:szCs w:val="22"/>
          <w:lang w:val="ro-RO"/>
        </w:rPr>
        <w:t>activităţilor proiectului realizate în perioada evaluată</w:t>
      </w:r>
      <w:r>
        <w:rPr>
          <w:sz w:val="22"/>
          <w:szCs w:val="22"/>
          <w:lang w:val="ro-MD"/>
        </w:rPr>
        <w:t xml:space="preserve"> </w:t>
      </w:r>
    </w:p>
    <w:tbl>
      <w:tblPr>
        <w:tblW w:w="9072" w:type="dxa"/>
        <w:jc w:val="left"/>
        <w:tblInd w:w="425"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1031"/>
        <w:gridCol w:w="3708"/>
        <w:gridCol w:w="4333"/>
      </w:tblGrid>
      <w:tr>
        <w:trPr/>
        <w:tc>
          <w:tcPr>
            <w:tcW w:w="1031"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rFonts w:ascii="Times New Roman" w:hAnsi="Times New Roman"/>
                <w:bCs/>
                <w:color w:val="000000"/>
                <w:lang w:val="ro-MD"/>
              </w:rPr>
            </w:pPr>
            <w:r>
              <w:rPr>
                <w:bCs/>
                <w:color w:val="000000"/>
                <w:lang w:val="ro-MD"/>
              </w:rPr>
            </w:r>
          </w:p>
        </w:tc>
        <w:tc>
          <w:tcPr>
            <w:tcW w:w="3708"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bCs/>
                <w:i/>
                <w:color w:val="000000"/>
                <w:sz w:val="22"/>
                <w:szCs w:val="22"/>
                <w:lang w:val="ro-MD"/>
              </w:rPr>
              <w:t>Activităţi planificate</w:t>
            </w:r>
          </w:p>
        </w:tc>
        <w:tc>
          <w:tcPr>
            <w:tcW w:w="4333"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bCs/>
                <w:i/>
                <w:color w:val="000000"/>
                <w:sz w:val="22"/>
                <w:szCs w:val="22"/>
                <w:lang w:val="ro-MD"/>
              </w:rPr>
              <w:t xml:space="preserve">Activităţi realizate şi rezultate noi obţinute în cadrul proiectului </w:t>
            </w:r>
            <w:r>
              <w:rPr>
                <w:bCs/>
                <w:i/>
                <w:color w:val="000000"/>
                <w:sz w:val="20"/>
                <w:szCs w:val="22"/>
                <w:lang w:val="ro-MD"/>
              </w:rPr>
              <w:t xml:space="preserve"> </w:t>
            </w:r>
          </w:p>
        </w:tc>
      </w:tr>
      <w:tr>
        <w:trPr/>
        <w:tc>
          <w:tcPr>
            <w:tcW w:w="1031"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MD"/>
              </w:rPr>
            </w:pPr>
            <w:r>
              <w:rPr>
                <w:i/>
                <w:color w:val="000000"/>
                <w:sz w:val="22"/>
                <w:szCs w:val="22"/>
                <w:lang w:val="ro-MD"/>
              </w:rPr>
              <w:t>1.</w:t>
            </w:r>
          </w:p>
          <w:p>
            <w:pPr>
              <w:pStyle w:val="Normal"/>
              <w:widowControl/>
              <w:bidi w:val="0"/>
              <w:ind w:left="0" w:right="0" w:hanging="0"/>
              <w:jc w:val="left"/>
              <w:textAlignment w:val="auto"/>
              <w:rPr>
                <w:rFonts w:ascii="Times New Roman" w:hAnsi="Times New Roman"/>
                <w:i/>
                <w:i/>
                <w:color w:val="000000"/>
                <w:lang w:val="ro-MD"/>
              </w:rPr>
            </w:pPr>
            <w:r>
              <w:rPr>
                <w:i/>
                <w:color w:val="000000"/>
                <w:lang w:val="ro-MD"/>
              </w:rPr>
            </w:r>
          </w:p>
          <w:p>
            <w:pPr>
              <w:pStyle w:val="Normal"/>
              <w:widowControl/>
              <w:bidi w:val="0"/>
              <w:ind w:left="0" w:right="0" w:hanging="0"/>
              <w:jc w:val="left"/>
              <w:textAlignment w:val="auto"/>
              <w:rPr>
                <w:lang w:val="ro-MD"/>
              </w:rPr>
            </w:pPr>
            <w:r>
              <w:rPr>
                <w:i/>
                <w:color w:val="000000"/>
                <w:sz w:val="22"/>
                <w:szCs w:val="22"/>
                <w:lang w:val="ro-MD"/>
              </w:rPr>
              <w:t>2.</w:t>
            </w:r>
          </w:p>
        </w:tc>
        <w:tc>
          <w:tcPr>
            <w:tcW w:w="3708"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shd w:fill="FFFFFF"/>
              <w:bidi w:val="0"/>
              <w:ind w:left="0" w:right="0" w:hanging="78"/>
              <w:jc w:val="both"/>
              <w:textAlignment w:val="auto"/>
              <w:rPr>
                <w:lang w:val="en-US"/>
              </w:rPr>
            </w:pPr>
            <w:r>
              <w:rPr>
                <w:i/>
                <w:sz w:val="22"/>
                <w:szCs w:val="22"/>
                <w:lang w:val="en-US"/>
              </w:rPr>
              <w:t xml:space="preserve"> </w:t>
            </w:r>
            <w:r>
              <w:rPr>
                <w:rFonts w:cs="Times New Roman CE" w:ascii="Times New Roman CE" w:hAnsi="Times New Roman CE"/>
                <w:i/>
                <w:sz w:val="22"/>
                <w:szCs w:val="22"/>
                <w:lang w:val="en-US"/>
              </w:rPr>
              <w:t>Dezvoltarea metodelor de analiză a</w:t>
            </w:r>
          </w:p>
          <w:p>
            <w:pPr>
              <w:pStyle w:val="Normal"/>
              <w:widowControl/>
              <w:shd w:fill="FFFFFF"/>
              <w:bidi w:val="0"/>
              <w:ind w:left="0" w:right="0" w:hanging="78"/>
              <w:jc w:val="both"/>
              <w:textAlignment w:val="auto"/>
              <w:rPr>
                <w:lang w:val="en-US"/>
              </w:rPr>
            </w:pPr>
            <w:r>
              <w:rPr>
                <w:i/>
                <w:sz w:val="22"/>
                <w:szCs w:val="22"/>
                <w:lang w:val="en-US"/>
              </w:rPr>
              <w:t>datelor medicale/factorilor de risc</w:t>
            </w:r>
          </w:p>
          <w:p>
            <w:pPr>
              <w:pStyle w:val="Normal"/>
              <w:widowControl/>
              <w:shd w:fill="FFFFFF"/>
              <w:bidi w:val="0"/>
              <w:ind w:left="0" w:right="0" w:hanging="0"/>
              <w:jc w:val="left"/>
              <w:textAlignment w:val="auto"/>
              <w:rPr>
                <w:lang w:val="en-US"/>
              </w:rPr>
            </w:pPr>
            <w:r>
              <w:rPr>
                <w:i/>
                <w:sz w:val="22"/>
                <w:szCs w:val="22"/>
                <w:lang w:val="en-US"/>
              </w:rPr>
              <w:t xml:space="preserve">Testarea </w:t>
            </w:r>
            <w:r>
              <w:rPr>
                <w:rFonts w:cs="Times New Roman CE" w:ascii="Times New Roman CE" w:hAnsi="Times New Roman CE"/>
                <w:i/>
                <w:sz w:val="22"/>
                <w:szCs w:val="22"/>
                <w:lang w:val="ro-RO"/>
              </w:rPr>
              <w:t xml:space="preserve">şi Implementarea </w:t>
            </w:r>
            <w:r>
              <w:rPr>
                <w:rFonts w:cs="Times New Roman CE" w:ascii="Times New Roman CE" w:hAnsi="Times New Roman CE"/>
                <w:i/>
                <w:sz w:val="22"/>
                <w:szCs w:val="22"/>
                <w:lang w:val="en-US"/>
              </w:rPr>
              <w:t>Sistemului informaţional.</w:t>
            </w:r>
          </w:p>
          <w:p>
            <w:pPr>
              <w:pStyle w:val="Normal"/>
              <w:widowControl/>
              <w:shd w:fill="FFFFFF"/>
              <w:bidi w:val="0"/>
              <w:ind w:left="0" w:right="0" w:hanging="78"/>
              <w:jc w:val="both"/>
              <w:textAlignment w:val="auto"/>
              <w:rPr>
                <w:rFonts w:ascii="Times New Roman" w:hAnsi="Times New Roman"/>
                <w:i/>
                <w:i/>
                <w:lang w:val="en-US"/>
              </w:rPr>
            </w:pPr>
            <w:r>
              <w:rPr>
                <w:i/>
                <w:lang w:val="en-US"/>
              </w:rPr>
            </w:r>
          </w:p>
        </w:tc>
        <w:tc>
          <w:tcPr>
            <w:tcW w:w="4333"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ListParagraph"/>
              <w:widowControl/>
              <w:bidi w:val="0"/>
              <w:spacing w:before="0" w:after="0"/>
              <w:ind w:left="0" w:right="0" w:hanging="0"/>
              <w:contextualSpacing/>
              <w:jc w:val="left"/>
              <w:textAlignment w:val="auto"/>
              <w:rPr>
                <w:lang w:val="ro-RO"/>
              </w:rPr>
            </w:pPr>
            <w:r>
              <w:rPr>
                <w:rFonts w:cs="Times New Roman CE" w:ascii="Times New Roman CE" w:hAnsi="Times New Roman CE"/>
                <w:i/>
                <w:sz w:val="22"/>
                <w:szCs w:val="22"/>
                <w:lang w:val="ro-RO"/>
              </w:rPr>
              <w:t>Au fost analizate grupurile  de risc şi a fost efectuată clasificarea factorilor de risc cu categorisire  în trei grupuri de risc (m</w:t>
            </w:r>
            <w:r>
              <w:rPr>
                <w:i/>
                <w:sz w:val="22"/>
                <w:szCs w:val="22"/>
                <w:lang w:val="ro-RO"/>
              </w:rPr>
              <w:t>are, mediu, mic).</w:t>
            </w:r>
          </w:p>
          <w:p>
            <w:pPr>
              <w:pStyle w:val="ListParagraph"/>
              <w:widowControl/>
              <w:bidi w:val="0"/>
              <w:spacing w:before="0" w:after="0"/>
              <w:ind w:left="0" w:right="0" w:hanging="0"/>
              <w:contextualSpacing/>
              <w:jc w:val="left"/>
              <w:textAlignment w:val="auto"/>
              <w:rPr>
                <w:lang w:val="ro-RO"/>
              </w:rPr>
            </w:pPr>
            <w:r>
              <w:rPr>
                <w:rFonts w:cs="Times New Roman CE" w:ascii="Times New Roman CE" w:hAnsi="Times New Roman CE"/>
                <w:i/>
                <w:sz w:val="22"/>
                <w:szCs w:val="22"/>
                <w:lang w:val="ro-RO"/>
              </w:rPr>
              <w:t>A fost validată şi optimizată baza de date în conformitate cu sugestiile medicilor neurologi.</w:t>
            </w:r>
          </w:p>
          <w:p>
            <w:pPr>
              <w:pStyle w:val="ListParagraph"/>
              <w:widowControl/>
              <w:bidi w:val="0"/>
              <w:spacing w:before="0" w:after="0"/>
              <w:ind w:left="0" w:right="311" w:hanging="0"/>
              <w:contextualSpacing/>
              <w:jc w:val="left"/>
              <w:textAlignment w:val="auto"/>
              <w:rPr>
                <w:lang w:val="ro-RO"/>
              </w:rPr>
            </w:pPr>
            <w:r>
              <w:rPr>
                <w:rFonts w:cs="Times New Roman CE" w:ascii="Times New Roman CE" w:hAnsi="Times New Roman CE"/>
                <w:i/>
                <w:sz w:val="22"/>
                <w:szCs w:val="22"/>
                <w:lang w:val="ro-RO"/>
              </w:rPr>
              <w:t>A fost elaborat setul minim de principii pentru extragerea cunoştinţelor din baza de date (date statistice).</w:t>
            </w:r>
          </w:p>
          <w:p>
            <w:pPr>
              <w:pStyle w:val="ListParagraph"/>
              <w:widowControl/>
              <w:bidi w:val="0"/>
              <w:spacing w:before="0" w:after="0"/>
              <w:ind w:left="0" w:right="0" w:hanging="0"/>
              <w:contextualSpacing/>
              <w:jc w:val="left"/>
              <w:textAlignment w:val="auto"/>
              <w:rPr>
                <w:lang w:val="ro-RO"/>
              </w:rPr>
            </w:pPr>
            <w:r>
              <w:rPr>
                <w:i/>
                <w:sz w:val="22"/>
                <w:szCs w:val="22"/>
                <w:lang w:val="ro-RO"/>
              </w:rPr>
              <w:t xml:space="preserve">A fost testat sistemul WEKA pentru </w:t>
            </w:r>
            <w:r>
              <w:rPr>
                <w:rFonts w:cs="Times New Roman CE" w:ascii="Times New Roman CE" w:hAnsi="Times New Roman CE"/>
                <w:i/>
                <w:sz w:val="22"/>
                <w:szCs w:val="22"/>
                <w:lang w:val="ro-RO"/>
              </w:rPr>
              <w:t>clasificarea pacienţilor cu AVC în grupuri de severitate a maladiei.</w:t>
            </w:r>
            <w:r>
              <w:rPr>
                <w:i/>
                <w:color w:val="000000"/>
                <w:szCs w:val="20"/>
                <w:lang w:val="en-US"/>
              </w:rPr>
              <w:t xml:space="preserve"> </w:t>
            </w:r>
          </w:p>
        </w:tc>
      </w:tr>
    </w:tbl>
    <w:p>
      <w:pPr>
        <w:pStyle w:val="Normal"/>
        <w:keepLines/>
        <w:widowControl/>
        <w:numPr>
          <w:ilvl w:val="0"/>
          <w:numId w:val="27"/>
        </w:numPr>
        <w:tabs>
          <w:tab w:val="left" w:pos="180" w:leader="none"/>
        </w:tabs>
        <w:bidi w:val="0"/>
        <w:ind w:left="181" w:right="0" w:hanging="0"/>
        <w:jc w:val="left"/>
        <w:textAlignment w:val="auto"/>
        <w:rPr>
          <w:lang w:val="ro-MD"/>
        </w:rPr>
      </w:pPr>
      <w:r>
        <w:rPr>
          <w:rFonts w:cs="Times New Roman CE" w:ascii="Times New Roman CE" w:hAnsi="Times New Roman CE"/>
          <w:bCs/>
          <w:sz w:val="22"/>
          <w:szCs w:val="22"/>
          <w:lang w:val="ro-MD"/>
        </w:rPr>
        <w:t>Lista lucrărilor ştiinţifice (monografii, articole, obiecte de proprietate intelectuală) cu referinţă la proiectul dat pe anul 201</w:t>
      </w:r>
      <w:r>
        <w:rPr>
          <w:bCs/>
          <w:sz w:val="22"/>
          <w:szCs w:val="22"/>
          <w:lang w:val="ro-MD"/>
        </w:rPr>
        <w:t>6</w:t>
      </w:r>
    </w:p>
    <w:tbl>
      <w:tblPr>
        <w:tblW w:w="10080" w:type="dxa"/>
        <w:jc w:val="left"/>
        <w:tblInd w:w="284" w:type="dxa"/>
        <w:tblBorders>
          <w:top w:val="dotted" w:sz="4" w:space="0" w:color="000001"/>
          <w:left w:val="dotted" w:sz="4" w:space="0" w:color="000001"/>
          <w:bottom w:val="dotted" w:sz="4" w:space="0" w:color="000001"/>
          <w:right w:val="dotted" w:sz="4" w:space="0" w:color="000001"/>
          <w:insideH w:val="dotted" w:sz="4" w:space="0" w:color="000001"/>
          <w:insideV w:val="dotted" w:sz="4" w:space="0" w:color="000001"/>
        </w:tblBorders>
        <w:tblCellMar>
          <w:top w:w="0" w:type="dxa"/>
          <w:left w:w="103" w:type="dxa"/>
          <w:bottom w:w="0" w:type="dxa"/>
          <w:right w:w="108" w:type="dxa"/>
        </w:tblCellMar>
      </w:tblPr>
      <w:tblGrid>
        <w:gridCol w:w="10080"/>
      </w:tblGrid>
      <w:tr>
        <w:trPr/>
        <w:tc>
          <w:tcPr>
            <w:tcW w:w="10080" w:type="dxa"/>
            <w:tcBorders>
              <w:top w:val="dotted" w:sz="4" w:space="0" w:color="000001"/>
              <w:left w:val="dotted" w:sz="4" w:space="0" w:color="000001"/>
              <w:bottom w:val="dotted" w:sz="4" w:space="0" w:color="000001"/>
              <w:right w:val="dotted" w:sz="4" w:space="0" w:color="000001"/>
              <w:insideH w:val="dotted" w:sz="4" w:space="0" w:color="000001"/>
              <w:insideV w:val="dotted" w:sz="4" w:space="0" w:color="000001"/>
            </w:tcBorders>
            <w:shd w:fill="auto" w:val="clear"/>
            <w:tcMar>
              <w:left w:w="103" w:type="dxa"/>
            </w:tcMar>
          </w:tcPr>
          <w:p>
            <w:pPr>
              <w:pStyle w:val="Normal"/>
              <w:widowControl/>
              <w:tabs>
                <w:tab w:val="left" w:pos="360" w:leader="none"/>
                <w:tab w:val="left" w:pos="720" w:leader="none"/>
              </w:tabs>
              <w:bidi w:val="0"/>
              <w:ind w:left="0" w:right="0" w:hanging="0"/>
              <w:jc w:val="both"/>
              <w:textAlignment w:val="auto"/>
              <w:rPr>
                <w:lang w:val="ro-RO"/>
              </w:rPr>
            </w:pPr>
            <w:r>
              <w:rPr>
                <w:rFonts w:cs="Times New Roman CE" w:ascii="Times New Roman CE" w:hAnsi="Times New Roman CE"/>
                <w:b/>
                <w:i/>
                <w:sz w:val="22"/>
                <w:szCs w:val="22"/>
                <w:lang w:val="ro-RO"/>
              </w:rPr>
              <w:t xml:space="preserve">Articole în reviste categoria B </w:t>
            </w:r>
          </w:p>
          <w:p>
            <w:pPr>
              <w:pStyle w:val="Normal"/>
              <w:widowControl/>
              <w:bidi w:val="0"/>
              <w:ind w:left="0" w:right="0" w:hanging="0"/>
              <w:jc w:val="both"/>
              <w:textAlignment w:val="auto"/>
              <w:rPr>
                <w:lang w:val="ro-MD"/>
              </w:rPr>
            </w:pPr>
            <w:r>
              <w:rPr>
                <w:sz w:val="22"/>
                <w:szCs w:val="22"/>
                <w:lang w:val="ro-MD"/>
              </w:rPr>
              <w:t>1</w:t>
            </w:r>
            <w:r>
              <w:rPr>
                <w:b/>
                <w:bCs/>
                <w:sz w:val="22"/>
                <w:szCs w:val="22"/>
                <w:lang w:val="ro-MD"/>
              </w:rPr>
              <w:t xml:space="preserve">. </w:t>
            </w:r>
            <w:r>
              <w:rPr>
                <w:bCs/>
                <w:sz w:val="22"/>
                <w:szCs w:val="22"/>
                <w:lang w:val="ro-MD"/>
              </w:rPr>
              <w:t>ZAMSA</w:t>
            </w:r>
            <w:r>
              <w:rPr>
                <w:sz w:val="22"/>
                <w:szCs w:val="22"/>
                <w:lang w:val="ro-MD"/>
              </w:rPr>
              <w:t>, E.  Sistem</w:t>
            </w:r>
            <w:r>
              <w:rPr>
                <w:rFonts w:cs="Times New Roman CE" w:ascii="Times New Roman CE" w:hAnsi="Times New Roman CE"/>
                <w:sz w:val="22"/>
                <w:szCs w:val="22"/>
                <w:lang w:val="ro-MD"/>
              </w:rPr>
              <w:t xml:space="preserve"> informaţional multiparametru de management al pacienţilor cu accident cerebral-vascular,  </w:t>
            </w:r>
            <w:r>
              <w:rPr>
                <w:i/>
                <w:sz w:val="22"/>
                <w:szCs w:val="22"/>
                <w:lang w:val="ro-MD"/>
              </w:rPr>
              <w:t>Akademos</w:t>
            </w:r>
            <w:r>
              <w:rPr>
                <w:sz w:val="22"/>
                <w:szCs w:val="22"/>
                <w:lang w:val="ro-MD"/>
              </w:rPr>
              <w:t>, Nr. 1 (40), 2016, pp.51-54.</w:t>
            </w:r>
          </w:p>
          <w:p>
            <w:pPr>
              <w:pStyle w:val="Normal"/>
              <w:widowControl/>
              <w:bidi w:val="0"/>
              <w:ind w:left="0" w:right="0" w:hanging="0"/>
              <w:jc w:val="left"/>
              <w:textAlignment w:val="auto"/>
              <w:rPr>
                <w:lang w:val="ro-RO"/>
              </w:rPr>
            </w:pPr>
            <w:r>
              <w:rPr>
                <w:rFonts w:cs="Times New Roman CE" w:ascii="Times New Roman CE" w:hAnsi="Times New Roman CE"/>
                <w:b/>
                <w:bCs/>
                <w:sz w:val="22"/>
                <w:szCs w:val="22"/>
                <w:lang w:val="ro-RO"/>
              </w:rPr>
              <w:t>Articole în alte reviste</w:t>
            </w:r>
          </w:p>
          <w:p>
            <w:pPr>
              <w:pStyle w:val="Normal"/>
              <w:widowControl/>
              <w:bidi w:val="0"/>
              <w:ind w:left="0" w:right="0" w:hanging="0"/>
              <w:jc w:val="both"/>
              <w:textAlignment w:val="auto"/>
              <w:rPr>
                <w:lang w:val="ro-RO"/>
              </w:rPr>
            </w:pPr>
            <w:r>
              <w:rPr>
                <w:bCs/>
                <w:sz w:val="22"/>
                <w:szCs w:val="22"/>
                <w:lang w:val="ro-RO"/>
              </w:rPr>
              <w:t>2.</w:t>
            </w:r>
            <w:r>
              <w:rPr>
                <w:sz w:val="22"/>
                <w:szCs w:val="22"/>
              </w:rPr>
              <w:t>ПОПУКАЙЛО</w:t>
            </w:r>
            <w:r>
              <w:rPr>
                <w:sz w:val="22"/>
                <w:szCs w:val="22"/>
                <w:lang w:val="ro-RO"/>
              </w:rPr>
              <w:t>,</w:t>
            </w:r>
            <w:r>
              <w:rPr>
                <w:sz w:val="22"/>
                <w:szCs w:val="22"/>
              </w:rPr>
              <w:t xml:space="preserve"> В.С.</w:t>
            </w:r>
            <w:r>
              <w:rPr>
                <w:sz w:val="22"/>
                <w:szCs w:val="22"/>
                <w:lang w:val="ro-RO"/>
              </w:rPr>
              <w:t>;</w:t>
            </w:r>
            <w:r>
              <w:rPr>
                <w:sz w:val="22"/>
                <w:szCs w:val="22"/>
              </w:rPr>
              <w:t xml:space="preserve"> КОЖОКАРУ</w:t>
            </w:r>
            <w:r>
              <w:rPr>
                <w:sz w:val="22"/>
                <w:szCs w:val="22"/>
                <w:lang w:val="ro-RO"/>
              </w:rPr>
              <w:t>,</w:t>
            </w:r>
            <w:r>
              <w:rPr>
                <w:sz w:val="22"/>
                <w:szCs w:val="22"/>
              </w:rPr>
              <w:t xml:space="preserve"> С.К. Методы принятия решений в условиях малой выборки. </w:t>
            </w:r>
            <w:r>
              <w:rPr>
                <w:i/>
                <w:sz w:val="22"/>
                <w:szCs w:val="22"/>
              </w:rPr>
              <w:t>Научный обозреватель</w:t>
            </w:r>
            <w:r>
              <w:rPr>
                <w:sz w:val="22"/>
                <w:szCs w:val="22"/>
              </w:rPr>
              <w:t xml:space="preserve">, </w:t>
            </w:r>
            <w:r>
              <w:rPr>
                <w:sz w:val="22"/>
                <w:szCs w:val="22"/>
                <w:lang w:val="en-US"/>
              </w:rPr>
              <w:t>N</w:t>
            </w:r>
            <w:r>
              <w:rPr>
                <w:sz w:val="22"/>
                <w:szCs w:val="22"/>
              </w:rPr>
              <w:t xml:space="preserve">3 (63), Уфа, </w:t>
            </w:r>
            <w:r>
              <w:rPr>
                <w:sz w:val="22"/>
                <w:szCs w:val="22"/>
                <w:lang w:val="en-US"/>
              </w:rPr>
              <w:t>Digital</w:t>
            </w:r>
            <w:r>
              <w:rPr>
                <w:sz w:val="22"/>
                <w:szCs w:val="22"/>
              </w:rPr>
              <w:t>-</w:t>
            </w:r>
            <w:r>
              <w:rPr>
                <w:sz w:val="22"/>
                <w:szCs w:val="22"/>
                <w:lang w:val="en-US"/>
              </w:rPr>
              <w:t>Print</w:t>
            </w:r>
            <w:r>
              <w:rPr>
                <w:sz w:val="22"/>
                <w:szCs w:val="22"/>
              </w:rPr>
              <w:t xml:space="preserve">, 2016,  </w:t>
            </w:r>
            <w:r>
              <w:rPr>
                <w:sz w:val="22"/>
                <w:szCs w:val="22"/>
                <w:lang w:val="en-US"/>
              </w:rPr>
              <w:t>c</w:t>
            </w:r>
            <w:r>
              <w:rPr>
                <w:sz w:val="22"/>
                <w:szCs w:val="22"/>
              </w:rPr>
              <w:t>.79-80.</w:t>
            </w:r>
          </w:p>
          <w:p>
            <w:pPr>
              <w:pStyle w:val="Normal"/>
              <w:widowControl/>
              <w:bidi w:val="0"/>
              <w:ind w:left="0" w:right="0" w:hanging="0"/>
              <w:jc w:val="both"/>
              <w:textAlignment w:val="auto"/>
              <w:rPr>
                <w:lang w:val="ro-RO"/>
              </w:rPr>
            </w:pPr>
            <w:r>
              <w:rPr>
                <w:rFonts w:cs="Times New Roman CE" w:ascii="Times New Roman CE" w:hAnsi="Times New Roman CE"/>
                <w:b/>
                <w:sz w:val="22"/>
                <w:szCs w:val="22"/>
                <w:lang w:val="ro-RO"/>
              </w:rPr>
              <w:t>Articole în materialele conferin</w:t>
            </w:r>
            <w:r>
              <w:rPr>
                <w:rFonts w:ascii="Cambria Math" w:hAnsi="Cambria Math"/>
                <w:b/>
                <w:sz w:val="22"/>
                <w:szCs w:val="22"/>
                <w:lang w:val="ro-RO"/>
              </w:rPr>
              <w:t>ț</w:t>
            </w:r>
            <w:r>
              <w:rPr>
                <w:b/>
                <w:sz w:val="22"/>
                <w:szCs w:val="22"/>
                <w:lang w:val="ro-RO"/>
              </w:rPr>
              <w:t>elor interna</w:t>
            </w:r>
            <w:r>
              <w:rPr>
                <w:rFonts w:ascii="Cambria Math" w:hAnsi="Cambria Math"/>
                <w:b/>
                <w:sz w:val="22"/>
                <w:szCs w:val="22"/>
                <w:lang w:val="ro-RO"/>
              </w:rPr>
              <w:t>ț</w:t>
            </w:r>
            <w:r>
              <w:rPr>
                <w:b/>
                <w:sz w:val="22"/>
                <w:szCs w:val="22"/>
                <w:lang w:val="ro-RO"/>
              </w:rPr>
              <w:t>ionale</w:t>
            </w:r>
          </w:p>
          <w:p>
            <w:pPr>
              <w:pStyle w:val="ListParagraph"/>
              <w:widowControl/>
              <w:numPr>
                <w:ilvl w:val="0"/>
                <w:numId w:val="89"/>
              </w:numPr>
              <w:bidi w:val="0"/>
              <w:spacing w:before="0" w:after="0"/>
              <w:ind w:left="270" w:right="0" w:hanging="360"/>
              <w:contextualSpacing/>
              <w:jc w:val="both"/>
              <w:textAlignment w:val="auto"/>
              <w:rPr>
                <w:lang w:val="ro-MD"/>
              </w:rPr>
            </w:pPr>
            <w:r>
              <w:rPr>
                <w:bCs/>
                <w:sz w:val="22"/>
                <w:szCs w:val="22"/>
                <w:lang w:val="ro-MD"/>
              </w:rPr>
              <w:t>ZAMSA</w:t>
            </w:r>
            <w:r>
              <w:rPr>
                <w:sz w:val="22"/>
                <w:szCs w:val="22"/>
                <w:lang w:val="ro-MD"/>
              </w:rPr>
              <w:t xml:space="preserve">, E.  </w:t>
            </w:r>
            <w:r>
              <w:rPr>
                <w:sz w:val="22"/>
                <w:szCs w:val="22"/>
                <w:lang w:val="en-US"/>
              </w:rPr>
              <w:t xml:space="preserve">Medical Software User Interfaces, Stroke MD application design.  </w:t>
            </w:r>
            <w:r>
              <w:rPr>
                <w:i/>
                <w:sz w:val="22"/>
                <w:szCs w:val="22"/>
                <w:lang w:val="en-US"/>
              </w:rPr>
              <w:t>In: E-Health and Bioengineering Conference</w:t>
            </w:r>
            <w:r>
              <w:rPr>
                <w:i/>
                <w:sz w:val="22"/>
                <w:szCs w:val="22"/>
                <w:lang w:val="en-US" w:eastAsia="ro-RO"/>
              </w:rPr>
              <w:t>. Proceedings of a meeting held 19-21 November 2015, Iasi, Romania</w:t>
            </w:r>
            <w:r>
              <w:rPr>
                <w:sz w:val="22"/>
                <w:szCs w:val="22"/>
                <w:lang w:val="en-US" w:eastAsia="ro-RO"/>
              </w:rPr>
              <w:t xml:space="preserve">. ISBN 9781467375467, Vol. II IEEE, Curran Associates, Inc, 2016, </w:t>
            </w:r>
            <w:r>
              <w:rPr>
                <w:sz w:val="22"/>
                <w:szCs w:val="22"/>
                <w:lang w:val="en-US"/>
              </w:rPr>
              <w:t>563-567.</w:t>
            </w:r>
          </w:p>
          <w:p>
            <w:pPr>
              <w:pStyle w:val="Normal"/>
              <w:widowControl/>
              <w:bidi w:val="0"/>
              <w:ind w:left="0" w:right="0" w:hanging="0"/>
              <w:jc w:val="both"/>
              <w:textAlignment w:val="auto"/>
              <w:rPr>
                <w:lang w:val="ro-MD"/>
              </w:rPr>
            </w:pPr>
            <w:r>
              <w:rPr>
                <w:bCs/>
                <w:sz w:val="22"/>
                <w:szCs w:val="22"/>
                <w:lang w:val="ro-MD"/>
              </w:rPr>
              <w:t>2. MAGARIU, G.; VERLAN, T. Stroke predictive models overview: input and output parameters,   underlying dataset and predictive value.  In: Abstracts of the International Scientific Conference Mathematics &amp; IT: Research and Education, MITRE-2016.</w:t>
            </w:r>
            <w:r>
              <w:rPr>
                <w:sz w:val="22"/>
                <w:szCs w:val="22"/>
                <w:lang w:val="en-US"/>
              </w:rPr>
              <w:t xml:space="preserve"> </w:t>
            </w:r>
          </w:p>
        </w:tc>
      </w:tr>
    </w:tbl>
    <w:p>
      <w:pPr>
        <w:pStyle w:val="Normal"/>
        <w:widowControl/>
        <w:numPr>
          <w:ilvl w:val="0"/>
          <w:numId w:val="27"/>
        </w:numPr>
        <w:tabs>
          <w:tab w:val="left" w:pos="180" w:leader="none"/>
        </w:tabs>
        <w:bidi w:val="0"/>
        <w:ind w:left="180" w:right="0" w:hanging="0"/>
        <w:jc w:val="left"/>
        <w:textAlignment w:val="auto"/>
        <w:rPr>
          <w:lang w:val="ro-MD"/>
        </w:rPr>
      </w:pPr>
      <w:r>
        <w:rPr>
          <w:rFonts w:cs="Times New Roman CE" w:ascii="Times New Roman CE" w:hAnsi="Times New Roman CE"/>
          <w:sz w:val="22"/>
          <w:szCs w:val="22"/>
          <w:lang w:val="ro-MD"/>
        </w:rPr>
        <w:t>Relevanţa r</w:t>
      </w:r>
      <w:r>
        <w:rPr>
          <w:sz w:val="22"/>
          <w:szCs w:val="22"/>
          <w:lang w:val="ro-MD"/>
        </w:rPr>
        <w:t>ezultatelor</w:t>
      </w:r>
      <w:r>
        <w:rPr>
          <w:rFonts w:cs="Times New Roman CE" w:ascii="Times New Roman CE" w:hAnsi="Times New Roman CE"/>
          <w:sz w:val="22"/>
          <w:szCs w:val="22"/>
          <w:lang w:val="ro-MD"/>
        </w:rPr>
        <w:t xml:space="preserve"> ştiinţifice obţinute  anul 201</w:t>
      </w:r>
      <w:r>
        <w:rPr>
          <w:sz w:val="22"/>
          <w:szCs w:val="22"/>
          <w:lang w:val="ro-MD"/>
        </w:rPr>
        <w:t>6</w:t>
      </w:r>
    </w:p>
    <w:tbl>
      <w:tblPr>
        <w:tblW w:w="9356" w:type="dxa"/>
        <w:jc w:val="left"/>
        <w:tblInd w:w="141"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356"/>
      </w:tblGrid>
      <w:tr>
        <w:trPr/>
        <w:tc>
          <w:tcPr>
            <w:tcW w:w="9356"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12"/>
              <w:widowControl/>
              <w:bidi w:val="0"/>
              <w:spacing w:before="0" w:after="200"/>
              <w:ind w:left="0" w:right="0" w:hanging="0"/>
              <w:contextualSpacing/>
              <w:jc w:val="both"/>
              <w:textAlignment w:val="auto"/>
              <w:rPr>
                <w:lang w:val="ro-RO"/>
              </w:rPr>
            </w:pPr>
            <w:r>
              <w:rPr>
                <w:rFonts w:cs="Times New Roman CE" w:ascii="Times New Roman CE" w:hAnsi="Times New Roman CE"/>
                <w:sz w:val="22"/>
                <w:szCs w:val="22"/>
                <w:lang w:val="ro-RO" w:eastAsia="en-US"/>
              </w:rPr>
              <w:t xml:space="preserve">Sistemul informaţional orientat pe managementul stării sănătăţii pacienţilor cu AVC are menirea să asiste cercetările şi concluziile medicilor oferindu-le un tablou de ansamblu şi în timp a evoluţiei stării pacienţilor. Sistemul va asista medicii în procesele de screening, management, notare, verificare, evaluare a pacientului. Problema ştiinţifică soluţionată în proiect rezumă la elaborarea unei noi unelte </w:t>
            </w:r>
            <w:r>
              <w:rPr>
                <w:sz w:val="22"/>
                <w:szCs w:val="22"/>
                <w:lang w:val="ro-RO" w:eastAsia="en-US"/>
              </w:rPr>
              <w:t>ș</w:t>
            </w:r>
            <w:r>
              <w:rPr>
                <w:rFonts w:ascii="Times New Roman" w:hAnsi="Times New Roman"/>
                <w:sz w:val="22"/>
                <w:szCs w:val="22"/>
                <w:lang w:val="ro-RO" w:eastAsia="en-US"/>
              </w:rPr>
              <w:t>i metodologii de lucru a medicilor neurologi,</w:t>
            </w:r>
            <w:r>
              <w:rPr>
                <w:rFonts w:cs="Times New Roman CE" w:ascii="Times New Roman CE" w:hAnsi="Times New Roman CE"/>
                <w:sz w:val="22"/>
                <w:szCs w:val="22"/>
                <w:lang w:val="ro-RO" w:eastAsia="en-US"/>
              </w:rPr>
              <w:t xml:space="preserve"> care vor dispune de mecanisme complexe de management a stării pacientului.</w:t>
            </w:r>
          </w:p>
        </w:tc>
      </w:tr>
    </w:tbl>
    <w:p>
      <w:pPr>
        <w:pStyle w:val="Normal"/>
        <w:widowControl/>
        <w:numPr>
          <w:ilvl w:val="0"/>
          <w:numId w:val="27"/>
        </w:numPr>
        <w:tabs>
          <w:tab w:val="left" w:pos="180" w:leader="none"/>
        </w:tabs>
        <w:bidi w:val="0"/>
        <w:spacing w:lineRule="exact" w:line="360"/>
        <w:ind w:left="180" w:right="0" w:hanging="0"/>
        <w:jc w:val="left"/>
        <w:textAlignment w:val="auto"/>
        <w:rPr>
          <w:lang w:val="ro-MD"/>
        </w:rPr>
      </w:pPr>
      <w:r>
        <w:rPr>
          <w:rFonts w:cs="Times New Roman CE" w:ascii="Times New Roman CE" w:hAnsi="Times New Roman CE"/>
          <w:sz w:val="22"/>
          <w:szCs w:val="22"/>
          <w:lang w:val="ro-MD"/>
        </w:rPr>
        <w:t>Beneficiarul (ministere, instituţii de stat sau private, în</w:t>
      </w:r>
      <w:r>
        <w:rPr>
          <w:sz w:val="22"/>
          <w:szCs w:val="22"/>
          <w:lang w:val="ro-MD"/>
        </w:rPr>
        <w:t>treprinderi etc.)</w:t>
      </w:r>
    </w:p>
    <w:tbl>
      <w:tblPr>
        <w:tblW w:w="9412" w:type="dxa"/>
        <w:jc w:val="left"/>
        <w:tblInd w:w="-109"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412"/>
      </w:tblGrid>
      <w:tr>
        <w:trPr>
          <w:trHeight w:val="285" w:hRule="atLeast"/>
        </w:trPr>
        <w:tc>
          <w:tcPr>
            <w:tcW w:w="9412"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vAlign w:val="center"/>
          </w:tcPr>
          <w:p>
            <w:pPr>
              <w:pStyle w:val="Normal"/>
              <w:widowControl/>
              <w:bidi w:val="0"/>
              <w:ind w:left="0" w:right="0" w:hanging="0"/>
              <w:jc w:val="left"/>
              <w:textAlignment w:val="auto"/>
              <w:rPr>
                <w:lang w:val="en-US"/>
              </w:rPr>
            </w:pPr>
            <w:r>
              <w:rPr>
                <w:rFonts w:cs="Times New Roman CE" w:ascii="Times New Roman CE" w:hAnsi="Times New Roman CE"/>
                <w:bCs/>
                <w:lang w:val="en-US"/>
              </w:rPr>
              <w:t>Ministerul Sănătăţii Republicii Moldova</w:t>
            </w:r>
            <w:r>
              <w:rPr>
                <w:bCs/>
                <w:lang w:val="ro-RO"/>
              </w:rPr>
              <w:t xml:space="preserve">,  </w:t>
            </w:r>
            <w:r>
              <w:rPr>
                <w:rFonts w:cs="Times New Roman CE" w:ascii="Times New Roman CE" w:hAnsi="Times New Roman CE"/>
                <w:bCs/>
                <w:lang w:val="en-US"/>
              </w:rPr>
              <w:t>IMSP Institutul de Medicină Urgentă</w:t>
            </w:r>
          </w:p>
        </w:tc>
      </w:tr>
    </w:tbl>
    <w:p>
      <w:pPr>
        <w:pStyle w:val="5"/>
        <w:keepNext/>
        <w:widowControl/>
        <w:numPr>
          <w:ilvl w:val="0"/>
          <w:numId w:val="0"/>
        </w:numPr>
        <w:tabs>
          <w:tab w:val="left" w:pos="0" w:leader="none"/>
        </w:tabs>
        <w:suppressAutoHyphens w:val="true"/>
        <w:bidi w:val="0"/>
        <w:ind w:left="708" w:right="0" w:firstLine="708"/>
        <w:jc w:val="left"/>
        <w:textAlignment w:val="auto"/>
        <w:outlineLvl w:val="4"/>
        <w:rPr>
          <w:rFonts w:ascii="Times New Roman" w:hAnsi="Times New Roman"/>
          <w:b w:val="false"/>
          <w:b w:val="false"/>
          <w:bCs w:val="false"/>
          <w:iCs/>
          <w:sz w:val="20"/>
          <w:lang w:val="en-US"/>
        </w:rPr>
      </w:pPr>
      <w:r>
        <w:rPr>
          <w:b w:val="false"/>
          <w:bCs w:val="false"/>
          <w:iCs/>
          <w:sz w:val="20"/>
          <w:lang w:val="en-US"/>
        </w:rPr>
      </w:r>
    </w:p>
    <w:p>
      <w:pPr>
        <w:pStyle w:val="5"/>
        <w:keepNext/>
        <w:widowControl/>
        <w:numPr>
          <w:ilvl w:val="0"/>
          <w:numId w:val="0"/>
        </w:numPr>
        <w:tabs>
          <w:tab w:val="left" w:pos="0" w:leader="none"/>
        </w:tabs>
        <w:suppressAutoHyphens w:val="true"/>
        <w:bidi w:val="0"/>
        <w:ind w:left="708" w:right="0" w:firstLine="708"/>
        <w:jc w:val="left"/>
        <w:textAlignment w:val="auto"/>
        <w:outlineLvl w:val="4"/>
        <w:rPr>
          <w:rFonts w:ascii="Times New Roman" w:hAnsi="Times New Roman"/>
          <w:b w:val="false"/>
          <w:b w:val="false"/>
          <w:bCs w:val="false"/>
          <w:iCs/>
          <w:sz w:val="20"/>
        </w:rPr>
      </w:pPr>
      <w:r>
        <w:rPr>
          <w:b w:val="false"/>
          <w:bCs w:val="false"/>
          <w:iCs/>
          <w:sz w:val="20"/>
        </w:rPr>
      </w:r>
    </w:p>
    <w:p>
      <w:pPr>
        <w:pStyle w:val="5"/>
        <w:keepNext/>
        <w:widowControl/>
        <w:numPr>
          <w:ilvl w:val="0"/>
          <w:numId w:val="0"/>
        </w:numPr>
        <w:tabs>
          <w:tab w:val="left" w:pos="0" w:leader="none"/>
        </w:tabs>
        <w:suppressAutoHyphens w:val="true"/>
        <w:bidi w:val="0"/>
        <w:ind w:left="0" w:right="0" w:hanging="0"/>
        <w:jc w:val="left"/>
        <w:textAlignment w:val="auto"/>
        <w:outlineLvl w:val="4"/>
        <w:rPr>
          <w:b w:val="false"/>
          <w:b w:val="false"/>
        </w:rPr>
      </w:pPr>
      <w:r>
        <w:rPr>
          <w:rFonts w:cs="Times New Roman CE" w:ascii="Times New Roman CE" w:hAnsi="Times New Roman CE"/>
          <w:b w:val="false"/>
          <w:spacing w:val="0"/>
          <w:szCs w:val="22"/>
        </w:rPr>
        <w:t>Conducătorul proiectu</w:t>
      </w:r>
      <w:r>
        <w:rPr>
          <w:b w:val="false"/>
          <w:spacing w:val="0"/>
          <w:szCs w:val="22"/>
        </w:rPr>
        <w:t>lui</w:t>
      </w:r>
      <w:r>
        <w:rPr>
          <w:b w:val="false"/>
          <w:bCs w:val="false"/>
          <w:iCs/>
          <w:szCs w:val="22"/>
        </w:rPr>
        <w:t xml:space="preserve">  </w:t>
      </w:r>
      <w:r>
        <w:rPr>
          <w:b w:val="false"/>
          <w:bCs w:val="false"/>
          <w:i/>
          <w:iCs/>
          <w:spacing w:val="0"/>
          <w:szCs w:val="22"/>
          <w:lang w:val="ro-RO"/>
        </w:rPr>
        <w:t xml:space="preserve">______________________________  </w:t>
      </w:r>
      <w:r>
        <w:rPr>
          <w:b w:val="false"/>
          <w:bCs w:val="false"/>
          <w:iCs/>
          <w:szCs w:val="22"/>
        </w:rPr>
        <w:t xml:space="preserve"> dr.h.</w:t>
      </w:r>
      <w:r>
        <w:rPr>
          <w:b w:val="false"/>
          <w:bCs w:val="false"/>
          <w:i/>
          <w:iCs/>
          <w:spacing w:val="0"/>
          <w:szCs w:val="22"/>
          <w:lang w:val="ro-RO"/>
        </w:rPr>
        <w:t xml:space="preserve"> </w:t>
      </w:r>
      <w:r>
        <w:rPr>
          <w:b w:val="false"/>
          <w:bCs w:val="false"/>
          <w:iCs/>
          <w:spacing w:val="0"/>
          <w:szCs w:val="22"/>
          <w:lang w:val="ro-RO"/>
        </w:rPr>
        <w:t>C</w:t>
      </w:r>
      <w:r>
        <w:rPr>
          <w:b w:val="false"/>
          <w:bCs w:val="false"/>
          <w:iCs/>
          <w:szCs w:val="22"/>
        </w:rPr>
        <w:t>OJOCARU Svetlana</w:t>
      </w:r>
    </w:p>
    <w:p>
      <w:pPr>
        <w:pStyle w:val="Normal"/>
        <w:widowControl/>
        <w:bidi w:val="0"/>
        <w:ind w:left="0" w:right="0" w:hanging="0"/>
        <w:jc w:val="left"/>
        <w:textAlignment w:val="auto"/>
        <w:rPr>
          <w:rFonts w:ascii="Times New Roman" w:hAnsi="Times New Roman"/>
          <w:lang w:val="ro-MD"/>
        </w:rPr>
      </w:pPr>
      <w:r>
        <w:rPr>
          <w:lang w:val="ro-MD"/>
        </w:rPr>
      </w:r>
    </w:p>
    <w:p>
      <w:pPr>
        <w:pStyle w:val="1"/>
        <w:keepNext/>
        <w:widowControl/>
        <w:numPr>
          <w:ilvl w:val="0"/>
          <w:numId w:val="0"/>
        </w:numPr>
        <w:bidi w:val="0"/>
        <w:spacing w:before="240" w:after="60"/>
        <w:ind w:left="0" w:right="0" w:hanging="0"/>
        <w:jc w:val="left"/>
        <w:textAlignment w:val="auto"/>
        <w:outlineLvl w:val="0"/>
        <w:rPr>
          <w:b w:val="false"/>
          <w:b w:val="false"/>
          <w:lang w:val="fr-FR"/>
        </w:rPr>
      </w:pPr>
      <w:bookmarkStart w:id="54" w:name="_Toc469651882"/>
      <w:r>
        <w:rPr>
          <w:rFonts w:cs="Times New Roman CE" w:ascii="Times New Roman CE" w:hAnsi="Times New Roman CE"/>
          <w:b w:val="false"/>
          <w:lang w:val="fr-FR"/>
        </w:rPr>
        <w:t>Fişele proiectelor internaţionale</w:t>
      </w:r>
      <w:bookmarkEnd w:id="54"/>
      <w:r>
        <w:rPr>
          <w:rFonts w:cs="Times New Roman" w:ascii="Times New Roman" w:hAnsi="Times New Roman"/>
          <w:b w:val="false"/>
          <w:lang w:val="fr-FR"/>
        </w:rPr>
        <w:t xml:space="preserve"> (IV)</w:t>
      </w:r>
    </w:p>
    <w:p>
      <w:pPr>
        <w:pStyle w:val="2"/>
        <w:keepNext/>
        <w:widowControl/>
        <w:numPr>
          <w:ilvl w:val="0"/>
          <w:numId w:val="0"/>
        </w:numPr>
        <w:bidi w:val="0"/>
        <w:ind w:left="0" w:right="0" w:hanging="0"/>
        <w:jc w:val="left"/>
        <w:textAlignment w:val="auto"/>
        <w:outlineLvl w:val="1"/>
        <w:rPr/>
      </w:pPr>
      <w:bookmarkStart w:id="55" w:name="_Toc469651883"/>
      <w:r>
        <w:rPr>
          <w:rFonts w:cs="Times New Roman CE" w:ascii="Times New Roman CE" w:hAnsi="Times New Roman CE"/>
          <w:i/>
          <w:sz w:val="26"/>
          <w:szCs w:val="26"/>
        </w:rPr>
        <w:t>Fişa proiectului internaţional I</w:t>
      </w:r>
      <w:bookmarkStart w:id="56" w:name="_Toc311818434"/>
      <w:bookmarkStart w:id="57" w:name="_Toc311820784"/>
      <w:bookmarkStart w:id="58" w:name="_Toc311820460"/>
      <w:bookmarkStart w:id="59" w:name="_Toc311819981"/>
      <w:bookmarkStart w:id="60" w:name="_Toc311819710"/>
      <w:bookmarkStart w:id="61" w:name="_Toc311818766"/>
      <w:bookmarkEnd w:id="55"/>
      <w:r>
        <w:rPr>
          <w:bCs/>
          <w:iCs/>
          <w:sz w:val="22"/>
          <w:szCs w:val="22"/>
          <w:vertAlign w:val="superscript"/>
        </w:rPr>
        <w:t xml:space="preserve">                     </w:t>
        <w:tab/>
      </w:r>
    </w:p>
    <w:p>
      <w:pPr>
        <w:pStyle w:val="Normal"/>
        <w:widowControl/>
        <w:numPr>
          <w:ilvl w:val="0"/>
          <w:numId w:val="90"/>
        </w:numPr>
        <w:tabs>
          <w:tab w:val="left" w:pos="180" w:leader="none"/>
        </w:tabs>
        <w:bidi w:val="0"/>
        <w:spacing w:lineRule="exact" w:line="360"/>
        <w:ind w:left="180" w:right="0" w:hanging="0"/>
        <w:jc w:val="left"/>
        <w:textAlignment w:val="auto"/>
        <w:rPr>
          <w:lang w:val="ro-MD"/>
        </w:rPr>
      </w:pPr>
      <w:bookmarkEnd w:id="56"/>
      <w:bookmarkEnd w:id="57"/>
      <w:bookmarkEnd w:id="58"/>
      <w:bookmarkEnd w:id="59"/>
      <w:bookmarkEnd w:id="60"/>
      <w:bookmarkEnd w:id="61"/>
      <w:r>
        <w:rPr>
          <w:bCs/>
          <w:sz w:val="22"/>
          <w:szCs w:val="22"/>
          <w:lang w:val="ro-MD"/>
        </w:rPr>
        <w:t xml:space="preserve">  </w:t>
      </w:r>
      <w:r>
        <w:rPr>
          <w:bCs/>
          <w:sz w:val="22"/>
          <w:szCs w:val="22"/>
          <w:lang w:val="ro-MD"/>
        </w:rPr>
        <w:t xml:space="preserve">Denumirea proiectului </w:t>
      </w:r>
    </w:p>
    <w:tbl>
      <w:tblPr>
        <w:tblW w:w="9482" w:type="dxa"/>
        <w:jc w:val="left"/>
        <w:tblInd w:w="54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482"/>
      </w:tblGrid>
      <w:tr>
        <w:trPr/>
        <w:tc>
          <w:tcPr>
            <w:tcW w:w="9482"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RO"/>
              </w:rPr>
            </w:pPr>
            <w:r>
              <w:rPr>
                <w:bCs/>
                <w:sz w:val="22"/>
                <w:szCs w:val="22"/>
                <w:lang w:val="ro-RO"/>
              </w:rPr>
              <w:t>15.820.18.02.02/B</w:t>
            </w:r>
            <w:r>
              <w:rPr>
                <w:rFonts w:cs="Times New Roman CE" w:ascii="Times New Roman CE" w:hAnsi="Times New Roman CE"/>
                <w:bCs/>
                <w:sz w:val="22"/>
                <w:szCs w:val="22"/>
                <w:lang w:val="ro-RO"/>
              </w:rPr>
              <w:t xml:space="preserve"> „Tehnici moderne de procesare avansată a imaginilor cu aplicare în imagistica medicală”</w:t>
            </w:r>
          </w:p>
        </w:tc>
      </w:tr>
    </w:tbl>
    <w:p>
      <w:pPr>
        <w:pStyle w:val="Normal"/>
        <w:widowControl/>
        <w:numPr>
          <w:ilvl w:val="0"/>
          <w:numId w:val="90"/>
        </w:numPr>
        <w:tabs>
          <w:tab w:val="left" w:pos="180" w:leader="none"/>
        </w:tabs>
        <w:bidi w:val="0"/>
        <w:spacing w:lineRule="exact" w:line="360"/>
        <w:ind w:left="180" w:right="0" w:hanging="0"/>
        <w:jc w:val="left"/>
        <w:textAlignment w:val="auto"/>
        <w:rPr>
          <w:lang w:val="ro-MD"/>
        </w:rPr>
      </w:pPr>
      <w:r>
        <w:rPr>
          <w:rFonts w:cs="Times New Roman CE" w:ascii="Times New Roman CE" w:hAnsi="Times New Roman CE"/>
          <w:bCs/>
          <w:sz w:val="22"/>
          <w:szCs w:val="22"/>
          <w:lang w:val="ro-MD"/>
        </w:rPr>
        <w:t>Denumirea programului /organizaţiei/fondului internaţional</w:t>
      </w:r>
    </w:p>
    <w:tbl>
      <w:tblPr>
        <w:tblW w:w="9482" w:type="dxa"/>
        <w:jc w:val="left"/>
        <w:tblInd w:w="54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482"/>
      </w:tblGrid>
      <w:tr>
        <w:trPr/>
        <w:tc>
          <w:tcPr>
            <w:tcW w:w="9482"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bCs/>
                <w:sz w:val="22"/>
                <w:szCs w:val="22"/>
                <w:lang w:val="ro-RO"/>
              </w:rPr>
              <w:t>din cadrul Programului de colaborare bilaterală între Academia de Ştiinţe a Moldovei  şi Fondul Republican de Cercetari Fundamentale din Belarus</w:t>
            </w:r>
          </w:p>
        </w:tc>
      </w:tr>
    </w:tbl>
    <w:p>
      <w:pPr>
        <w:pStyle w:val="Normal"/>
        <w:widowControl/>
        <w:numPr>
          <w:ilvl w:val="0"/>
          <w:numId w:val="90"/>
        </w:numPr>
        <w:tabs>
          <w:tab w:val="left" w:pos="180" w:leader="none"/>
        </w:tabs>
        <w:bidi w:val="0"/>
        <w:spacing w:lineRule="exact" w:line="360"/>
        <w:ind w:left="180" w:right="0" w:hanging="0"/>
        <w:jc w:val="left"/>
        <w:textAlignment w:val="auto"/>
        <w:rPr>
          <w:lang w:val="ro-MD"/>
        </w:rPr>
      </w:pPr>
      <w:r>
        <w:rPr>
          <w:bCs/>
          <w:sz w:val="22"/>
          <w:szCs w:val="22"/>
          <w:lang w:val="ro-MD"/>
        </w:rPr>
        <w:t xml:space="preserve">Obiectivele proiectului </w:t>
      </w:r>
    </w:p>
    <w:tbl>
      <w:tblPr>
        <w:tblW w:w="9482" w:type="dxa"/>
        <w:jc w:val="left"/>
        <w:tblInd w:w="54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482"/>
      </w:tblGrid>
      <w:tr>
        <w:trPr/>
        <w:tc>
          <w:tcPr>
            <w:tcW w:w="9482"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bCs/>
                <w:sz w:val="22"/>
                <w:szCs w:val="22"/>
                <w:lang w:val="ro-RO"/>
              </w:rPr>
              <w:t xml:space="preserve">Scopul principal al proiectului constă în elaborarea unui set comun de metode </w:t>
            </w:r>
            <w:r>
              <w:rPr>
                <w:rFonts w:cs="Cambria Math" w:ascii="Cambria Math" w:hAnsi="Cambria Math"/>
                <w:bCs/>
                <w:sz w:val="22"/>
                <w:szCs w:val="22"/>
                <w:lang w:val="ro-RO"/>
              </w:rPr>
              <w:t>ș</w:t>
            </w:r>
            <w:r>
              <w:rPr>
                <w:bCs/>
                <w:sz w:val="22"/>
                <w:szCs w:val="22"/>
                <w:lang w:val="ro-RO"/>
              </w:rPr>
              <w:t>i tehnici pentru solu</w:t>
            </w:r>
            <w:r>
              <w:rPr>
                <w:rFonts w:cs="Cambria Math" w:ascii="Cambria Math" w:hAnsi="Cambria Math"/>
                <w:bCs/>
                <w:sz w:val="22"/>
                <w:szCs w:val="22"/>
                <w:lang w:val="ro-RO"/>
              </w:rPr>
              <w:t>ț</w:t>
            </w:r>
            <w:r>
              <w:rPr>
                <w:rFonts w:cs="Times New Roman CE" w:ascii="Times New Roman CE" w:hAnsi="Times New Roman CE"/>
                <w:bCs/>
                <w:sz w:val="22"/>
                <w:szCs w:val="22"/>
                <w:lang w:val="ro-RO"/>
              </w:rPr>
              <w:t>ionarea eficientă a problemelor selectate din domeniul imagisticii medicale. Eficien</w:t>
            </w:r>
            <w:r>
              <w:rPr>
                <w:rFonts w:cs="Cambria Math" w:ascii="Cambria Math" w:hAnsi="Cambria Math"/>
                <w:bCs/>
                <w:sz w:val="22"/>
                <w:szCs w:val="22"/>
                <w:lang w:val="ro-RO"/>
              </w:rPr>
              <w:t>ț</w:t>
            </w:r>
            <w:r>
              <w:rPr>
                <w:rFonts w:cs="Times New Roman CE" w:ascii="Times New Roman CE" w:hAnsi="Times New Roman CE"/>
                <w:bCs/>
                <w:sz w:val="22"/>
                <w:szCs w:val="22"/>
                <w:lang w:val="ro-RO"/>
              </w:rPr>
              <w:t>a va fi atinsă prin îmbogă</w:t>
            </w:r>
            <w:r>
              <w:rPr>
                <w:rFonts w:cs="Cambria Math" w:ascii="Cambria Math" w:hAnsi="Cambria Math"/>
                <w:bCs/>
                <w:sz w:val="22"/>
                <w:szCs w:val="22"/>
                <w:lang w:val="ro-RO"/>
              </w:rPr>
              <w:t>ț</w:t>
            </w:r>
            <w:r>
              <w:rPr>
                <w:rFonts w:cs="Times New Roman CE" w:ascii="Times New Roman CE" w:hAnsi="Times New Roman CE"/>
                <w:bCs/>
                <w:sz w:val="22"/>
                <w:szCs w:val="22"/>
                <w:lang w:val="ro-RO"/>
              </w:rPr>
              <w:t xml:space="preserve">irea reciprocă </w:t>
            </w:r>
            <w:r>
              <w:rPr>
                <w:rFonts w:cs="Cambria Math" w:ascii="Cambria Math" w:hAnsi="Cambria Math"/>
                <w:bCs/>
                <w:sz w:val="22"/>
                <w:szCs w:val="22"/>
                <w:lang w:val="ro-RO"/>
              </w:rPr>
              <w:t>ș</w:t>
            </w:r>
            <w:r>
              <w:rPr>
                <w:bCs/>
                <w:sz w:val="22"/>
                <w:szCs w:val="22"/>
                <w:lang w:val="ro-RO"/>
              </w:rPr>
              <w:t xml:space="preserve">i interconectare a tehnicilor </w:t>
            </w:r>
            <w:r>
              <w:rPr>
                <w:rFonts w:cs="Cambria Math" w:ascii="Cambria Math" w:hAnsi="Cambria Math"/>
                <w:bCs/>
                <w:sz w:val="22"/>
                <w:szCs w:val="22"/>
                <w:lang w:val="ro-RO"/>
              </w:rPr>
              <w:t>ș</w:t>
            </w:r>
            <w:r>
              <w:rPr>
                <w:rFonts w:cs="Times New Roman CE" w:ascii="Times New Roman CE" w:hAnsi="Times New Roman CE"/>
                <w:bCs/>
                <w:sz w:val="22"/>
                <w:szCs w:val="22"/>
                <w:lang w:val="ro-RO"/>
              </w:rPr>
              <w:t xml:space="preserve">i metodelor de imagistică medicală, dezvoltate în IMI </w:t>
            </w:r>
            <w:r>
              <w:rPr>
                <w:rFonts w:cs="Cambria Math" w:ascii="Cambria Math" w:hAnsi="Cambria Math"/>
                <w:bCs/>
                <w:sz w:val="22"/>
                <w:szCs w:val="22"/>
                <w:lang w:val="ro-RO"/>
              </w:rPr>
              <w:t>ș</w:t>
            </w:r>
            <w:r>
              <w:rPr>
                <w:bCs/>
                <w:sz w:val="22"/>
                <w:szCs w:val="22"/>
                <w:lang w:val="ro-RO"/>
              </w:rPr>
              <w:t xml:space="preserve">i IPI. </w:t>
            </w:r>
          </w:p>
          <w:p>
            <w:pPr>
              <w:pStyle w:val="Normal"/>
              <w:widowControl/>
              <w:bidi w:val="0"/>
              <w:ind w:left="0" w:right="0" w:hanging="0"/>
              <w:jc w:val="left"/>
              <w:textAlignment w:val="auto"/>
              <w:rPr/>
            </w:pPr>
            <w:r>
              <w:rPr>
                <w:bCs/>
                <w:sz w:val="22"/>
                <w:szCs w:val="22"/>
                <w:lang w:val="ro-RO"/>
              </w:rPr>
              <w:t xml:space="preserve">Astfel, obiectivele principale ale proiectului sunt: </w:t>
            </w:r>
          </w:p>
          <w:p>
            <w:pPr>
              <w:pStyle w:val="Normal"/>
              <w:widowControl/>
              <w:bidi w:val="0"/>
              <w:ind w:left="0" w:right="0" w:hanging="0"/>
              <w:jc w:val="left"/>
              <w:textAlignment w:val="auto"/>
              <w:rPr>
                <w:lang w:val="ro-RO"/>
              </w:rPr>
            </w:pPr>
            <w:r>
              <w:rPr>
                <w:rFonts w:cs="Times New Roman CE" w:ascii="Times New Roman CE" w:hAnsi="Times New Roman CE"/>
                <w:bCs/>
                <w:sz w:val="22"/>
                <w:szCs w:val="22"/>
                <w:lang w:val="ro-RO"/>
              </w:rPr>
              <w:t>1. Elaborarea modelelor formale de calcul în baza paradigmei calculelor biologice (P sisteme) , ce vor permite o solu</w:t>
            </w:r>
            <w:r>
              <w:rPr>
                <w:rFonts w:cs="Cambria Math" w:ascii="Cambria Math" w:hAnsi="Cambria Math"/>
                <w:bCs/>
                <w:sz w:val="22"/>
                <w:szCs w:val="22"/>
                <w:lang w:val="ro-RO"/>
              </w:rPr>
              <w:t>ț</w:t>
            </w:r>
            <w:r>
              <w:rPr>
                <w:bCs/>
                <w:sz w:val="22"/>
                <w:szCs w:val="22"/>
                <w:lang w:val="ro-RO"/>
              </w:rPr>
              <w:t>ionare efi</w:t>
            </w:r>
            <w:r>
              <w:rPr>
                <w:rFonts w:cs="Times New Roman CE" w:ascii="Times New Roman CE" w:hAnsi="Times New Roman CE"/>
                <w:bCs/>
                <w:sz w:val="22"/>
                <w:szCs w:val="22"/>
                <w:lang w:val="ro-RO"/>
              </w:rPr>
              <w:t xml:space="preserve">cientă a problemelor complexe de procesare a imaginilor medicale. </w:t>
            </w:r>
          </w:p>
          <w:p>
            <w:pPr>
              <w:pStyle w:val="Normal"/>
              <w:widowControl/>
              <w:bidi w:val="0"/>
              <w:ind w:left="0" w:right="0" w:hanging="0"/>
              <w:jc w:val="left"/>
              <w:textAlignment w:val="auto"/>
              <w:rPr/>
            </w:pPr>
            <w:r>
              <w:rPr>
                <w:rFonts w:cs="Times New Roman CE" w:ascii="Times New Roman CE" w:hAnsi="Times New Roman CE"/>
                <w:bCs/>
                <w:sz w:val="22"/>
                <w:szCs w:val="22"/>
                <w:lang w:val="ro-RO"/>
              </w:rPr>
              <w:t xml:space="preserve">2. Elaborarea tehnologiei de paralelizare a algoritmilor gradientului generalizat utilizând calculul cu membrane. </w:t>
            </w:r>
          </w:p>
        </w:tc>
      </w:tr>
    </w:tbl>
    <w:p>
      <w:pPr>
        <w:pStyle w:val="Normal"/>
        <w:widowControl/>
        <w:numPr>
          <w:ilvl w:val="0"/>
          <w:numId w:val="90"/>
        </w:numPr>
        <w:tabs>
          <w:tab w:val="left" w:pos="180" w:leader="none"/>
        </w:tabs>
        <w:bidi w:val="0"/>
        <w:spacing w:lineRule="exact" w:line="360"/>
        <w:ind w:left="180" w:right="0" w:hanging="0"/>
        <w:jc w:val="left"/>
        <w:textAlignment w:val="auto"/>
        <w:rPr>
          <w:lang w:val="ro-RO"/>
        </w:rPr>
      </w:pPr>
      <w:r>
        <w:rPr>
          <w:rFonts w:cs="Times New Roman CE" w:ascii="Times New Roman CE" w:hAnsi="Times New Roman CE"/>
          <w:bCs/>
          <w:color w:val="000000"/>
          <w:sz w:val="22"/>
          <w:szCs w:val="22"/>
          <w:lang w:val="ro-RO"/>
        </w:rPr>
        <w:t xml:space="preserve">Termenul executării </w:t>
      </w:r>
    </w:p>
    <w:tbl>
      <w:tblPr>
        <w:tblW w:w="9482" w:type="dxa"/>
        <w:jc w:val="left"/>
        <w:tblInd w:w="54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482"/>
      </w:tblGrid>
      <w:tr>
        <w:trPr/>
        <w:tc>
          <w:tcPr>
            <w:tcW w:w="9482"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RO"/>
              </w:rPr>
            </w:pPr>
            <w:r>
              <w:rPr>
                <w:bCs/>
                <w:sz w:val="22"/>
                <w:szCs w:val="22"/>
                <w:lang w:val="ro-RO"/>
              </w:rPr>
              <w:t>01.06. 2015 – 31.12. 2016</w:t>
            </w:r>
          </w:p>
        </w:tc>
      </w:tr>
    </w:tbl>
    <w:p>
      <w:pPr>
        <w:pStyle w:val="Normal"/>
        <w:widowControl/>
        <w:numPr>
          <w:ilvl w:val="0"/>
          <w:numId w:val="90"/>
        </w:numPr>
        <w:tabs>
          <w:tab w:val="left" w:pos="180" w:leader="none"/>
        </w:tabs>
        <w:bidi w:val="0"/>
        <w:spacing w:lineRule="exact" w:line="360"/>
        <w:ind w:left="180" w:right="0" w:hanging="0"/>
        <w:jc w:val="left"/>
        <w:textAlignment w:val="auto"/>
        <w:rPr>
          <w:lang w:val="ro-RO"/>
        </w:rPr>
      </w:pPr>
      <w:r>
        <w:rPr>
          <w:bCs/>
          <w:color w:val="000000"/>
          <w:sz w:val="22"/>
          <w:szCs w:val="22"/>
          <w:lang w:val="ro-RO"/>
        </w:rPr>
        <w:t xml:space="preserve">Costul total al proiectului  </w:t>
      </w:r>
    </w:p>
    <w:tbl>
      <w:tblPr>
        <w:tblW w:w="9482" w:type="dxa"/>
        <w:jc w:val="left"/>
        <w:tblInd w:w="54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482"/>
      </w:tblGrid>
      <w:tr>
        <w:trPr/>
        <w:tc>
          <w:tcPr>
            <w:tcW w:w="9482"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RO"/>
              </w:rPr>
            </w:pPr>
            <w:r>
              <w:rPr>
                <w:bCs/>
                <w:sz w:val="22"/>
                <w:szCs w:val="22"/>
                <w:lang w:val="ro-RO"/>
              </w:rPr>
              <w:t>150 mii lei</w:t>
            </w:r>
          </w:p>
        </w:tc>
      </w:tr>
    </w:tbl>
    <w:p>
      <w:pPr>
        <w:pStyle w:val="Normal"/>
        <w:widowControl/>
        <w:numPr>
          <w:ilvl w:val="0"/>
          <w:numId w:val="90"/>
        </w:numPr>
        <w:tabs>
          <w:tab w:val="left" w:pos="180" w:leader="none"/>
        </w:tabs>
        <w:bidi w:val="0"/>
        <w:spacing w:lineRule="exact" w:line="360"/>
        <w:ind w:left="180" w:right="0" w:hanging="0"/>
        <w:jc w:val="left"/>
        <w:textAlignment w:val="auto"/>
        <w:rPr>
          <w:lang w:val="ro-RO"/>
        </w:rPr>
      </w:pPr>
      <w:r>
        <w:rPr>
          <w:rFonts w:cs="Times New Roman CE" w:ascii="Times New Roman CE" w:hAnsi="Times New Roman CE"/>
          <w:bCs/>
          <w:color w:val="000000"/>
          <w:sz w:val="22"/>
          <w:szCs w:val="22"/>
          <w:lang w:val="ro-RO"/>
        </w:rPr>
        <w:t>Cofinanţarea din partea Republicii Moldova (în cazul cofinanţării)</w:t>
      </w:r>
    </w:p>
    <w:tbl>
      <w:tblPr>
        <w:tblW w:w="9484" w:type="dxa"/>
        <w:jc w:val="left"/>
        <w:tblInd w:w="547" w:type="dxa"/>
        <w:tblBorders>
          <w:top w:val="dotted" w:sz="4" w:space="0" w:color="808080"/>
          <w:left w:val="dotted" w:sz="4" w:space="0" w:color="808080"/>
        </w:tblBorders>
        <w:tblCellMar>
          <w:top w:w="0" w:type="dxa"/>
          <w:left w:w="103" w:type="dxa"/>
          <w:bottom w:w="0" w:type="dxa"/>
          <w:right w:w="108" w:type="dxa"/>
        </w:tblCellMar>
      </w:tblPr>
      <w:tblGrid>
        <w:gridCol w:w="4995"/>
        <w:gridCol w:w="4488"/>
      </w:tblGrid>
      <w:tr>
        <w:trPr>
          <w:trHeight w:val="330" w:hRule="atLeast"/>
        </w:trPr>
        <w:tc>
          <w:tcPr>
            <w:tcW w:w="4995" w:type="dxa"/>
            <w:tcBorders>
              <w:top w:val="dotted" w:sz="4" w:space="0" w:color="808080"/>
              <w:left w:val="dotted" w:sz="4" w:space="0" w:color="808080"/>
            </w:tcBorders>
            <w:shd w:fill="auto" w:val="clear"/>
            <w:tcMar>
              <w:left w:w="103" w:type="dxa"/>
            </w:tcMar>
            <w:vAlign w:val="center"/>
          </w:tcPr>
          <w:p>
            <w:pPr>
              <w:pStyle w:val="Normal"/>
              <w:widowControl/>
              <w:bidi w:val="0"/>
              <w:ind w:left="0" w:right="0" w:hanging="0"/>
              <w:jc w:val="left"/>
              <w:textAlignment w:val="auto"/>
              <w:rPr>
                <w:lang w:val="ro-RO"/>
              </w:rPr>
            </w:pPr>
            <w:r>
              <w:rPr>
                <w:rStyle w:val="Style6"/>
                <w:rFonts w:cs="Times New Roman CE" w:ascii="Times New Roman CE" w:hAnsi="Times New Roman CE"/>
                <w:i/>
                <w:sz w:val="22"/>
                <w:szCs w:val="22"/>
                <w:lang w:val="ro-RO"/>
              </w:rPr>
              <w:t>Cofinanţarea totală planificată (mii lei)</w:t>
            </w:r>
          </w:p>
        </w:tc>
        <w:tc>
          <w:tcPr>
            <w:tcW w:w="4488" w:type="dxa"/>
            <w:tcBorders>
              <w:top w:val="dotted" w:sz="4" w:space="0" w:color="808080"/>
              <w:left w:val="dotted" w:sz="4" w:space="0" w:color="808080"/>
              <w:right w:val="dotted" w:sz="4" w:space="0" w:color="808080"/>
              <w:insideV w:val="dotted" w:sz="4" w:space="0" w:color="808080"/>
            </w:tcBorders>
            <w:shd w:fill="auto" w:val="clear"/>
            <w:tcMar>
              <w:left w:w="103" w:type="dxa"/>
            </w:tcMar>
            <w:vAlign w:val="center"/>
          </w:tcPr>
          <w:p>
            <w:pPr>
              <w:pStyle w:val="Normal"/>
              <w:widowControl/>
              <w:bidi w:val="0"/>
              <w:ind w:left="0" w:right="0" w:hanging="0"/>
              <w:jc w:val="center"/>
              <w:textAlignment w:val="auto"/>
              <w:rPr>
                <w:lang w:val="ro-RO"/>
              </w:rPr>
            </w:pPr>
            <w:r>
              <w:rPr>
                <w:rStyle w:val="Style6"/>
                <w:rFonts w:cs="Times New Roman CE" w:ascii="Times New Roman CE" w:hAnsi="Times New Roman CE"/>
                <w:bCs/>
                <w:i/>
                <w:sz w:val="22"/>
                <w:szCs w:val="22"/>
                <w:lang w:val="ro-RO"/>
              </w:rPr>
              <w:t>Cofinanţarea pe perioada evaluată (mii lei)</w:t>
            </w:r>
          </w:p>
        </w:tc>
      </w:tr>
      <w:tr>
        <w:trPr>
          <w:trHeight w:val="330" w:hRule="atLeast"/>
        </w:trPr>
        <w:tc>
          <w:tcPr>
            <w:tcW w:w="4995" w:type="dxa"/>
            <w:tcBorders>
              <w:left w:val="dotted" w:sz="4" w:space="0" w:color="808080"/>
              <w:bottom w:val="dotted" w:sz="4" w:space="0" w:color="808080"/>
              <w:insideH w:val="dotted" w:sz="4" w:space="0" w:color="808080"/>
            </w:tcBorders>
            <w:shd w:fill="auto" w:val="clear"/>
            <w:tcMar>
              <w:left w:w="103" w:type="dxa"/>
            </w:tcMar>
            <w:vAlign w:val="center"/>
          </w:tcPr>
          <w:p>
            <w:pPr>
              <w:pStyle w:val="Normal"/>
              <w:widowControl/>
              <w:bidi w:val="0"/>
              <w:ind w:left="0" w:right="0" w:hanging="0"/>
              <w:jc w:val="center"/>
              <w:textAlignment w:val="auto"/>
              <w:rPr>
                <w:lang w:val="ro-RO"/>
              </w:rPr>
            </w:pPr>
            <w:r>
              <w:rPr>
                <w:rStyle w:val="Style6"/>
                <w:bCs/>
                <w:i/>
                <w:sz w:val="20"/>
                <w:szCs w:val="20"/>
                <w:lang w:val="ro-RO"/>
              </w:rPr>
              <w:t>150</w:t>
            </w:r>
          </w:p>
        </w:tc>
        <w:tc>
          <w:tcPr>
            <w:tcW w:w="4488" w:type="dxa"/>
            <w:tcBorders>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vAlign w:val="center"/>
          </w:tcPr>
          <w:p>
            <w:pPr>
              <w:pStyle w:val="Normal"/>
              <w:widowControl/>
              <w:bidi w:val="0"/>
              <w:ind w:left="0" w:right="0" w:hanging="0"/>
              <w:jc w:val="center"/>
              <w:textAlignment w:val="auto"/>
              <w:rPr>
                <w:lang w:val="ro-RO"/>
              </w:rPr>
            </w:pPr>
            <w:r>
              <w:rPr>
                <w:rStyle w:val="Style6"/>
                <w:bCs/>
                <w:i/>
                <w:sz w:val="20"/>
                <w:szCs w:val="20"/>
                <w:lang w:val="ro-RO"/>
              </w:rPr>
              <w:t>50</w:t>
            </w:r>
          </w:p>
        </w:tc>
      </w:tr>
    </w:tbl>
    <w:p>
      <w:pPr>
        <w:pStyle w:val="Normal"/>
        <w:widowControl/>
        <w:numPr>
          <w:ilvl w:val="0"/>
          <w:numId w:val="90"/>
        </w:numPr>
        <w:tabs>
          <w:tab w:val="left" w:pos="180" w:leader="none"/>
        </w:tabs>
        <w:bidi w:val="0"/>
        <w:spacing w:lineRule="exact" w:line="360"/>
        <w:ind w:left="180" w:right="0" w:hanging="0"/>
        <w:jc w:val="left"/>
        <w:textAlignment w:val="auto"/>
        <w:rPr/>
      </w:pPr>
      <w:r>
        <w:rPr>
          <w:rFonts w:cs="Times New Roman CE" w:ascii="Times New Roman CE" w:hAnsi="Times New Roman CE"/>
          <w:color w:val="000000"/>
        </w:rPr>
        <w:t xml:space="preserve">Subdiviziunile organizaţiei executoare </w:t>
      </w:r>
    </w:p>
    <w:tbl>
      <w:tblPr>
        <w:tblW w:w="9518" w:type="dxa"/>
        <w:jc w:val="left"/>
        <w:tblInd w:w="54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518"/>
      </w:tblGrid>
      <w:tr>
        <w:trPr>
          <w:trHeight w:val="318" w:hRule="atLeast"/>
        </w:trPr>
        <w:tc>
          <w:tcPr>
            <w:tcW w:w="9518"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RO"/>
              </w:rPr>
            </w:pPr>
            <w:r>
              <w:rPr>
                <w:bCs/>
                <w:sz w:val="22"/>
                <w:szCs w:val="22"/>
                <w:lang w:val="ro-RO"/>
              </w:rPr>
              <w:t xml:space="preserve">Laboratoarele „Sisteme de Programare” (SP) </w:t>
            </w:r>
            <w:r>
              <w:rPr>
                <w:rFonts w:cs="Cambria Math" w:ascii="Cambria Math" w:hAnsi="Cambria Math"/>
                <w:bCs/>
                <w:sz w:val="22"/>
                <w:szCs w:val="22"/>
                <w:lang w:val="ro-RO"/>
              </w:rPr>
              <w:t>ș</w:t>
            </w:r>
            <w:r>
              <w:rPr>
                <w:bCs/>
                <w:sz w:val="22"/>
                <w:szCs w:val="22"/>
                <w:lang w:val="ro-RO"/>
              </w:rPr>
              <w:t>i „Sisteme Informatice” (SI)</w:t>
            </w:r>
          </w:p>
        </w:tc>
      </w:tr>
    </w:tbl>
    <w:p>
      <w:pPr>
        <w:pStyle w:val="Normal"/>
        <w:widowControl/>
        <w:numPr>
          <w:ilvl w:val="0"/>
          <w:numId w:val="90"/>
        </w:numPr>
        <w:tabs>
          <w:tab w:val="left" w:pos="180" w:leader="none"/>
        </w:tabs>
        <w:bidi w:val="0"/>
        <w:spacing w:lineRule="exact" w:line="360"/>
        <w:ind w:left="180" w:right="0" w:hanging="0"/>
        <w:jc w:val="left"/>
        <w:textAlignment w:val="auto"/>
        <w:rPr/>
      </w:pPr>
      <w:r>
        <w:rPr>
          <w:color w:val="000000"/>
        </w:rPr>
        <w:t xml:space="preserve">Executorii  </w:t>
      </w:r>
    </w:p>
    <w:tbl>
      <w:tblPr>
        <w:tblW w:w="8973" w:type="dxa"/>
        <w:jc w:val="left"/>
        <w:tblInd w:w="56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3" w:type="dxa"/>
          <w:bottom w:w="0" w:type="dxa"/>
          <w:right w:w="108" w:type="dxa"/>
        </w:tblCellMar>
      </w:tblPr>
      <w:tblGrid>
        <w:gridCol w:w="1392"/>
        <w:gridCol w:w="2084"/>
        <w:gridCol w:w="3061"/>
        <w:gridCol w:w="2435"/>
      </w:tblGrid>
      <w:tr>
        <w:trPr/>
        <w:tc>
          <w:tcPr>
            <w:tcW w:w="13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Nr./ord.</w:t>
            </w:r>
          </w:p>
        </w:tc>
        <w:tc>
          <w:tcPr>
            <w:tcW w:w="20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sz w:val="22"/>
                <w:szCs w:val="22"/>
                <w:lang w:val="ro-MD"/>
              </w:rPr>
              <w:t xml:space="preserve">Nume, prenume </w:t>
            </w:r>
          </w:p>
        </w:tc>
        <w:tc>
          <w:tcPr>
            <w:tcW w:w="549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sz w:val="22"/>
                <w:szCs w:val="22"/>
                <w:lang w:val="ro-MD"/>
              </w:rPr>
              <w:t xml:space="preserve"> </w:t>
            </w:r>
            <w:r>
              <w:rPr>
                <w:bCs/>
                <w:i/>
                <w:sz w:val="22"/>
                <w:szCs w:val="22"/>
                <w:lang w:val="ro-MD"/>
              </w:rPr>
              <w:t>F</w:t>
            </w:r>
            <w:r>
              <w:rPr>
                <w:rFonts w:cs="Times New Roman CE" w:ascii="Times New Roman CE" w:hAnsi="Times New Roman CE"/>
                <w:bCs/>
                <w:i/>
                <w:sz w:val="22"/>
                <w:szCs w:val="22"/>
                <w:lang w:val="ro-MD"/>
              </w:rPr>
              <w:t>uncţia în cadrul proiectului</w:t>
            </w:r>
          </w:p>
        </w:tc>
      </w:tr>
      <w:tr>
        <w:trPr/>
        <w:tc>
          <w:tcPr>
            <w:tcW w:w="13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1.</w:t>
            </w:r>
          </w:p>
        </w:tc>
        <w:tc>
          <w:tcPr>
            <w:tcW w:w="20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317" w:leader="none"/>
                <w:tab w:val="left" w:pos="3222" w:leader="none"/>
                <w:tab w:val="left" w:pos="3768" w:leader="none"/>
              </w:tabs>
              <w:bidi w:val="0"/>
              <w:ind w:left="0" w:right="0" w:hanging="0"/>
              <w:jc w:val="left"/>
              <w:textAlignment w:val="auto"/>
              <w:rPr>
                <w:lang w:val="ro-RO"/>
              </w:rPr>
            </w:pPr>
            <w:r>
              <w:rPr>
                <w:i/>
                <w:sz w:val="22"/>
                <w:szCs w:val="22"/>
                <w:lang w:val="ro-RO"/>
              </w:rPr>
              <w:t xml:space="preserve">Burteva Ludmila     </w:t>
            </w:r>
          </w:p>
        </w:tc>
        <w:tc>
          <w:tcPr>
            <w:tcW w:w="30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
                <w:sz w:val="22"/>
                <w:szCs w:val="22"/>
                <w:lang w:val="ro-RO"/>
              </w:rPr>
              <w:t>conducătorul proiectului</w:t>
            </w:r>
          </w:p>
        </w:tc>
        <w:tc>
          <w:tcPr>
            <w:tcW w:w="24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bCs/>
                <w:i/>
                <w:sz w:val="22"/>
                <w:szCs w:val="22"/>
                <w:lang w:val="ro-MD"/>
              </w:rPr>
              <w:t>doctor</w:t>
            </w:r>
          </w:p>
        </w:tc>
      </w:tr>
      <w:tr>
        <w:trPr/>
        <w:tc>
          <w:tcPr>
            <w:tcW w:w="13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2.</w:t>
            </w:r>
          </w:p>
        </w:tc>
        <w:tc>
          <w:tcPr>
            <w:tcW w:w="20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
                <w:sz w:val="22"/>
                <w:szCs w:val="22"/>
                <w:lang w:val="ro-RO"/>
              </w:rPr>
              <w:t>Cojocaru Svetlana</w:t>
            </w:r>
          </w:p>
        </w:tc>
        <w:tc>
          <w:tcPr>
            <w:tcW w:w="30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bCs/>
                <w:i/>
                <w:iCs/>
                <w:sz w:val="22"/>
                <w:szCs w:val="22"/>
                <w:lang w:val="ro-MD"/>
              </w:rPr>
              <w:t>cercetător ştiinţific  principal</w:t>
            </w:r>
          </w:p>
        </w:tc>
        <w:tc>
          <w:tcPr>
            <w:tcW w:w="24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iCs/>
                <w:sz w:val="22"/>
                <w:szCs w:val="22"/>
                <w:lang w:val="ro-MD"/>
              </w:rPr>
              <w:t>doctor habilitat</w:t>
            </w:r>
          </w:p>
        </w:tc>
      </w:tr>
      <w:tr>
        <w:trPr/>
        <w:tc>
          <w:tcPr>
            <w:tcW w:w="13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2.</w:t>
            </w:r>
          </w:p>
        </w:tc>
        <w:tc>
          <w:tcPr>
            <w:tcW w:w="20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317" w:leader="none"/>
                <w:tab w:val="left" w:pos="3222" w:leader="none"/>
                <w:tab w:val="left" w:pos="3768" w:leader="none"/>
              </w:tabs>
              <w:bidi w:val="0"/>
              <w:ind w:left="0" w:right="0" w:hanging="0"/>
              <w:jc w:val="left"/>
              <w:textAlignment w:val="auto"/>
              <w:rPr>
                <w:lang w:val="ro-RO"/>
              </w:rPr>
            </w:pPr>
            <w:r>
              <w:rPr>
                <w:i/>
                <w:sz w:val="22"/>
                <w:szCs w:val="22"/>
                <w:lang w:val="ro-RO"/>
              </w:rPr>
              <w:t>Colesnicov Alexandru</w:t>
            </w:r>
          </w:p>
        </w:tc>
        <w:tc>
          <w:tcPr>
            <w:tcW w:w="30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bCs/>
                <w:i/>
                <w:iCs/>
                <w:sz w:val="22"/>
                <w:szCs w:val="22"/>
                <w:lang w:val="ro-MD"/>
              </w:rPr>
              <w:t>cercetător ştiinţific  principal</w:t>
            </w:r>
          </w:p>
        </w:tc>
        <w:tc>
          <w:tcPr>
            <w:tcW w:w="24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iCs/>
                <w:sz w:val="22"/>
                <w:szCs w:val="22"/>
                <w:lang w:val="ro-MD"/>
              </w:rPr>
              <w:t xml:space="preserve">doctor </w:t>
            </w:r>
          </w:p>
        </w:tc>
      </w:tr>
      <w:tr>
        <w:trPr/>
        <w:tc>
          <w:tcPr>
            <w:tcW w:w="13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4.</w:t>
            </w:r>
          </w:p>
        </w:tc>
        <w:tc>
          <w:tcPr>
            <w:tcW w:w="20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317" w:leader="none"/>
                <w:tab w:val="left" w:pos="3222" w:leader="none"/>
                <w:tab w:val="left" w:pos="3768" w:leader="none"/>
              </w:tabs>
              <w:bidi w:val="0"/>
              <w:ind w:left="0" w:right="0" w:hanging="0"/>
              <w:jc w:val="left"/>
              <w:textAlignment w:val="auto"/>
              <w:rPr>
                <w:lang w:val="ro-RO"/>
              </w:rPr>
            </w:pPr>
            <w:r>
              <w:rPr>
                <w:i/>
                <w:sz w:val="22"/>
                <w:szCs w:val="22"/>
                <w:lang w:val="ro-RO"/>
              </w:rPr>
              <w:t>Alhazov Artiom</w:t>
            </w:r>
          </w:p>
        </w:tc>
        <w:tc>
          <w:tcPr>
            <w:tcW w:w="30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
                <w:sz w:val="22"/>
                <w:szCs w:val="22"/>
                <w:lang w:val="ro-RO"/>
              </w:rPr>
              <w:t>cercetător ştiinţific coordonator</w:t>
            </w:r>
          </w:p>
        </w:tc>
        <w:tc>
          <w:tcPr>
            <w:tcW w:w="24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iCs/>
                <w:sz w:val="22"/>
                <w:szCs w:val="22"/>
                <w:lang w:val="ro-MD"/>
              </w:rPr>
              <w:t>doctor habilitat</w:t>
            </w:r>
          </w:p>
        </w:tc>
      </w:tr>
      <w:tr>
        <w:trPr/>
        <w:tc>
          <w:tcPr>
            <w:tcW w:w="13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5.</w:t>
            </w:r>
          </w:p>
        </w:tc>
        <w:tc>
          <w:tcPr>
            <w:tcW w:w="20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317" w:leader="none"/>
                <w:tab w:val="left" w:pos="3222" w:leader="none"/>
                <w:tab w:val="left" w:pos="3768" w:leader="none"/>
              </w:tabs>
              <w:bidi w:val="0"/>
              <w:ind w:left="0" w:right="0" w:hanging="0"/>
              <w:jc w:val="left"/>
              <w:textAlignment w:val="auto"/>
              <w:rPr>
                <w:lang w:val="ro-RO"/>
              </w:rPr>
            </w:pPr>
            <w:r>
              <w:rPr>
                <w:i/>
                <w:sz w:val="22"/>
                <w:szCs w:val="22"/>
                <w:lang w:val="ro-RO"/>
              </w:rPr>
              <w:t>Malahov Ludmila</w:t>
            </w:r>
          </w:p>
        </w:tc>
        <w:tc>
          <w:tcPr>
            <w:tcW w:w="30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
                <w:sz w:val="22"/>
                <w:szCs w:val="22"/>
                <w:lang w:val="ro-RO"/>
              </w:rPr>
              <w:t xml:space="preserve">cercetător ştiinţific </w:t>
            </w:r>
          </w:p>
        </w:tc>
        <w:tc>
          <w:tcPr>
            <w:tcW w:w="24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rFonts w:ascii="Times New Roman" w:hAnsi="Times New Roman"/>
                <w:i/>
                <w:i/>
                <w:sz w:val="22"/>
                <w:szCs w:val="22"/>
                <w:lang w:val="ro-RO"/>
              </w:rPr>
            </w:pPr>
            <w:r>
              <w:rPr>
                <w:i/>
                <w:sz w:val="22"/>
                <w:szCs w:val="22"/>
                <w:lang w:val="ro-RO"/>
              </w:rPr>
            </w:r>
          </w:p>
        </w:tc>
      </w:tr>
      <w:tr>
        <w:trPr/>
        <w:tc>
          <w:tcPr>
            <w:tcW w:w="13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6.</w:t>
            </w:r>
          </w:p>
        </w:tc>
        <w:tc>
          <w:tcPr>
            <w:tcW w:w="20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317" w:leader="none"/>
                <w:tab w:val="left" w:pos="3222" w:leader="none"/>
                <w:tab w:val="left" w:pos="3768" w:leader="none"/>
              </w:tabs>
              <w:bidi w:val="0"/>
              <w:ind w:left="0" w:right="0" w:hanging="0"/>
              <w:jc w:val="left"/>
              <w:textAlignment w:val="auto"/>
              <w:rPr>
                <w:lang w:val="ro-RO"/>
              </w:rPr>
            </w:pPr>
            <w:r>
              <w:rPr>
                <w:i/>
                <w:sz w:val="22"/>
                <w:szCs w:val="22"/>
                <w:lang w:val="ro-RO"/>
              </w:rPr>
              <w:t>Degtiariov Nichita</w:t>
            </w:r>
          </w:p>
        </w:tc>
        <w:tc>
          <w:tcPr>
            <w:tcW w:w="30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i/>
                <w:sz w:val="22"/>
                <w:szCs w:val="22"/>
                <w:lang w:val="ro-MD"/>
              </w:rPr>
              <w:t>cercetător ştiinţific</w:t>
            </w:r>
            <w:r>
              <w:rPr>
                <w:i/>
                <w:sz w:val="22"/>
                <w:szCs w:val="22"/>
                <w:lang w:val="ro-RO"/>
              </w:rPr>
              <w:t xml:space="preserve"> stagiar</w:t>
            </w:r>
          </w:p>
        </w:tc>
        <w:tc>
          <w:tcPr>
            <w:tcW w:w="24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rFonts w:ascii="Times New Roman" w:hAnsi="Times New Roman"/>
                <w:i/>
                <w:i/>
                <w:sz w:val="22"/>
                <w:szCs w:val="22"/>
                <w:lang w:val="ro-RO"/>
              </w:rPr>
            </w:pPr>
            <w:r>
              <w:rPr>
                <w:i/>
                <w:sz w:val="22"/>
                <w:szCs w:val="22"/>
                <w:lang w:val="ro-RO"/>
              </w:rPr>
            </w:r>
          </w:p>
        </w:tc>
      </w:tr>
      <w:tr>
        <w:trPr/>
        <w:tc>
          <w:tcPr>
            <w:tcW w:w="13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 xml:space="preserve">7. </w:t>
            </w:r>
          </w:p>
        </w:tc>
        <w:tc>
          <w:tcPr>
            <w:tcW w:w="20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
                <w:sz w:val="22"/>
                <w:szCs w:val="22"/>
                <w:lang w:val="ro-RO"/>
              </w:rPr>
              <w:t>Horo</w:t>
            </w:r>
            <w:r>
              <w:rPr>
                <w:rFonts w:cs="Times New Roman CE" w:ascii="Times New Roman CE" w:hAnsi="Times New Roman CE"/>
                <w:i/>
                <w:sz w:val="22"/>
                <w:szCs w:val="22"/>
                <w:lang w:val="ro-RO"/>
              </w:rPr>
              <w:t>ş</w:t>
            </w:r>
            <w:r>
              <w:rPr>
                <w:i/>
                <w:sz w:val="22"/>
                <w:szCs w:val="22"/>
                <w:lang w:val="ro-RO"/>
              </w:rPr>
              <w:t xml:space="preserve"> Grigore</w:t>
            </w:r>
          </w:p>
        </w:tc>
        <w:tc>
          <w:tcPr>
            <w:tcW w:w="30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
                <w:sz w:val="22"/>
                <w:szCs w:val="22"/>
                <w:lang w:val="ro-RO"/>
              </w:rPr>
              <w:t>cercetător ştiinţif</w:t>
            </w:r>
            <w:r>
              <w:rPr>
                <w:i/>
                <w:sz w:val="22"/>
                <w:szCs w:val="22"/>
                <w:lang w:val="ro-RO"/>
              </w:rPr>
              <w:t>ic stagiar</w:t>
            </w:r>
          </w:p>
        </w:tc>
        <w:tc>
          <w:tcPr>
            <w:tcW w:w="243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rFonts w:ascii="Times New Roman" w:hAnsi="Times New Roman"/>
                <w:bCs/>
                <w:i/>
                <w:i/>
                <w:iCs/>
                <w:sz w:val="22"/>
                <w:szCs w:val="22"/>
                <w:lang w:val="ro-MD"/>
              </w:rPr>
            </w:pPr>
            <w:r>
              <w:rPr>
                <w:bCs/>
                <w:i/>
                <w:iCs/>
                <w:sz w:val="22"/>
                <w:szCs w:val="22"/>
                <w:lang w:val="ro-MD"/>
              </w:rPr>
            </w:r>
          </w:p>
        </w:tc>
      </w:tr>
    </w:tbl>
    <w:p>
      <w:pPr>
        <w:pStyle w:val="Normal"/>
        <w:widowControl/>
        <w:numPr>
          <w:ilvl w:val="0"/>
          <w:numId w:val="90"/>
        </w:numPr>
        <w:tabs>
          <w:tab w:val="left" w:pos="180" w:leader="none"/>
        </w:tabs>
        <w:bidi w:val="0"/>
        <w:spacing w:lineRule="exact" w:line="360"/>
        <w:ind w:left="180" w:right="0" w:hanging="0"/>
        <w:jc w:val="left"/>
        <w:textAlignment w:val="auto"/>
        <w:rPr>
          <w:lang w:val="en-US"/>
        </w:rPr>
      </w:pPr>
      <w:r>
        <w:rPr>
          <w:rFonts w:cs="Times New Roman CE" w:ascii="Times New Roman CE" w:hAnsi="Times New Roman CE"/>
          <w:color w:val="000000"/>
          <w:lang w:val="en-US"/>
        </w:rPr>
        <w:t xml:space="preserve">Sumarul activităţilor proiectului realizate în perioada evaluată </w:t>
      </w:r>
    </w:p>
    <w:p>
      <w:pPr>
        <w:pStyle w:val="Normal"/>
        <w:widowControl/>
        <w:bidi w:val="0"/>
        <w:ind w:left="180" w:right="0" w:hanging="0"/>
        <w:jc w:val="left"/>
        <w:textAlignment w:val="auto"/>
        <w:rPr>
          <w:rFonts w:ascii="Times New Roman" w:hAnsi="Times New Roman"/>
          <w:bCs/>
          <w:color w:val="000000"/>
          <w:sz w:val="22"/>
          <w:szCs w:val="22"/>
          <w:lang w:val="ro-RO"/>
        </w:rPr>
      </w:pPr>
      <w:r>
        <w:rPr>
          <w:bCs/>
          <w:color w:val="000000"/>
          <w:sz w:val="22"/>
          <w:szCs w:val="22"/>
          <w:lang w:val="ro-RO"/>
        </w:rPr>
      </w:r>
    </w:p>
    <w:tbl>
      <w:tblPr>
        <w:tblW w:w="9814" w:type="dxa"/>
        <w:jc w:val="left"/>
        <w:tblInd w:w="406" w:type="dxa"/>
        <w:tblBorders>
          <w:top w:val="dotted" w:sz="4" w:space="0" w:color="808080"/>
          <w:left w:val="dotted" w:sz="4" w:space="0" w:color="808080"/>
          <w:bottom w:val="dotted" w:sz="4" w:space="0" w:color="808080"/>
          <w:insideH w:val="dotted" w:sz="4" w:space="0" w:color="808080"/>
        </w:tblBorders>
        <w:tblCellMar>
          <w:top w:w="0" w:type="dxa"/>
          <w:left w:w="103" w:type="dxa"/>
          <w:bottom w:w="0" w:type="dxa"/>
          <w:right w:w="108" w:type="dxa"/>
        </w:tblCellMar>
      </w:tblPr>
      <w:tblGrid>
        <w:gridCol w:w="1017"/>
        <w:gridCol w:w="3319"/>
        <w:gridCol w:w="5478"/>
      </w:tblGrid>
      <w:tr>
        <w:trPr/>
        <w:tc>
          <w:tcPr>
            <w:tcW w:w="1017" w:type="dxa"/>
            <w:tcBorders>
              <w:top w:val="dotted" w:sz="4" w:space="0" w:color="808080"/>
              <w:left w:val="dotted" w:sz="4" w:space="0" w:color="808080"/>
              <w:bottom w:val="dotted" w:sz="4" w:space="0" w:color="808080"/>
              <w:insideH w:val="dotted" w:sz="4" w:space="0" w:color="808080"/>
            </w:tcBorders>
            <w:shd w:fill="auto" w:val="clear"/>
            <w:tcMar>
              <w:left w:w="103" w:type="dxa"/>
            </w:tcMar>
          </w:tcPr>
          <w:p>
            <w:pPr>
              <w:pStyle w:val="Normal"/>
              <w:widowControl/>
              <w:bidi w:val="0"/>
              <w:ind w:left="0" w:right="0" w:hanging="0"/>
              <w:jc w:val="left"/>
              <w:textAlignment w:val="auto"/>
              <w:rPr>
                <w:rFonts w:ascii="Times New Roman" w:hAnsi="Times New Roman"/>
                <w:bCs/>
                <w:color w:val="000000"/>
                <w:sz w:val="22"/>
                <w:szCs w:val="22"/>
                <w:lang w:val="ro-RO"/>
              </w:rPr>
            </w:pPr>
            <w:r>
              <w:rPr>
                <w:bCs/>
                <w:color w:val="000000"/>
                <w:sz w:val="22"/>
                <w:szCs w:val="22"/>
                <w:lang w:val="ro-RO"/>
              </w:rPr>
            </w:r>
          </w:p>
        </w:tc>
        <w:tc>
          <w:tcPr>
            <w:tcW w:w="3319" w:type="dxa"/>
            <w:tcBorders>
              <w:top w:val="dotted" w:sz="4" w:space="0" w:color="808080"/>
              <w:left w:val="dotted" w:sz="4" w:space="0" w:color="808080"/>
              <w:bottom w:val="dotted" w:sz="4" w:space="0" w:color="808080"/>
              <w:insideH w:val="dotted" w:sz="4" w:space="0" w:color="808080"/>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bCs/>
                <w:i/>
                <w:color w:val="000000"/>
                <w:sz w:val="22"/>
                <w:szCs w:val="22"/>
                <w:lang w:val="ro-RO"/>
              </w:rPr>
              <w:t>Activităţi planificate</w:t>
            </w:r>
          </w:p>
        </w:tc>
        <w:tc>
          <w:tcPr>
            <w:tcW w:w="5478"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bCs/>
                <w:i/>
                <w:color w:val="000000"/>
                <w:sz w:val="22"/>
                <w:szCs w:val="22"/>
                <w:lang w:val="ro-RO"/>
              </w:rPr>
              <w:t xml:space="preserve">Activităţi realizate şi rezultate noi obţinute în cadrul proiectului </w:t>
            </w:r>
            <w:r>
              <w:rPr>
                <w:rFonts w:cs="Liberation Serif"/>
                <w:bCs/>
                <w:i/>
                <w:color w:val="000000"/>
                <w:sz w:val="22"/>
                <w:szCs w:val="22"/>
                <w:lang w:val="ro-RO"/>
              </w:rPr>
              <w:t xml:space="preserve"> </w:t>
            </w:r>
          </w:p>
        </w:tc>
      </w:tr>
      <w:tr>
        <w:trPr/>
        <w:tc>
          <w:tcPr>
            <w:tcW w:w="1017" w:type="dxa"/>
            <w:tcBorders>
              <w:top w:val="dotted" w:sz="4" w:space="0" w:color="808080"/>
              <w:left w:val="dotted" w:sz="4" w:space="0" w:color="808080"/>
              <w:bottom w:val="dotted" w:sz="4" w:space="0" w:color="808080"/>
              <w:insideH w:val="dotted" w:sz="4" w:space="0" w:color="808080"/>
            </w:tcBorders>
            <w:shd w:fill="auto" w:val="clear"/>
            <w:tcMar>
              <w:left w:w="103" w:type="dxa"/>
            </w:tcMar>
          </w:tcPr>
          <w:p>
            <w:pPr>
              <w:pStyle w:val="Normal"/>
              <w:widowControl/>
              <w:bidi w:val="0"/>
              <w:ind w:left="0" w:right="0" w:hanging="0"/>
              <w:jc w:val="left"/>
              <w:textAlignment w:val="auto"/>
              <w:rPr>
                <w:lang w:val="ro-MD"/>
              </w:rPr>
            </w:pPr>
            <w:r>
              <w:rPr>
                <w:i/>
                <w:color w:val="000000"/>
                <w:sz w:val="22"/>
                <w:szCs w:val="22"/>
                <w:lang w:val="ro-MD"/>
              </w:rPr>
              <w:t>1.</w:t>
            </w:r>
          </w:p>
        </w:tc>
        <w:tc>
          <w:tcPr>
            <w:tcW w:w="3319" w:type="dxa"/>
            <w:tcBorders>
              <w:top w:val="dotted" w:sz="4" w:space="0" w:color="808080"/>
              <w:left w:val="dotted" w:sz="4" w:space="0" w:color="808080"/>
              <w:bottom w:val="dotted" w:sz="4" w:space="0" w:color="808080"/>
              <w:insideH w:val="dotted" w:sz="4" w:space="0" w:color="808080"/>
            </w:tcBorders>
            <w:shd w:fill="auto" w:val="clear"/>
            <w:tcMar>
              <w:left w:w="103" w:type="dxa"/>
            </w:tcMar>
          </w:tcPr>
          <w:p>
            <w:pPr>
              <w:pStyle w:val="Normal"/>
              <w:widowControl/>
              <w:shd w:fill="FFFFFF"/>
              <w:tabs>
                <w:tab w:val="left" w:pos="720" w:leader="none"/>
              </w:tabs>
              <w:bidi w:val="0"/>
              <w:ind w:left="0" w:right="0" w:hanging="0"/>
              <w:jc w:val="left"/>
              <w:textAlignment w:val="auto"/>
              <w:rPr>
                <w:lang w:val="ro-MD"/>
              </w:rPr>
            </w:pPr>
            <w:r>
              <w:rPr>
                <w:i/>
                <w:sz w:val="22"/>
                <w:szCs w:val="22"/>
                <w:lang w:val="ro-MD"/>
              </w:rPr>
              <w:t>Prezentarea metodei gradientului generalizat pentru depistarea frontierelor obscur</w:t>
            </w:r>
            <w:r>
              <w:rPr>
                <w:rFonts w:cs="Times New Roman CE" w:ascii="Times New Roman CE" w:hAnsi="Times New Roman CE"/>
                <w:i/>
                <w:sz w:val="22"/>
                <w:szCs w:val="22"/>
                <w:lang w:val="ro-MD"/>
              </w:rPr>
              <w:t>e în termenii  paradigmei calculelor biomoleculare (continuare)</w:t>
            </w:r>
          </w:p>
        </w:tc>
        <w:tc>
          <w:tcPr>
            <w:tcW w:w="5478"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Main"/>
              <w:widowControl w:val="false"/>
              <w:tabs>
                <w:tab w:val="left" w:pos="720" w:leader="none"/>
              </w:tabs>
              <w:suppressAutoHyphens w:val="true"/>
              <w:bidi w:val="0"/>
              <w:ind w:left="0" w:right="0" w:hanging="0"/>
              <w:jc w:val="left"/>
              <w:textAlignment w:val="auto"/>
              <w:rPr>
                <w:lang w:val="ro-MD"/>
              </w:rPr>
            </w:pPr>
            <w:r>
              <w:rPr>
                <w:rFonts w:eastAsia="Droid Sans Fallback" w:cs="Times New Roman CE" w:ascii="Times New Roman CE" w:hAnsi="Times New Roman CE"/>
                <w:i/>
                <w:color w:val="000000"/>
                <w:sz w:val="22"/>
                <w:szCs w:val="22"/>
                <w:lang w:val="ro-MD" w:eastAsia="zh-CN" w:bidi="hi-IN"/>
              </w:rPr>
              <w:t xml:space="preserve">În baza cercetării comune cu echipa </w:t>
            </w:r>
            <w:r>
              <w:rPr>
                <w:rFonts w:eastAsia="Droid Sans Fallback" w:ascii="Times New Roman" w:hAnsi="Times New Roman"/>
                <w:i/>
                <w:sz w:val="22"/>
                <w:szCs w:val="22"/>
                <w:lang w:val="ro-MD" w:eastAsia="zh-CN" w:bidi="hi-IN"/>
              </w:rPr>
              <w:t xml:space="preserve">din Belarus a fost </w:t>
            </w:r>
            <w:r>
              <w:rPr>
                <w:rFonts w:eastAsia="Droid Sans Fallback" w:cs="Times New Roman CE" w:ascii="Times New Roman CE" w:hAnsi="Times New Roman CE"/>
                <w:i/>
                <w:sz w:val="22"/>
                <w:szCs w:val="22"/>
                <w:lang w:val="ro-MD" w:eastAsia="zh-CN" w:bidi="hi-IN"/>
              </w:rPr>
              <w:t>obţinută</w:t>
            </w:r>
            <w:r>
              <w:rPr>
                <w:rFonts w:eastAsia="Droid Sans Fallback" w:ascii="Times New Roman" w:hAnsi="Times New Roman"/>
                <w:i/>
                <w:color w:val="000000"/>
                <w:sz w:val="22"/>
                <w:szCs w:val="22"/>
                <w:lang w:val="ro-MD" w:eastAsia="zh-CN" w:bidi="hi-IN"/>
              </w:rPr>
              <w:t xml:space="preserve"> lista problemelor imagisticei medicale</w:t>
            </w:r>
            <w:r>
              <w:rPr>
                <w:rFonts w:eastAsia="Droid Sans Fallback" w:cs="Times New Roman CE" w:ascii="Times New Roman CE" w:hAnsi="Times New Roman CE"/>
                <w:i/>
                <w:color w:val="000000"/>
                <w:sz w:val="22"/>
                <w:szCs w:val="22"/>
                <w:lang w:val="ro-MD" w:eastAsia="zh-CN" w:bidi="hi-IN"/>
              </w:rPr>
              <w:t xml:space="preserve"> moderne pentru rezolvarea câr</w:t>
            </w:r>
            <w:r>
              <w:rPr>
                <w:rFonts w:eastAsia="Droid Sans Fallback" w:ascii="Times New Roman" w:hAnsi="Times New Roman"/>
                <w:i/>
                <w:color w:val="000000"/>
                <w:sz w:val="22"/>
                <w:szCs w:val="22"/>
                <w:lang w:val="ro-MD" w:eastAsia="zh-CN" w:bidi="hi-IN"/>
              </w:rPr>
              <w:t>eia</w:t>
            </w:r>
            <w:r>
              <w:rPr>
                <w:rFonts w:eastAsia="Droid Sans Fallback" w:cs="Times New Roman CE" w:ascii="Times New Roman CE" w:hAnsi="Times New Roman CE"/>
                <w:i/>
                <w:color w:val="000000"/>
                <w:sz w:val="22"/>
                <w:szCs w:val="22"/>
                <w:lang w:val="ro-MD" w:eastAsia="zh-CN" w:bidi="hi-IN"/>
              </w:rPr>
              <w:t xml:space="preserve"> în mod eficient este necesar</w:t>
            </w:r>
            <w:r>
              <w:rPr>
                <w:rFonts w:eastAsia="Droid Sans Fallback" w:ascii="Times New Roman" w:hAnsi="Times New Roman"/>
                <w:i/>
                <w:color w:val="000000"/>
                <w:sz w:val="22"/>
                <w:szCs w:val="22"/>
                <w:lang w:val="ro-MD" w:eastAsia="zh-CN" w:bidi="hi-IN"/>
              </w:rPr>
              <w:t xml:space="preserve"> de aplicat  metode noi. Pro</w:t>
            </w:r>
            <w:r>
              <w:rPr>
                <w:rFonts w:eastAsia="Droid Sans Fallback" w:cs="Times New Roman CE" w:ascii="Times New Roman CE" w:hAnsi="Times New Roman CE"/>
                <w:i/>
                <w:color w:val="000000"/>
                <w:sz w:val="22"/>
                <w:szCs w:val="22"/>
                <w:lang w:val="ro-MD" w:eastAsia="zh-CN" w:bidi="hi-IN"/>
              </w:rPr>
              <w:t xml:space="preserve">blemele selectate din lista obţinută au fost reformulate pentru </w:t>
            </w:r>
            <w:r>
              <w:rPr>
                <w:rFonts w:eastAsia="Droid Sans Fallback" w:ascii="Times New Roman" w:hAnsi="Times New Roman"/>
                <w:i/>
                <w:color w:val="000000"/>
                <w:sz w:val="22"/>
                <w:szCs w:val="22"/>
                <w:lang w:val="ro-MD" w:eastAsia="zh-CN" w:bidi="hi-IN"/>
              </w:rPr>
              <w:t>a fi solu</w:t>
            </w:r>
            <w:r>
              <w:rPr>
                <w:rFonts w:eastAsia="Droid Sans Fallback" w:cs="Cambria Math" w:ascii="Times New Roman" w:hAnsi="Times New Roman"/>
                <w:i/>
                <w:color w:val="000000"/>
                <w:sz w:val="22"/>
                <w:szCs w:val="22"/>
                <w:lang w:val="ro-MD" w:eastAsia="zh-CN" w:bidi="hi-IN"/>
              </w:rPr>
              <w:t>ț</w:t>
            </w:r>
            <w:r>
              <w:rPr>
                <w:rFonts w:eastAsia="Droid Sans Fallback" w:ascii="Times New Roman" w:hAnsi="Times New Roman"/>
                <w:i/>
                <w:color w:val="000000"/>
                <w:sz w:val="22"/>
                <w:szCs w:val="22"/>
                <w:lang w:val="ro-MD" w:eastAsia="zh-CN" w:bidi="hi-IN"/>
              </w:rPr>
              <w:t>ionate prin calcul de P sistem.</w:t>
            </w:r>
          </w:p>
        </w:tc>
      </w:tr>
      <w:tr>
        <w:trPr/>
        <w:tc>
          <w:tcPr>
            <w:tcW w:w="1017" w:type="dxa"/>
            <w:tcBorders>
              <w:top w:val="dotted" w:sz="4" w:space="0" w:color="808080"/>
              <w:left w:val="dotted" w:sz="4" w:space="0" w:color="808080"/>
              <w:bottom w:val="dotted" w:sz="4" w:space="0" w:color="808080"/>
              <w:insideH w:val="dotted" w:sz="4" w:space="0" w:color="808080"/>
            </w:tcBorders>
            <w:shd w:fill="auto" w:val="clear"/>
            <w:tcMar>
              <w:left w:w="103" w:type="dxa"/>
            </w:tcMar>
          </w:tcPr>
          <w:p>
            <w:pPr>
              <w:pStyle w:val="Normal"/>
              <w:widowControl/>
              <w:bidi w:val="0"/>
              <w:ind w:left="0" w:right="0" w:hanging="0"/>
              <w:jc w:val="left"/>
              <w:textAlignment w:val="auto"/>
              <w:rPr>
                <w:lang w:val="ro-MD"/>
              </w:rPr>
            </w:pPr>
            <w:r>
              <w:rPr>
                <w:i/>
                <w:color w:val="000000"/>
                <w:sz w:val="22"/>
                <w:szCs w:val="22"/>
                <w:lang w:val="ro-MD"/>
              </w:rPr>
              <w:t>2.</w:t>
            </w:r>
          </w:p>
        </w:tc>
        <w:tc>
          <w:tcPr>
            <w:tcW w:w="3319" w:type="dxa"/>
            <w:tcBorders>
              <w:top w:val="dotted" w:sz="4" w:space="0" w:color="808080"/>
              <w:left w:val="dotted" w:sz="4" w:space="0" w:color="808080"/>
              <w:bottom w:val="dotted" w:sz="4" w:space="0" w:color="808080"/>
              <w:insideH w:val="dotted" w:sz="4" w:space="0" w:color="808080"/>
            </w:tcBorders>
            <w:shd w:fill="auto" w:val="clear"/>
            <w:tcMar>
              <w:left w:w="103" w:type="dxa"/>
            </w:tcMar>
          </w:tcPr>
          <w:p>
            <w:pPr>
              <w:pStyle w:val="Normal"/>
              <w:widowControl/>
              <w:shd w:fill="FFFFFF"/>
              <w:tabs>
                <w:tab w:val="left" w:pos="720" w:leader="none"/>
              </w:tabs>
              <w:bidi w:val="0"/>
              <w:ind w:left="0" w:right="0" w:hanging="0"/>
              <w:jc w:val="left"/>
              <w:textAlignment w:val="auto"/>
              <w:rPr>
                <w:lang w:val="ro-MD"/>
              </w:rPr>
            </w:pPr>
            <w:r>
              <w:rPr>
                <w:rFonts w:cs="Times New Roman CE" w:ascii="Times New Roman CE" w:hAnsi="Times New Roman CE"/>
                <w:i/>
                <w:sz w:val="22"/>
                <w:szCs w:val="22"/>
                <w:lang w:val="ro-MD"/>
              </w:rPr>
              <w:t xml:space="preserve"> </w:t>
            </w:r>
            <w:r>
              <w:rPr>
                <w:rFonts w:cs="Times New Roman CE" w:ascii="Times New Roman CE" w:hAnsi="Times New Roman CE"/>
                <w:i/>
                <w:sz w:val="22"/>
                <w:szCs w:val="22"/>
                <w:lang w:val="ro-MD"/>
              </w:rPr>
              <w:t>Elaborarea softului pentru implementarea tehnologiei organizării calculelor prin metoda gradientului generalizat  cu utilizarea paradigmei calcul</w:t>
            </w:r>
            <w:r>
              <w:rPr>
                <w:i/>
                <w:sz w:val="22"/>
                <w:szCs w:val="22"/>
                <w:lang w:val="ro-MD"/>
              </w:rPr>
              <w:t xml:space="preserve">elor biomoleculare </w:t>
            </w:r>
          </w:p>
        </w:tc>
        <w:tc>
          <w:tcPr>
            <w:tcW w:w="5478"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Main"/>
              <w:widowControl w:val="false"/>
              <w:tabs>
                <w:tab w:val="left" w:pos="720" w:leader="none"/>
              </w:tabs>
              <w:suppressAutoHyphens w:val="true"/>
              <w:bidi w:val="0"/>
              <w:ind w:left="0" w:right="0" w:hanging="0"/>
              <w:jc w:val="left"/>
              <w:textAlignment w:val="auto"/>
              <w:rPr>
                <w:lang w:val="ro-MD"/>
              </w:rPr>
            </w:pPr>
            <w:r>
              <w:rPr>
                <w:rFonts w:eastAsia="Droid Sans Fallback" w:cs="Times New Roman CE" w:ascii="Times New Roman CE" w:hAnsi="Times New Roman CE"/>
                <w:i/>
                <w:color w:val="000000"/>
                <w:sz w:val="22"/>
                <w:szCs w:val="22"/>
                <w:lang w:val="ro-MD" w:eastAsia="zh-CN" w:bidi="hi-IN"/>
              </w:rPr>
              <w:t>În prima jumătate a anului a fost efectuată</w:t>
            </w:r>
            <w:r>
              <w:rPr>
                <w:rFonts w:eastAsia="Droid Sans Fallback" w:ascii="Times New Roman" w:hAnsi="Times New Roman"/>
                <w:i/>
                <w:color w:val="000000"/>
                <w:sz w:val="22"/>
                <w:szCs w:val="22"/>
                <w:lang w:val="ro-MD" w:eastAsia="zh-CN" w:bidi="hi-IN"/>
              </w:rPr>
              <w:t xml:space="preserve"> testarea softului elaborat anterior pe</w:t>
            </w:r>
            <w:r>
              <w:rPr>
                <w:rFonts w:eastAsia="Droid Sans Fallback" w:cs="Times New Roman CE" w:ascii="Times New Roman CE" w:hAnsi="Times New Roman CE"/>
                <w:i/>
                <w:color w:val="000000"/>
                <w:sz w:val="22"/>
                <w:szCs w:val="22"/>
                <w:lang w:val="ro-MD" w:eastAsia="zh-CN" w:bidi="hi-IN"/>
              </w:rPr>
              <w:t xml:space="preserve"> setul de imagini din baza de date  creată la etapa 2015.</w:t>
            </w:r>
          </w:p>
          <w:p>
            <w:pPr>
              <w:pStyle w:val="Main"/>
              <w:widowControl w:val="false"/>
              <w:tabs>
                <w:tab w:val="left" w:pos="720" w:leader="none"/>
              </w:tabs>
              <w:suppressAutoHyphens w:val="true"/>
              <w:bidi w:val="0"/>
              <w:ind w:left="0" w:right="0" w:hanging="0"/>
              <w:jc w:val="left"/>
              <w:textAlignment w:val="auto"/>
              <w:rPr>
                <w:lang w:val="ro-MD"/>
              </w:rPr>
            </w:pPr>
            <w:r>
              <w:rPr>
                <w:rFonts w:eastAsia="Droid Sans Fallback" w:ascii="Times New Roman" w:hAnsi="Times New Roman"/>
                <w:i/>
                <w:color w:val="000000"/>
                <w:sz w:val="22"/>
                <w:szCs w:val="22"/>
                <w:lang w:val="ro-MD" w:eastAsia="zh-CN" w:bidi="hi-IN"/>
              </w:rPr>
              <w:t xml:space="preserve">Problemele selectate </w:t>
            </w:r>
            <w:r>
              <w:rPr>
                <w:rFonts w:eastAsia="Droid Sans Fallback" w:cs="Times New Roman CE" w:ascii="Times New Roman CE" w:hAnsi="Times New Roman CE"/>
                <w:i/>
                <w:color w:val="000000"/>
                <w:sz w:val="22"/>
                <w:szCs w:val="22"/>
                <w:lang w:val="ro-MD" w:eastAsia="zh-CN" w:bidi="hi-IN"/>
              </w:rPr>
              <w:t>în urma cercetări</w:t>
            </w:r>
            <w:r>
              <w:rPr>
                <w:rFonts w:eastAsia="Droid Sans Fallback" w:ascii="Times New Roman" w:hAnsi="Times New Roman"/>
                <w:i/>
                <w:color w:val="000000"/>
                <w:sz w:val="22"/>
                <w:szCs w:val="22"/>
                <w:lang w:val="ro-MD" w:eastAsia="zh-CN" w:bidi="hi-IN"/>
              </w:rPr>
              <w:t>lor executate la etapa I au fost realizate pe ambele simulatoare:</w:t>
            </w:r>
            <w:r>
              <w:rPr>
                <w:rFonts w:eastAsia="Droid Sans Fallback" w:cs="Times New Roman CE" w:ascii="Times New Roman CE" w:hAnsi="Times New Roman CE"/>
                <w:i/>
                <w:color w:val="000000"/>
                <w:sz w:val="22"/>
                <w:szCs w:val="22"/>
                <w:lang w:val="ro-MD" w:eastAsia="zh-CN" w:bidi="hi-IN"/>
              </w:rPr>
              <w:t xml:space="preserve"> secvenţial şi paralel.</w:t>
            </w:r>
          </w:p>
        </w:tc>
      </w:tr>
    </w:tbl>
    <w:p>
      <w:pPr>
        <w:pStyle w:val="Normal"/>
        <w:widowControl/>
        <w:numPr>
          <w:ilvl w:val="0"/>
          <w:numId w:val="90"/>
        </w:numPr>
        <w:tabs>
          <w:tab w:val="left" w:pos="180" w:leader="none"/>
        </w:tabs>
        <w:bidi w:val="0"/>
        <w:spacing w:lineRule="exact" w:line="360"/>
        <w:ind w:left="180" w:right="0" w:hanging="0"/>
        <w:jc w:val="left"/>
        <w:textAlignment w:val="auto"/>
        <w:rPr>
          <w:lang w:val="fr-FR"/>
        </w:rPr>
      </w:pPr>
      <w:r>
        <w:rPr>
          <w:rFonts w:cs="Times New Roman CE" w:ascii="Times New Roman CE" w:hAnsi="Times New Roman CE"/>
          <w:color w:val="000000"/>
          <w:lang w:val="fr-FR"/>
        </w:rPr>
        <w:t xml:space="preserve">Lista lucrărilor ştiinţifice (monografii, articole) cu referinţă la proiectul dat  </w:t>
      </w:r>
      <w:r>
        <w:rPr>
          <w:color w:val="000000"/>
          <w:lang w:val="fr-FR"/>
        </w:rPr>
        <w:t>2016</w:t>
      </w:r>
    </w:p>
    <w:tbl>
      <w:tblPr>
        <w:tblW w:w="10226" w:type="dxa"/>
        <w:jc w:val="left"/>
        <w:tblInd w:w="406" w:type="dxa"/>
        <w:tblBorders>
          <w:top w:val="dotted" w:sz="4" w:space="0" w:color="000001"/>
          <w:left w:val="dotted" w:sz="4" w:space="0" w:color="000001"/>
          <w:bottom w:val="dotted" w:sz="4" w:space="0" w:color="000001"/>
          <w:right w:val="dotted" w:sz="4" w:space="0" w:color="000001"/>
          <w:insideH w:val="dotted" w:sz="4" w:space="0" w:color="000001"/>
          <w:insideV w:val="dotted" w:sz="4" w:space="0" w:color="000001"/>
        </w:tblBorders>
        <w:tblCellMar>
          <w:top w:w="0" w:type="dxa"/>
          <w:left w:w="103" w:type="dxa"/>
          <w:bottom w:w="0" w:type="dxa"/>
          <w:right w:w="108" w:type="dxa"/>
        </w:tblCellMar>
      </w:tblPr>
      <w:tblGrid>
        <w:gridCol w:w="10226"/>
      </w:tblGrid>
      <w:tr>
        <w:trPr/>
        <w:tc>
          <w:tcPr>
            <w:tcW w:w="10226" w:type="dxa"/>
            <w:tcBorders>
              <w:top w:val="dotted" w:sz="4" w:space="0" w:color="000001"/>
              <w:left w:val="dotted" w:sz="4" w:space="0" w:color="000001"/>
              <w:bottom w:val="dotted" w:sz="4" w:space="0" w:color="000001"/>
              <w:right w:val="dotted" w:sz="4" w:space="0" w:color="000001"/>
              <w:insideH w:val="dotted" w:sz="4" w:space="0" w:color="000001"/>
              <w:insideV w:val="dotted"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 xml:space="preserve">1. BURTSEVA, L. Advantages of application of unconventional computing to image processing and when these advances come, </w:t>
            </w:r>
            <w:r>
              <w:rPr>
                <w:bCs/>
                <w:i/>
                <w:sz w:val="22"/>
                <w:szCs w:val="22"/>
                <w:lang w:val="ro-MD"/>
              </w:rPr>
              <w:t>Computer Science Journal of Moldova</w:t>
            </w:r>
            <w:r>
              <w:rPr>
                <w:bCs/>
                <w:sz w:val="22"/>
                <w:szCs w:val="22"/>
                <w:lang w:val="ro-MD"/>
              </w:rPr>
              <w:t xml:space="preserve"> </w:t>
            </w:r>
            <w:r>
              <w:rPr>
                <w:bCs/>
                <w:i/>
                <w:sz w:val="22"/>
                <w:szCs w:val="22"/>
                <w:lang w:val="ro-MD"/>
              </w:rPr>
              <w:t>vol.24, no.1(70),</w:t>
            </w:r>
            <w:r>
              <w:rPr>
                <w:bCs/>
                <w:sz w:val="22"/>
                <w:szCs w:val="22"/>
                <w:lang w:val="ro-MD"/>
              </w:rPr>
              <w:t xml:space="preserve"> 2016, 136-144. ISSN 1561-4042</w:t>
            </w:r>
          </w:p>
        </w:tc>
      </w:tr>
    </w:tbl>
    <w:p>
      <w:pPr>
        <w:pStyle w:val="Normal"/>
        <w:widowControl/>
        <w:numPr>
          <w:ilvl w:val="0"/>
          <w:numId w:val="90"/>
        </w:numPr>
        <w:tabs>
          <w:tab w:val="left" w:pos="180" w:leader="none"/>
        </w:tabs>
        <w:bidi w:val="0"/>
        <w:spacing w:lineRule="exact" w:line="360"/>
        <w:ind w:left="180" w:right="0" w:hanging="0"/>
        <w:jc w:val="left"/>
        <w:textAlignment w:val="auto"/>
        <w:rPr/>
      </w:pPr>
      <w:r>
        <w:rPr>
          <w:rFonts w:cs="Times New Roman CE" w:ascii="Times New Roman CE" w:hAnsi="Times New Roman CE"/>
          <w:color w:val="000000"/>
        </w:rPr>
        <w:t>Relevanţa rezultatelor ştiinţifice obţinute 201</w:t>
      </w:r>
      <w:r>
        <w:rPr>
          <w:color w:val="000000"/>
        </w:rPr>
        <w:t xml:space="preserve">6 </w:t>
      </w:r>
    </w:p>
    <w:p>
      <w:pPr>
        <w:pStyle w:val="Normal"/>
        <w:widowControl/>
        <w:bidi w:val="0"/>
        <w:ind w:left="180" w:right="0" w:hanging="0"/>
        <w:jc w:val="left"/>
        <w:textAlignment w:val="auto"/>
        <w:rPr>
          <w:rFonts w:ascii="Times New Roman" w:hAnsi="Times New Roman"/>
          <w:color w:val="FF0000"/>
          <w:sz w:val="22"/>
          <w:szCs w:val="22"/>
          <w:lang w:val="ro-RO"/>
        </w:rPr>
      </w:pPr>
      <w:r>
        <w:rPr>
          <w:color w:val="FF0000"/>
          <w:sz w:val="22"/>
          <w:szCs w:val="22"/>
          <w:lang w:val="ro-RO"/>
        </w:rPr>
      </w:r>
    </w:p>
    <w:tbl>
      <w:tblPr>
        <w:tblW w:w="10226" w:type="dxa"/>
        <w:jc w:val="left"/>
        <w:tblInd w:w="406"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10226"/>
      </w:tblGrid>
      <w:tr>
        <w:trPr/>
        <w:tc>
          <w:tcPr>
            <w:tcW w:w="10226"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tabs>
                <w:tab w:val="left" w:pos="0" w:leader="none"/>
              </w:tabs>
              <w:bidi w:val="0"/>
              <w:ind w:left="0" w:right="0" w:hanging="0"/>
              <w:jc w:val="both"/>
              <w:textAlignment w:val="auto"/>
              <w:rPr>
                <w:lang w:val="ro-MD"/>
              </w:rPr>
            </w:pPr>
            <w:bookmarkStart w:id="62" w:name="result_box"/>
            <w:bookmarkEnd w:id="62"/>
            <w:r>
              <w:rPr>
                <w:rFonts w:cs="Times New Roman CE" w:ascii="Times New Roman CE" w:hAnsi="Times New Roman CE"/>
                <w:bCs/>
                <w:sz w:val="22"/>
                <w:szCs w:val="22"/>
                <w:lang w:val="ro-MD"/>
              </w:rPr>
              <w:t>Prelucrarea imaginilor a devenit una dintre cele mai importante probleme de Big Data, din cauza multiplicării rapide a surselor de imaginii digitale. Imagistica medicală devine o ramură semnificativă,   care joacă rol important în determinarea bunăstării sociale. Proiectul actual ţine de accelerarea prelucrării imaginilor medicale şi are un spectru larg de utilizatori potenţiali. Cercetările în colaborare cu colegii din Belarus au permis să se ob</w:t>
            </w:r>
            <w:r>
              <w:rPr>
                <w:rFonts w:cs="Cambria Math" w:ascii="Cambria Math" w:hAnsi="Cambria Math"/>
                <w:bCs/>
                <w:sz w:val="22"/>
                <w:szCs w:val="22"/>
                <w:lang w:val="ro-MD"/>
              </w:rPr>
              <w:t>ț</w:t>
            </w:r>
            <w:r>
              <w:rPr>
                <w:rFonts w:cs="Times New Roman CE" w:ascii="Times New Roman CE" w:hAnsi="Times New Roman CE"/>
                <w:bCs/>
                <w:sz w:val="22"/>
                <w:szCs w:val="22"/>
                <w:lang w:val="ro-MD"/>
              </w:rPr>
              <w:t xml:space="preserve">ină un set de imagini medicale important </w:t>
            </w:r>
            <w:r>
              <w:rPr>
                <w:rFonts w:cs="Cambria Math" w:ascii="Cambria Math" w:hAnsi="Cambria Math"/>
                <w:bCs/>
                <w:sz w:val="22"/>
                <w:szCs w:val="22"/>
                <w:lang w:val="ro-MD"/>
              </w:rPr>
              <w:t>ș</w:t>
            </w:r>
            <w:r>
              <w:rPr>
                <w:bCs/>
                <w:sz w:val="22"/>
                <w:szCs w:val="22"/>
                <w:lang w:val="ro-MD"/>
              </w:rPr>
              <w:t>i actual. Metodele noi propuse, fiind testate pe atare set de date, au demonstrat eficien</w:t>
            </w:r>
            <w:r>
              <w:rPr>
                <w:rFonts w:cs="Cambria Math" w:ascii="Cambria Math" w:hAnsi="Cambria Math"/>
                <w:bCs/>
                <w:sz w:val="22"/>
                <w:szCs w:val="22"/>
                <w:lang w:val="ro-MD"/>
              </w:rPr>
              <w:t>ț</w:t>
            </w:r>
            <w:r>
              <w:rPr>
                <w:bCs/>
                <w:sz w:val="22"/>
                <w:szCs w:val="22"/>
                <w:lang w:val="ro-MD"/>
              </w:rPr>
              <w:t xml:space="preserve">a </w:t>
            </w:r>
            <w:r>
              <w:rPr>
                <w:rFonts w:cs="Cambria Math" w:ascii="Cambria Math" w:hAnsi="Cambria Math"/>
                <w:bCs/>
                <w:sz w:val="22"/>
                <w:szCs w:val="22"/>
                <w:lang w:val="ro-MD"/>
              </w:rPr>
              <w:t>ș</w:t>
            </w:r>
            <w:r>
              <w:rPr>
                <w:bCs/>
                <w:sz w:val="22"/>
                <w:szCs w:val="22"/>
                <w:lang w:val="ro-MD"/>
              </w:rPr>
              <w:t>i relevan</w:t>
            </w:r>
            <w:r>
              <w:rPr>
                <w:rFonts w:cs="Cambria Math" w:ascii="Cambria Math" w:hAnsi="Cambria Math"/>
                <w:bCs/>
                <w:sz w:val="22"/>
                <w:szCs w:val="22"/>
                <w:lang w:val="ro-MD"/>
              </w:rPr>
              <w:t>ț</w:t>
            </w:r>
            <w:r>
              <w:rPr>
                <w:bCs/>
                <w:sz w:val="22"/>
                <w:szCs w:val="22"/>
                <w:lang w:val="ro-MD"/>
              </w:rPr>
              <w:t xml:space="preserve">a lor </w:t>
            </w:r>
            <w:r>
              <w:rPr>
                <w:rFonts w:cs="Times New Roman CE" w:ascii="Times New Roman CE" w:hAnsi="Times New Roman CE"/>
                <w:bCs/>
                <w:sz w:val="22"/>
                <w:szCs w:val="22"/>
                <w:lang w:val="ro-MD"/>
              </w:rPr>
              <w:t xml:space="preserve">în raport cu cele mai mari provocări </w:t>
            </w:r>
            <w:r>
              <w:rPr>
                <w:bCs/>
                <w:sz w:val="22"/>
                <w:szCs w:val="22"/>
                <w:lang w:val="ro-MD"/>
              </w:rPr>
              <w:t>din domen</w:t>
            </w:r>
            <w:r>
              <w:rPr>
                <w:rFonts w:cs="Times New Roman CE" w:ascii="Times New Roman CE" w:hAnsi="Times New Roman CE"/>
                <w:bCs/>
                <w:sz w:val="22"/>
                <w:szCs w:val="22"/>
                <w:lang w:val="ro-MD"/>
              </w:rPr>
              <w:t>iului imagisticii medicale. Rezultatele ştiinţifice deja obţinute au fost prezentate cu succes la conferin</w:t>
            </w:r>
            <w:r>
              <w:rPr>
                <w:rFonts w:cs="Cambria Math" w:ascii="Cambria Math" w:hAnsi="Cambria Math"/>
                <w:bCs/>
                <w:sz w:val="22"/>
                <w:szCs w:val="22"/>
                <w:lang w:val="ro-MD"/>
              </w:rPr>
              <w:t>ț</w:t>
            </w:r>
            <w:r>
              <w:rPr>
                <w:bCs/>
                <w:sz w:val="22"/>
                <w:szCs w:val="22"/>
                <w:lang w:val="ro-MD"/>
              </w:rPr>
              <w:t xml:space="preserve">e </w:t>
            </w:r>
            <w:r>
              <w:rPr>
                <w:rFonts w:cs="Cambria Math" w:ascii="Cambria Math" w:hAnsi="Cambria Math"/>
                <w:bCs/>
                <w:sz w:val="22"/>
                <w:szCs w:val="22"/>
                <w:lang w:val="ro-MD"/>
              </w:rPr>
              <w:t>ș</w:t>
            </w:r>
            <w:r>
              <w:rPr>
                <w:bCs/>
                <w:sz w:val="22"/>
                <w:szCs w:val="22"/>
                <w:lang w:val="ro-MD"/>
              </w:rPr>
              <w:t>tiin</w:t>
            </w:r>
            <w:r>
              <w:rPr>
                <w:rFonts w:cs="Cambria Math" w:ascii="Cambria Math" w:hAnsi="Cambria Math"/>
                <w:bCs/>
                <w:sz w:val="22"/>
                <w:szCs w:val="22"/>
                <w:lang w:val="ro-MD"/>
              </w:rPr>
              <w:t>ț</w:t>
            </w:r>
            <w:r>
              <w:rPr>
                <w:bCs/>
                <w:sz w:val="22"/>
                <w:szCs w:val="22"/>
                <w:lang w:val="ro-MD"/>
              </w:rPr>
              <w:t>ifice interna</w:t>
            </w:r>
            <w:r>
              <w:rPr>
                <w:rFonts w:cs="Cambria Math" w:ascii="Cambria Math" w:hAnsi="Cambria Math"/>
                <w:bCs/>
                <w:sz w:val="22"/>
                <w:szCs w:val="22"/>
                <w:lang w:val="ro-MD"/>
              </w:rPr>
              <w:t>ț</w:t>
            </w:r>
            <w:r>
              <w:rPr>
                <w:bCs/>
                <w:sz w:val="22"/>
                <w:szCs w:val="22"/>
                <w:lang w:val="ro-MD"/>
              </w:rPr>
              <w:t xml:space="preserve">ionale </w:t>
            </w:r>
            <w:r>
              <w:rPr>
                <w:rFonts w:cs="Cambria Math" w:ascii="Cambria Math" w:hAnsi="Cambria Math"/>
                <w:bCs/>
                <w:sz w:val="22"/>
                <w:szCs w:val="22"/>
                <w:lang w:val="ro-MD"/>
              </w:rPr>
              <w:t>ș</w:t>
            </w:r>
            <w:r>
              <w:rPr>
                <w:rFonts w:cs="Times New Roman CE" w:ascii="Times New Roman CE" w:hAnsi="Times New Roman CE"/>
                <w:bCs/>
                <w:sz w:val="22"/>
                <w:szCs w:val="22"/>
                <w:lang w:val="ro-MD"/>
              </w:rPr>
              <w:t>i publicate în edi</w:t>
            </w:r>
            <w:r>
              <w:rPr>
                <w:rFonts w:cs="Cambria Math" w:ascii="Cambria Math" w:hAnsi="Cambria Math"/>
                <w:bCs/>
                <w:sz w:val="22"/>
                <w:szCs w:val="22"/>
                <w:lang w:val="ro-MD"/>
              </w:rPr>
              <w:t>ț</w:t>
            </w:r>
            <w:r>
              <w:rPr>
                <w:bCs/>
                <w:sz w:val="22"/>
                <w:szCs w:val="22"/>
                <w:lang w:val="ro-MD"/>
              </w:rPr>
              <w:t>ii de profil.</w:t>
            </w:r>
          </w:p>
        </w:tc>
      </w:tr>
    </w:tbl>
    <w:p>
      <w:pPr>
        <w:pStyle w:val="5"/>
        <w:keepNext/>
        <w:widowControl w:val="false"/>
        <w:numPr>
          <w:ilvl w:val="0"/>
          <w:numId w:val="0"/>
        </w:numPr>
        <w:tabs>
          <w:tab w:val="left" w:pos="0" w:leader="none"/>
        </w:tabs>
        <w:suppressAutoHyphens w:val="true"/>
        <w:bidi w:val="0"/>
        <w:ind w:left="1008" w:right="0" w:hanging="1008"/>
        <w:jc w:val="right"/>
        <w:textAlignment w:val="auto"/>
        <w:outlineLvl w:val="4"/>
        <w:rPr>
          <w:rFonts w:ascii="Times New Roman" w:hAnsi="Times New Roman"/>
          <w:b w:val="false"/>
          <w:b w:val="false"/>
        </w:rPr>
      </w:pPr>
      <w:r>
        <w:rPr>
          <w:b w:val="false"/>
        </w:rPr>
      </w:r>
    </w:p>
    <w:p>
      <w:pPr>
        <w:pStyle w:val="Normal"/>
        <w:widowControl/>
        <w:bidi w:val="0"/>
        <w:ind w:left="0" w:right="0" w:hanging="0"/>
        <w:jc w:val="left"/>
        <w:textAlignment w:val="auto"/>
        <w:rPr>
          <w:rFonts w:ascii="Times New Roman" w:hAnsi="Times New Roman"/>
          <w:lang w:val="ro-MD"/>
        </w:rPr>
      </w:pPr>
      <w:r>
        <w:rPr>
          <w:lang w:val="ro-MD"/>
        </w:rPr>
      </w:r>
    </w:p>
    <w:p>
      <w:pPr>
        <w:pStyle w:val="5"/>
        <w:keepNext/>
        <w:widowControl/>
        <w:numPr>
          <w:ilvl w:val="0"/>
          <w:numId w:val="0"/>
        </w:numPr>
        <w:bidi w:val="0"/>
        <w:ind w:left="0" w:right="0" w:hanging="0"/>
        <w:jc w:val="left"/>
        <w:textAlignment w:val="auto"/>
        <w:outlineLvl w:val="4"/>
        <w:rPr>
          <w:b w:val="false"/>
          <w:b w:val="false"/>
        </w:rPr>
      </w:pPr>
      <w:r>
        <w:rPr>
          <w:bCs w:val="false"/>
          <w:i/>
          <w:iCs/>
          <w:vertAlign w:val="superscript"/>
        </w:rPr>
        <w:t xml:space="preserve">           </w:t>
      </w:r>
      <w:r>
        <w:rPr>
          <w:rStyle w:val="Style6"/>
          <w:rFonts w:cs="Times New Roman CE" w:ascii="Times New Roman CE" w:hAnsi="Times New Roman CE"/>
          <w:b w:val="false"/>
          <w:color w:val="000000"/>
          <w:spacing w:val="2"/>
          <w:sz w:val="24"/>
          <w:szCs w:val="24"/>
          <w:lang w:val="ro-RO" w:eastAsia="ar-SA" w:bidi="ar-SA"/>
        </w:rPr>
        <w:t>Conducătorul proiectului</w:t>
      </w:r>
      <w:r>
        <w:rPr>
          <w:rStyle w:val="Style6"/>
          <w:b w:val="false"/>
          <w:color w:val="000000"/>
          <w:spacing w:val="2"/>
          <w:sz w:val="20"/>
          <w:lang w:val="ro-RO" w:eastAsia="ar-SA" w:bidi="ar-SA"/>
        </w:rPr>
        <w:t xml:space="preserve"> </w:t>
      </w:r>
      <w:r>
        <w:rPr>
          <w:b w:val="false"/>
          <w:bCs w:val="false"/>
          <w:i/>
          <w:iCs/>
          <w:spacing w:val="0"/>
          <w:sz w:val="24"/>
          <w:szCs w:val="24"/>
          <w:lang w:val="ro-RO"/>
        </w:rPr>
        <w:t xml:space="preserve">____________________________________  </w:t>
      </w:r>
      <w:r>
        <w:rPr>
          <w:rStyle w:val="Style6"/>
          <w:b w:val="false"/>
          <w:color w:val="000000"/>
          <w:spacing w:val="2"/>
          <w:sz w:val="20"/>
          <w:lang w:val="ro-RO" w:eastAsia="ar-SA" w:bidi="ar-SA"/>
        </w:rPr>
        <w:t xml:space="preserve"> </w:t>
      </w:r>
      <w:r>
        <w:rPr>
          <w:rStyle w:val="Style6"/>
          <w:b w:val="false"/>
          <w:color w:val="000000"/>
          <w:spacing w:val="2"/>
          <w:sz w:val="24"/>
          <w:szCs w:val="24"/>
          <w:lang w:val="ro-RO" w:eastAsia="ar-SA" w:bidi="ar-SA"/>
        </w:rPr>
        <w:t>dr.</w:t>
      </w:r>
      <w:r>
        <w:rPr>
          <w:rStyle w:val="Style6"/>
          <w:b w:val="false"/>
          <w:color w:val="000000"/>
          <w:spacing w:val="2"/>
          <w:sz w:val="20"/>
          <w:lang w:val="ro-RO" w:eastAsia="ar-SA" w:bidi="ar-SA"/>
        </w:rPr>
        <w:t xml:space="preserve"> </w:t>
      </w:r>
      <w:r>
        <w:rPr>
          <w:rStyle w:val="Style6"/>
          <w:rFonts w:cs="Times New Roman CE" w:ascii="Times New Roman CE" w:hAnsi="Times New Roman CE"/>
          <w:b w:val="false"/>
          <w:color w:val="000000"/>
          <w:spacing w:val="2"/>
          <w:sz w:val="24"/>
          <w:szCs w:val="24"/>
          <w:lang w:val="ro-RO" w:eastAsia="ar-SA" w:bidi="ar-SA"/>
        </w:rPr>
        <w:t>BURŢ</w:t>
      </w:r>
      <w:r>
        <w:rPr>
          <w:rStyle w:val="Style6"/>
          <w:b w:val="false"/>
          <w:color w:val="000000"/>
          <w:spacing w:val="2"/>
          <w:sz w:val="24"/>
          <w:szCs w:val="24"/>
          <w:lang w:val="ro-RO" w:eastAsia="ar-SA" w:bidi="ar-SA"/>
        </w:rPr>
        <w:t xml:space="preserve">EVA Ludmila </w:t>
      </w:r>
      <w:r>
        <w:rPr>
          <w:b w:val="false"/>
          <w:bCs w:val="false"/>
          <w:i/>
          <w:iCs/>
          <w:spacing w:val="0"/>
          <w:sz w:val="24"/>
          <w:szCs w:val="24"/>
          <w:lang w:val="ro-RO"/>
        </w:rPr>
        <w:t xml:space="preserve"> </w:t>
      </w:r>
    </w:p>
    <w:p>
      <w:pPr>
        <w:pStyle w:val="2"/>
        <w:keepNext/>
        <w:widowControl/>
        <w:numPr>
          <w:ilvl w:val="0"/>
          <w:numId w:val="0"/>
        </w:numPr>
        <w:bidi w:val="0"/>
        <w:ind w:left="0" w:right="0" w:hanging="0"/>
        <w:jc w:val="left"/>
        <w:textAlignment w:val="auto"/>
        <w:outlineLvl w:val="1"/>
        <w:rPr/>
      </w:pPr>
      <w:bookmarkStart w:id="63" w:name="_Toc375219582"/>
      <w:bookmarkStart w:id="64" w:name="_Toc311820788"/>
      <w:bookmarkStart w:id="65" w:name="_Toc311820787"/>
      <w:bookmarkStart w:id="66" w:name="_Toc311820464"/>
      <w:bookmarkStart w:id="67" w:name="_Toc311820463"/>
      <w:bookmarkStart w:id="68" w:name="_Toc311819985"/>
      <w:bookmarkStart w:id="69" w:name="_Toc311819984"/>
      <w:bookmarkStart w:id="70" w:name="_Toc311819714"/>
      <w:bookmarkStart w:id="71" w:name="_Toc311819713"/>
      <w:bookmarkStart w:id="72" w:name="_Toc311818770"/>
      <w:bookmarkStart w:id="73" w:name="_Toc311818769"/>
      <w:bookmarkStart w:id="74" w:name="_Toc311818438"/>
      <w:bookmarkEnd w:id="63"/>
      <w:bookmarkEnd w:id="64"/>
      <w:bookmarkEnd w:id="65"/>
      <w:bookmarkEnd w:id="66"/>
      <w:bookmarkEnd w:id="67"/>
      <w:bookmarkEnd w:id="68"/>
      <w:bookmarkEnd w:id="69"/>
      <w:bookmarkEnd w:id="70"/>
      <w:bookmarkEnd w:id="71"/>
      <w:bookmarkEnd w:id="72"/>
      <w:bookmarkEnd w:id="73"/>
      <w:bookmarkEnd w:id="74"/>
      <w:r>
        <w:rPr>
          <w:bCs/>
          <w:i/>
          <w:iCs/>
          <w:vertAlign w:val="superscript"/>
        </w:rPr>
        <w:t xml:space="preserve"> </w:t>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lang w:val="ro-RO"/>
        </w:rPr>
      </w:pPr>
      <w:r>
        <w:rPr>
          <w:lang w:val="ro-RO"/>
        </w:rPr>
      </w:r>
      <w:r>
        <w:br w:type="page"/>
      </w:r>
    </w:p>
    <w:p>
      <w:pPr>
        <w:pStyle w:val="Normal"/>
        <w:widowControl/>
        <w:bidi w:val="0"/>
        <w:ind w:left="0" w:right="0" w:hanging="0"/>
        <w:jc w:val="left"/>
        <w:textAlignment w:val="auto"/>
        <w:rPr/>
      </w:pPr>
      <w:bookmarkStart w:id="75" w:name="_Toc311818437"/>
      <w:bookmarkStart w:id="76" w:name="_Toc469651884"/>
      <w:r>
        <w:rPr>
          <w:rFonts w:cs="Times New Roman CE" w:ascii="Times New Roman CE" w:hAnsi="Times New Roman CE"/>
          <w:i/>
          <w:sz w:val="26"/>
          <w:szCs w:val="26"/>
        </w:rPr>
        <w:t xml:space="preserve">Fişa proiectului internaţional </w:t>
      </w:r>
      <w:r>
        <w:rPr>
          <w:i/>
          <w:sz w:val="26"/>
          <w:szCs w:val="26"/>
        </w:rPr>
        <w:t>I</w:t>
      </w:r>
      <w:bookmarkEnd w:id="76"/>
      <w:bookmarkEnd w:id="75"/>
      <w:r>
        <w:rPr>
          <w:i/>
          <w:sz w:val="26"/>
          <w:szCs w:val="26"/>
        </w:rPr>
        <w:t>I</w:t>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numPr>
          <w:ilvl w:val="0"/>
          <w:numId w:val="23"/>
        </w:numPr>
        <w:tabs>
          <w:tab w:val="left" w:pos="180" w:leader="none"/>
        </w:tabs>
        <w:bidi w:val="0"/>
        <w:ind w:left="180" w:right="0" w:hanging="0"/>
        <w:jc w:val="left"/>
        <w:textAlignment w:val="auto"/>
        <w:rPr>
          <w:lang w:val="ro-MD"/>
        </w:rPr>
      </w:pPr>
      <w:r>
        <w:rPr>
          <w:bCs/>
          <w:color w:val="000000"/>
          <w:sz w:val="22"/>
          <w:szCs w:val="22"/>
          <w:lang w:val="ro-MD"/>
        </w:rPr>
        <w:t xml:space="preserve">Denumirea </w:t>
      </w:r>
      <w:r>
        <w:rPr>
          <w:color w:val="000000"/>
          <w:sz w:val="22"/>
          <w:szCs w:val="22"/>
          <w:lang w:val="ro-MD"/>
        </w:rPr>
        <w:t>proiectului</w:t>
      </w:r>
      <w:r>
        <w:rPr>
          <w:bCs/>
          <w:color w:val="000000"/>
          <w:sz w:val="22"/>
          <w:szCs w:val="22"/>
          <w:lang w:val="ro-MD"/>
        </w:rPr>
        <w:t xml:space="preserve"> </w:t>
      </w:r>
    </w:p>
    <w:tbl>
      <w:tblPr>
        <w:tblW w:w="9462"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462"/>
      </w:tblGrid>
      <w:tr>
        <w:trPr/>
        <w:tc>
          <w:tcPr>
            <w:tcW w:w="9462"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MD"/>
              </w:rPr>
            </w:pPr>
            <w:r>
              <w:rPr>
                <w:bCs/>
                <w:i/>
                <w:sz w:val="22"/>
                <w:szCs w:val="22"/>
                <w:lang w:val="ro-MD"/>
              </w:rPr>
              <w:t xml:space="preserve"> </w:t>
            </w:r>
            <w:r>
              <w:rPr>
                <w:bCs/>
                <w:sz w:val="22"/>
                <w:szCs w:val="22"/>
                <w:lang w:val="ro-MD"/>
              </w:rPr>
              <w:t xml:space="preserve">15.820.18.03.06.10 STCU/5988  </w:t>
            </w:r>
            <w:r>
              <w:rPr>
                <w:bCs/>
                <w:i/>
                <w:sz w:val="22"/>
                <w:szCs w:val="22"/>
                <w:lang w:val="ro-MD"/>
              </w:rPr>
              <w:t xml:space="preserve">Modelarea  sistemelor dinamice stochastice </w:t>
            </w:r>
            <w:r>
              <w:rPr>
                <w:rFonts w:cs="Cambria Math" w:ascii="Cambria Math" w:hAnsi="Cambria Math"/>
                <w:bCs/>
                <w:i/>
                <w:sz w:val="22"/>
                <w:szCs w:val="22"/>
                <w:lang w:val="ro-MD"/>
              </w:rPr>
              <w:t>ș</w:t>
            </w:r>
            <w:r>
              <w:rPr>
                <w:bCs/>
                <w:i/>
                <w:sz w:val="22"/>
                <w:szCs w:val="22"/>
                <w:lang w:val="ro-MD"/>
              </w:rPr>
              <w:t>i solu</w:t>
            </w:r>
            <w:r>
              <w:rPr>
                <w:rFonts w:cs="Cambria Math" w:ascii="Cambria Math" w:hAnsi="Cambria Math"/>
                <w:bCs/>
                <w:i/>
                <w:sz w:val="22"/>
                <w:szCs w:val="22"/>
                <w:lang w:val="ro-MD"/>
              </w:rPr>
              <w:t>ț</w:t>
            </w:r>
            <w:r>
              <w:rPr>
                <w:bCs/>
                <w:i/>
                <w:sz w:val="22"/>
                <w:szCs w:val="22"/>
                <w:lang w:val="ro-MD"/>
              </w:rPr>
              <w:t>ionarea problemelor decizionale Markov</w:t>
            </w:r>
          </w:p>
        </w:tc>
      </w:tr>
    </w:tbl>
    <w:p>
      <w:pPr>
        <w:pStyle w:val="Normal"/>
        <w:widowControl/>
        <w:numPr>
          <w:ilvl w:val="0"/>
          <w:numId w:val="23"/>
        </w:numPr>
        <w:tabs>
          <w:tab w:val="left" w:pos="180" w:leader="none"/>
        </w:tabs>
        <w:bidi w:val="0"/>
        <w:ind w:left="180" w:right="0" w:hanging="0"/>
        <w:jc w:val="left"/>
        <w:textAlignment w:val="auto"/>
        <w:rPr>
          <w:lang w:val="ro-MD"/>
        </w:rPr>
      </w:pPr>
      <w:r>
        <w:rPr>
          <w:bCs/>
          <w:sz w:val="22"/>
          <w:szCs w:val="22"/>
          <w:lang w:val="ro-MD"/>
        </w:rPr>
        <w:t>Denumirea programului /organiza</w:t>
      </w:r>
      <w:r>
        <w:rPr>
          <w:rFonts w:cs="Cambria Math" w:ascii="Cambria Math" w:hAnsi="Cambria Math"/>
          <w:bCs/>
          <w:sz w:val="22"/>
          <w:szCs w:val="22"/>
          <w:lang w:val="ro-MD"/>
        </w:rPr>
        <w:t>ț</w:t>
      </w:r>
      <w:r>
        <w:rPr>
          <w:bCs/>
          <w:sz w:val="22"/>
          <w:szCs w:val="22"/>
          <w:lang w:val="ro-MD"/>
        </w:rPr>
        <w:t>iei/ fondului interna</w:t>
      </w:r>
      <w:r>
        <w:rPr>
          <w:rFonts w:cs="Cambria Math" w:ascii="Cambria Math" w:hAnsi="Cambria Math"/>
          <w:bCs/>
          <w:sz w:val="22"/>
          <w:szCs w:val="22"/>
          <w:lang w:val="ro-MD"/>
        </w:rPr>
        <w:t>ț</w:t>
      </w:r>
      <w:r>
        <w:rPr>
          <w:bCs/>
          <w:sz w:val="22"/>
          <w:szCs w:val="22"/>
          <w:lang w:val="ro-MD"/>
        </w:rPr>
        <w:t>ional</w:t>
      </w:r>
    </w:p>
    <w:tbl>
      <w:tblPr>
        <w:tblW w:w="9462"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462"/>
      </w:tblGrid>
      <w:tr>
        <w:trPr/>
        <w:tc>
          <w:tcPr>
            <w:tcW w:w="9462"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en-US"/>
              </w:rPr>
            </w:pPr>
            <w:r>
              <w:rPr>
                <w:bCs/>
                <w:sz w:val="22"/>
                <w:szCs w:val="22"/>
                <w:lang w:val="en-US"/>
              </w:rPr>
              <w:t>The Science &amp; Technology Center in Ukraine (STCU)</w:t>
            </w:r>
          </w:p>
        </w:tc>
      </w:tr>
    </w:tbl>
    <w:p>
      <w:pPr>
        <w:pStyle w:val="Normal"/>
        <w:widowControl/>
        <w:numPr>
          <w:ilvl w:val="0"/>
          <w:numId w:val="23"/>
        </w:numPr>
        <w:tabs>
          <w:tab w:val="left" w:pos="180" w:leader="none"/>
        </w:tabs>
        <w:bidi w:val="0"/>
        <w:ind w:left="180" w:right="0" w:hanging="0"/>
        <w:jc w:val="left"/>
        <w:textAlignment w:val="auto"/>
        <w:rPr>
          <w:lang w:val="ro-MD"/>
        </w:rPr>
      </w:pPr>
      <w:r>
        <w:rPr>
          <w:bCs/>
          <w:sz w:val="22"/>
          <w:szCs w:val="22"/>
          <w:lang w:val="ro-MD"/>
        </w:rPr>
        <w:t xml:space="preserve">Obiectivele proiectului </w:t>
      </w:r>
    </w:p>
    <w:tbl>
      <w:tblPr>
        <w:tblW w:w="9462"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462"/>
      </w:tblGrid>
      <w:tr>
        <w:trPr/>
        <w:tc>
          <w:tcPr>
            <w:tcW w:w="9462"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both"/>
              <w:textAlignment w:val="auto"/>
              <w:rPr>
                <w:lang w:val="ro-MD"/>
              </w:rPr>
            </w:pPr>
            <w:r>
              <w:rPr>
                <w:sz w:val="22"/>
                <w:szCs w:val="22"/>
                <w:lang w:val="ro-MD"/>
              </w:rPr>
              <w:t xml:space="preserve">Obiectivele proiectului  constituie formularea </w:t>
            </w:r>
            <w:r>
              <w:rPr>
                <w:rFonts w:cs="Cambria Math" w:ascii="Cambria Math" w:hAnsi="Cambria Math"/>
                <w:sz w:val="22"/>
                <w:szCs w:val="22"/>
                <w:lang w:val="ro-MD"/>
              </w:rPr>
              <w:t>ș</w:t>
            </w:r>
            <w:r>
              <w:rPr>
                <w:sz w:val="22"/>
                <w:szCs w:val="22"/>
                <w:lang w:val="ro-MD"/>
              </w:rPr>
              <w:t xml:space="preserve">i  cercetarea  modelelor dinamice stocastice decizionale ce extind problemele deterministe clasice de control  optimal discret, procesele Markov decizionale </w:t>
            </w:r>
            <w:r>
              <w:rPr>
                <w:rFonts w:cs="Cambria Math" w:ascii="Cambria Math" w:hAnsi="Cambria Math"/>
                <w:sz w:val="22"/>
                <w:szCs w:val="22"/>
                <w:lang w:val="ro-MD"/>
              </w:rPr>
              <w:t>ș</w:t>
            </w:r>
            <w:r>
              <w:rPr>
                <w:sz w:val="22"/>
                <w:szCs w:val="22"/>
                <w:lang w:val="ro-MD"/>
              </w:rPr>
              <w:t>i jocurile pozi</w:t>
            </w:r>
            <w:r>
              <w:rPr>
                <w:rFonts w:cs="Cambria Math" w:ascii="Cambria Math" w:hAnsi="Cambria Math"/>
                <w:sz w:val="22"/>
                <w:szCs w:val="22"/>
                <w:lang w:val="ro-MD"/>
              </w:rPr>
              <w:t>ț</w:t>
            </w:r>
            <w:r>
              <w:rPr>
                <w:sz w:val="22"/>
                <w:szCs w:val="22"/>
                <w:lang w:val="ro-MD"/>
              </w:rPr>
              <w:t>ionale stocastice. Se preconizeaz</w:t>
            </w:r>
            <w:r>
              <w:rPr>
                <w:rFonts w:cs="Times New Roman CE" w:ascii="Times New Roman CE" w:hAnsi="Times New Roman CE"/>
                <w:sz w:val="22"/>
                <w:szCs w:val="22"/>
                <w:lang w:val="ro-MD"/>
              </w:rPr>
              <w:t>ă</w:t>
            </w:r>
            <w:r>
              <w:rPr>
                <w:sz w:val="22"/>
                <w:szCs w:val="22"/>
                <w:lang w:val="ro-MD"/>
              </w:rPr>
              <w:t xml:space="preserve"> crearea  aparatului matematic pentru cercetarea acestor modele, elaborarea metodelor  </w:t>
            </w:r>
            <w:r>
              <w:rPr>
                <w:rFonts w:cs="Cambria Math" w:ascii="Cambria Math" w:hAnsi="Cambria Math"/>
                <w:sz w:val="22"/>
                <w:szCs w:val="22"/>
                <w:lang w:val="ro-MD"/>
              </w:rPr>
              <w:t>ș</w:t>
            </w:r>
            <w:r>
              <w:rPr>
                <w:sz w:val="22"/>
                <w:szCs w:val="22"/>
                <w:lang w:val="ro-MD"/>
              </w:rPr>
              <w:t>i    algoritmior numerici de solu</w:t>
            </w:r>
            <w:r>
              <w:rPr>
                <w:rFonts w:cs="Cambria Math" w:ascii="Cambria Math" w:hAnsi="Cambria Math"/>
                <w:sz w:val="22"/>
                <w:szCs w:val="22"/>
                <w:lang w:val="ro-MD"/>
              </w:rPr>
              <w:t>ț</w:t>
            </w:r>
            <w:r>
              <w:rPr>
                <w:sz w:val="22"/>
                <w:szCs w:val="22"/>
                <w:lang w:val="ro-MD"/>
              </w:rPr>
              <w:t xml:space="preserve">ionare a problemelor stocastice decizionale dinamice </w:t>
            </w:r>
            <w:r>
              <w:rPr>
                <w:rFonts w:cs="Cambria Math" w:ascii="Cambria Math" w:hAnsi="Cambria Math"/>
                <w:sz w:val="22"/>
                <w:szCs w:val="22"/>
                <w:lang w:val="ro-MD"/>
              </w:rPr>
              <w:t>ș</w:t>
            </w:r>
            <w:r>
              <w:rPr>
                <w:sz w:val="22"/>
                <w:szCs w:val="22"/>
                <w:lang w:val="ro-MD"/>
              </w:rPr>
              <w:t xml:space="preserve">i aflarea strategiilor optime mixte </w:t>
            </w:r>
            <w:r>
              <w:rPr>
                <w:rFonts w:cs="Times New Roman CE" w:ascii="Times New Roman CE" w:hAnsi="Times New Roman CE"/>
                <w:sz w:val="22"/>
                <w:szCs w:val="22"/>
                <w:lang w:val="ro-MD"/>
              </w:rPr>
              <w:t>î</w:t>
            </w:r>
            <w:r>
              <w:rPr>
                <w:sz w:val="22"/>
                <w:szCs w:val="22"/>
                <w:lang w:val="ro-MD"/>
              </w:rPr>
              <w:t xml:space="preserve">n jocurile stocastice. </w:t>
            </w:r>
            <w:r>
              <w:rPr>
                <w:sz w:val="22"/>
                <w:szCs w:val="22"/>
                <w:lang w:val="es-ES"/>
              </w:rPr>
              <w:t>Rezultatele ob</w:t>
            </w:r>
            <w:r>
              <w:rPr>
                <w:rFonts w:cs="Cambria Math" w:ascii="Cambria Math" w:hAnsi="Cambria Math"/>
                <w:sz w:val="22"/>
                <w:szCs w:val="22"/>
                <w:lang w:val="es-ES"/>
              </w:rPr>
              <w:t>ț</w:t>
            </w:r>
            <w:r>
              <w:rPr>
                <w:sz w:val="22"/>
                <w:szCs w:val="22"/>
                <w:lang w:val="es-ES"/>
              </w:rPr>
              <w:t xml:space="preserve">inute se vor utiliza la  cercetarea </w:t>
            </w:r>
            <w:r>
              <w:rPr>
                <w:rFonts w:cs="Cambria Math" w:ascii="Cambria Math" w:hAnsi="Cambria Math"/>
                <w:sz w:val="22"/>
                <w:szCs w:val="22"/>
                <w:lang w:val="es-ES"/>
              </w:rPr>
              <w:t>ș</w:t>
            </w:r>
            <w:r>
              <w:rPr>
                <w:sz w:val="22"/>
                <w:szCs w:val="22"/>
                <w:lang w:val="es-ES"/>
              </w:rPr>
              <w:t>i solu</w:t>
            </w:r>
            <w:r>
              <w:rPr>
                <w:rFonts w:cs="Cambria Math" w:ascii="Cambria Math" w:hAnsi="Cambria Math"/>
                <w:sz w:val="22"/>
                <w:szCs w:val="22"/>
                <w:lang w:val="es-ES"/>
              </w:rPr>
              <w:t>ț</w:t>
            </w:r>
            <w:r>
              <w:rPr>
                <w:sz w:val="22"/>
                <w:szCs w:val="22"/>
                <w:lang w:val="es-ES"/>
              </w:rPr>
              <w:t>ionarea jocurilor  stocastice de tip Shapley, modelelor de cre</w:t>
            </w:r>
            <w:r>
              <w:rPr>
                <w:rFonts w:cs="Cambria Math" w:ascii="Cambria Math" w:hAnsi="Cambria Math"/>
                <w:sz w:val="22"/>
                <w:szCs w:val="22"/>
                <w:lang w:val="es-ES"/>
              </w:rPr>
              <w:t>ș</w:t>
            </w:r>
            <w:r>
              <w:rPr>
                <w:sz w:val="22"/>
                <w:szCs w:val="22"/>
                <w:lang w:val="es-ES"/>
              </w:rPr>
              <w:t>tere economic</w:t>
            </w:r>
            <w:r>
              <w:rPr>
                <w:rFonts w:cs="Times New Roman CE" w:ascii="Times New Roman CE" w:hAnsi="Times New Roman CE"/>
                <w:sz w:val="22"/>
                <w:szCs w:val="22"/>
                <w:lang w:val="ro-MD"/>
              </w:rPr>
              <w:t>ă</w:t>
            </w:r>
            <w:r>
              <w:rPr>
                <w:sz w:val="22"/>
                <w:szCs w:val="22"/>
                <w:lang w:val="es-ES"/>
              </w:rPr>
              <w:t xml:space="preserve"> </w:t>
            </w:r>
            <w:r>
              <w:rPr>
                <w:rFonts w:cs="Cambria Math" w:ascii="Cambria Math" w:hAnsi="Cambria Math"/>
                <w:sz w:val="22"/>
                <w:szCs w:val="22"/>
                <w:lang w:val="es-ES"/>
              </w:rPr>
              <w:t>ș</w:t>
            </w:r>
            <w:r>
              <w:rPr>
                <w:sz w:val="22"/>
                <w:szCs w:val="22"/>
                <w:lang w:val="es-ES"/>
              </w:rPr>
              <w:t>i a modelelor de servire cu priorit</w:t>
            </w:r>
            <w:r>
              <w:rPr>
                <w:rFonts w:cs="Times New Roman CE" w:ascii="Times New Roman CE" w:hAnsi="Times New Roman CE"/>
                <w:sz w:val="22"/>
                <w:szCs w:val="22"/>
                <w:lang w:val="ro-MD"/>
              </w:rPr>
              <w:t>ă</w:t>
            </w:r>
            <w:r>
              <w:rPr>
                <w:rFonts w:cs="Cambria Math" w:ascii="Cambria Math" w:hAnsi="Cambria Math"/>
                <w:sz w:val="22"/>
                <w:szCs w:val="22"/>
                <w:lang w:val="es-ES"/>
              </w:rPr>
              <w:t>ț</w:t>
            </w:r>
            <w:r>
              <w:rPr>
                <w:sz w:val="22"/>
                <w:szCs w:val="22"/>
                <w:lang w:val="es-ES"/>
              </w:rPr>
              <w:t>i. Se vor cerceta combina</w:t>
            </w:r>
            <w:r>
              <w:rPr>
                <w:rFonts w:cs="Cambria Math" w:ascii="Cambria Math" w:hAnsi="Cambria Math"/>
                <w:sz w:val="22"/>
                <w:szCs w:val="22"/>
                <w:lang w:val="ro-MD"/>
              </w:rPr>
              <w:t>ț</w:t>
            </w:r>
            <w:r>
              <w:rPr>
                <w:sz w:val="22"/>
                <w:szCs w:val="22"/>
                <w:lang w:val="es-ES"/>
              </w:rPr>
              <w:t xml:space="preserve">iile liniare ale proceselor  telegraf stocastice </w:t>
            </w:r>
            <w:r>
              <w:rPr>
                <w:rFonts w:cs="Cambria Math" w:ascii="Cambria Math" w:hAnsi="Cambria Math"/>
                <w:sz w:val="22"/>
                <w:szCs w:val="22"/>
                <w:lang w:val="ro-MD"/>
              </w:rPr>
              <w:t>ș</w:t>
            </w:r>
            <w:r>
              <w:rPr>
                <w:sz w:val="22"/>
                <w:szCs w:val="22"/>
                <w:lang w:val="es-ES"/>
              </w:rPr>
              <w:t xml:space="preserve">i se va analiza comportarea lor la viteze de propagare </w:t>
            </w:r>
            <w:r>
              <w:rPr>
                <w:rFonts w:cs="Times New Roman CE" w:ascii="Times New Roman CE" w:hAnsi="Times New Roman CE"/>
                <w:sz w:val="22"/>
                <w:szCs w:val="22"/>
                <w:lang w:val="ro-MD"/>
              </w:rPr>
              <w:t>î</w:t>
            </w:r>
            <w:r>
              <w:rPr>
                <w:sz w:val="22"/>
                <w:szCs w:val="22"/>
                <w:lang w:val="es-ES"/>
              </w:rPr>
              <w:t>n cre</w:t>
            </w:r>
            <w:r>
              <w:rPr>
                <w:rFonts w:cs="Cambria Math" w:ascii="Cambria Math" w:hAnsi="Cambria Math"/>
                <w:sz w:val="22"/>
                <w:szCs w:val="22"/>
                <w:lang w:val="ro-MD"/>
              </w:rPr>
              <w:t>ș</w:t>
            </w:r>
            <w:r>
              <w:rPr>
                <w:sz w:val="22"/>
                <w:szCs w:val="22"/>
                <w:lang w:val="es-ES"/>
              </w:rPr>
              <w:t xml:space="preserve">tere.  </w:t>
            </w:r>
          </w:p>
        </w:tc>
      </w:tr>
    </w:tbl>
    <w:p>
      <w:pPr>
        <w:pStyle w:val="Normal"/>
        <w:widowControl/>
        <w:numPr>
          <w:ilvl w:val="0"/>
          <w:numId w:val="23"/>
        </w:numPr>
        <w:tabs>
          <w:tab w:val="left" w:pos="180" w:leader="none"/>
        </w:tabs>
        <w:bidi w:val="0"/>
        <w:ind w:left="180" w:right="0" w:hanging="0"/>
        <w:jc w:val="left"/>
        <w:textAlignment w:val="auto"/>
        <w:rPr>
          <w:lang w:val="ro-MD"/>
        </w:rPr>
      </w:pPr>
      <w:r>
        <w:rPr>
          <w:bCs/>
          <w:sz w:val="22"/>
          <w:szCs w:val="22"/>
          <w:lang w:val="ro-MD"/>
        </w:rPr>
        <w:t>Termenul executгrii</w:t>
      </w:r>
      <w:r>
        <w:rPr>
          <w:color w:val="800000"/>
          <w:sz w:val="22"/>
          <w:szCs w:val="22"/>
          <w:lang w:val="ro-MD"/>
        </w:rPr>
        <w:t xml:space="preserve"> </w:t>
      </w:r>
    </w:p>
    <w:tbl>
      <w:tblPr>
        <w:tblW w:w="9462"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462"/>
      </w:tblGrid>
      <w:tr>
        <w:trPr/>
        <w:tc>
          <w:tcPr>
            <w:tcW w:w="9462"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en-US"/>
              </w:rPr>
            </w:pPr>
            <w:r>
              <w:rPr>
                <w:bCs/>
                <w:sz w:val="22"/>
                <w:szCs w:val="22"/>
                <w:lang w:val="en-US"/>
              </w:rPr>
              <w:t>01.05.2015 - 31.04.2016</w:t>
            </w:r>
          </w:p>
        </w:tc>
      </w:tr>
    </w:tbl>
    <w:p>
      <w:pPr>
        <w:pStyle w:val="Normal"/>
        <w:widowControl/>
        <w:numPr>
          <w:ilvl w:val="0"/>
          <w:numId w:val="23"/>
        </w:numPr>
        <w:tabs>
          <w:tab w:val="left" w:pos="180" w:leader="none"/>
        </w:tabs>
        <w:bidi w:val="0"/>
        <w:ind w:left="180" w:right="0" w:hanging="0"/>
        <w:jc w:val="left"/>
        <w:textAlignment w:val="auto"/>
        <w:rPr>
          <w:lang w:val="ro-MD"/>
        </w:rPr>
      </w:pPr>
      <w:r>
        <w:rPr>
          <w:sz w:val="22"/>
          <w:szCs w:val="22"/>
          <w:lang w:val="ro-MD"/>
        </w:rPr>
        <w:t xml:space="preserve">Costul total al proiectului  </w:t>
      </w:r>
    </w:p>
    <w:tbl>
      <w:tblPr>
        <w:tblW w:w="9462"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462"/>
      </w:tblGrid>
      <w:tr>
        <w:trPr/>
        <w:tc>
          <w:tcPr>
            <w:tcW w:w="9462"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en-US"/>
              </w:rPr>
            </w:pPr>
            <w:r>
              <w:rPr>
                <w:bCs/>
                <w:sz w:val="22"/>
                <w:szCs w:val="22"/>
                <w:lang w:val="en-US"/>
              </w:rPr>
              <w:t xml:space="preserve">50 000 $ </w:t>
            </w:r>
          </w:p>
        </w:tc>
      </w:tr>
    </w:tbl>
    <w:p>
      <w:pPr>
        <w:pStyle w:val="Normal"/>
        <w:widowControl/>
        <w:numPr>
          <w:ilvl w:val="0"/>
          <w:numId w:val="23"/>
        </w:numPr>
        <w:tabs>
          <w:tab w:val="left" w:pos="180" w:leader="none"/>
        </w:tabs>
        <w:bidi w:val="0"/>
        <w:ind w:left="180" w:right="0" w:hanging="0"/>
        <w:jc w:val="left"/>
        <w:textAlignment w:val="auto"/>
        <w:rPr>
          <w:lang w:val="ro-RO"/>
        </w:rPr>
      </w:pPr>
      <w:r>
        <w:rPr>
          <w:bCs/>
          <w:sz w:val="22"/>
          <w:szCs w:val="22"/>
          <w:lang w:val="ro-RO"/>
        </w:rPr>
        <w:t>Cofinan</w:t>
      </w:r>
      <w:r>
        <w:rPr>
          <w:rFonts w:cs="Cambria Math" w:ascii="Cambria Math" w:hAnsi="Cambria Math"/>
          <w:bCs/>
          <w:sz w:val="22"/>
          <w:szCs w:val="22"/>
          <w:lang w:val="ro-RO"/>
        </w:rPr>
        <w:t>ț</w:t>
      </w:r>
      <w:r>
        <w:rPr>
          <w:bCs/>
          <w:sz w:val="22"/>
          <w:szCs w:val="22"/>
          <w:lang w:val="ro-RO"/>
        </w:rPr>
        <w:t xml:space="preserve">area </w:t>
      </w:r>
      <w:r>
        <w:rPr>
          <w:sz w:val="22"/>
          <w:szCs w:val="22"/>
          <w:lang w:val="ro-MD"/>
        </w:rPr>
        <w:t>din partea Republicii Moldova (</w:t>
      </w:r>
      <w:r>
        <w:rPr>
          <w:rFonts w:cs="Times New Roman CE" w:ascii="Times New Roman CE" w:hAnsi="Times New Roman CE"/>
          <w:sz w:val="22"/>
          <w:szCs w:val="22"/>
          <w:lang w:val="ro-RO"/>
        </w:rPr>
        <w:t>î</w:t>
      </w:r>
      <w:r>
        <w:rPr>
          <w:sz w:val="22"/>
          <w:szCs w:val="22"/>
          <w:lang w:val="ro-RO"/>
        </w:rPr>
        <w:t>n cazul cofinan</w:t>
      </w:r>
      <w:r>
        <w:rPr>
          <w:rFonts w:cs="Cambria Math" w:ascii="Cambria Math" w:hAnsi="Cambria Math"/>
          <w:sz w:val="22"/>
          <w:szCs w:val="22"/>
          <w:lang w:val="ro-RO"/>
        </w:rPr>
        <w:t>ț</w:t>
      </w:r>
      <w:r>
        <w:rPr>
          <w:rFonts w:cs="Times New Roman CE" w:ascii="Times New Roman CE" w:hAnsi="Times New Roman CE"/>
          <w:sz w:val="22"/>
          <w:szCs w:val="22"/>
          <w:lang w:val="ro-RO"/>
        </w:rPr>
        <w:t>ă</w:t>
      </w:r>
      <w:r>
        <w:rPr>
          <w:sz w:val="22"/>
          <w:szCs w:val="22"/>
          <w:lang w:val="ro-RO"/>
        </w:rPr>
        <w:t>rii</w:t>
      </w:r>
      <w:r>
        <w:rPr>
          <w:sz w:val="22"/>
          <w:szCs w:val="22"/>
          <w:lang w:val="ro-MD"/>
        </w:rPr>
        <w:t>)</w:t>
      </w:r>
    </w:p>
    <w:tbl>
      <w:tblPr>
        <w:tblW w:w="9464" w:type="dxa"/>
        <w:jc w:val="left"/>
        <w:tblInd w:w="567"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5014"/>
        <w:gridCol w:w="4449"/>
      </w:tblGrid>
      <w:tr>
        <w:trPr>
          <w:trHeight w:val="330" w:hRule="atLeast"/>
        </w:trPr>
        <w:tc>
          <w:tcPr>
            <w:tcW w:w="5014"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vAlign w:val="center"/>
          </w:tcPr>
          <w:p>
            <w:pPr>
              <w:pStyle w:val="Normal"/>
              <w:widowControl/>
              <w:bidi w:val="0"/>
              <w:ind w:left="0" w:right="0" w:hanging="0"/>
              <w:jc w:val="left"/>
              <w:textAlignment w:val="auto"/>
              <w:rPr>
                <w:lang w:val="ro-MD"/>
              </w:rPr>
            </w:pPr>
            <w:r>
              <w:rPr>
                <w:rStyle w:val="Style6"/>
                <w:i/>
                <w:iCs/>
                <w:sz w:val="22"/>
                <w:szCs w:val="22"/>
                <w:lang w:val="ro-MD"/>
              </w:rPr>
              <w:t>Cofinan</w:t>
            </w:r>
            <w:r>
              <w:rPr>
                <w:rStyle w:val="Style6"/>
                <w:rFonts w:cs="Cambria Math" w:ascii="Cambria Math" w:hAnsi="Cambria Math"/>
                <w:i/>
                <w:iCs/>
                <w:sz w:val="22"/>
                <w:szCs w:val="22"/>
                <w:lang w:val="ro-MD"/>
              </w:rPr>
              <w:t>ț</w:t>
            </w:r>
            <w:r>
              <w:rPr>
                <w:rStyle w:val="Style6"/>
                <w:i/>
                <w:iCs/>
                <w:sz w:val="22"/>
                <w:szCs w:val="22"/>
                <w:lang w:val="ro-MD"/>
              </w:rPr>
              <w:t>area total</w:t>
            </w:r>
            <w:r>
              <w:rPr>
                <w:rStyle w:val="Style6"/>
                <w:rFonts w:cs="Times New Roman CE" w:ascii="Times New Roman CE" w:hAnsi="Times New Roman CE"/>
                <w:i/>
                <w:iCs/>
                <w:sz w:val="22"/>
                <w:szCs w:val="22"/>
                <w:lang w:val="ro-MD"/>
              </w:rPr>
              <w:t>ă</w:t>
            </w:r>
            <w:r>
              <w:rPr>
                <w:rStyle w:val="Style6"/>
                <w:i/>
                <w:iCs/>
                <w:sz w:val="22"/>
                <w:szCs w:val="22"/>
                <w:lang w:val="ro-MD"/>
              </w:rPr>
              <w:t xml:space="preserve"> planifica</w:t>
            </w:r>
            <w:r>
              <w:rPr>
                <w:rStyle w:val="Style6"/>
                <w:rFonts w:cs="Times New Roman CE" w:ascii="Times New Roman CE" w:hAnsi="Times New Roman CE"/>
                <w:i/>
                <w:iCs/>
                <w:sz w:val="22"/>
                <w:szCs w:val="22"/>
                <w:lang w:val="ro-MD"/>
              </w:rPr>
              <w:t>tă</w:t>
            </w:r>
            <w:r>
              <w:rPr>
                <w:rStyle w:val="Style6"/>
                <w:i/>
                <w:iCs/>
                <w:sz w:val="22"/>
                <w:szCs w:val="22"/>
                <w:lang w:val="ro-MD"/>
              </w:rPr>
              <w:t xml:space="preserve"> (mii lei)</w:t>
            </w:r>
          </w:p>
          <w:p>
            <w:pPr>
              <w:pStyle w:val="Normal"/>
              <w:widowControl/>
              <w:bidi w:val="0"/>
              <w:ind w:left="0" w:right="0" w:hanging="0"/>
              <w:jc w:val="left"/>
              <w:textAlignment w:val="auto"/>
              <w:rPr>
                <w:lang w:val="it-IT"/>
              </w:rPr>
            </w:pPr>
            <w:r>
              <w:rPr>
                <w:i/>
                <w:sz w:val="22"/>
                <w:szCs w:val="22"/>
                <w:lang w:val="it-IT"/>
              </w:rPr>
              <w:t>122,1 mii lei</w:t>
            </w:r>
          </w:p>
        </w:tc>
        <w:tc>
          <w:tcPr>
            <w:tcW w:w="4449"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vAlign w:val="center"/>
          </w:tcPr>
          <w:p>
            <w:pPr>
              <w:pStyle w:val="Normal"/>
              <w:widowControl/>
              <w:bidi w:val="0"/>
              <w:ind w:left="0" w:right="0" w:hanging="0"/>
              <w:jc w:val="center"/>
              <w:textAlignment w:val="auto"/>
              <w:rPr>
                <w:lang w:val="ro-MD"/>
              </w:rPr>
            </w:pPr>
            <w:r>
              <w:rPr>
                <w:bCs/>
                <w:i/>
                <w:sz w:val="22"/>
                <w:szCs w:val="22"/>
                <w:lang w:val="ro-MD"/>
              </w:rPr>
              <w:t>Cofinan</w:t>
            </w:r>
            <w:r>
              <w:rPr>
                <w:rFonts w:cs="Cambria Math" w:ascii="Cambria Math" w:hAnsi="Cambria Math"/>
                <w:bCs/>
                <w:i/>
                <w:sz w:val="22"/>
                <w:szCs w:val="22"/>
                <w:lang w:val="ro-MD"/>
              </w:rPr>
              <w:t>ț</w:t>
            </w:r>
            <w:r>
              <w:rPr>
                <w:bCs/>
                <w:i/>
                <w:sz w:val="22"/>
                <w:szCs w:val="22"/>
                <w:lang w:val="ro-MD"/>
              </w:rPr>
              <w:t>area pe perioada evaluat</w:t>
            </w:r>
            <w:r>
              <w:rPr>
                <w:rFonts w:cs="Times New Roman CE" w:ascii="Times New Roman CE" w:hAnsi="Times New Roman CE"/>
                <w:bCs/>
                <w:i/>
                <w:sz w:val="22"/>
                <w:szCs w:val="22"/>
                <w:lang w:val="ro-MD"/>
              </w:rPr>
              <w:t>ă</w:t>
            </w:r>
            <w:r>
              <w:rPr>
                <w:bCs/>
                <w:i/>
                <w:sz w:val="22"/>
                <w:szCs w:val="22"/>
                <w:lang w:val="ro-MD"/>
              </w:rPr>
              <w:t xml:space="preserve"> (mii lei)-</w:t>
            </w:r>
            <w:r>
              <w:rPr>
                <w:b/>
                <w:sz w:val="22"/>
                <w:szCs w:val="22"/>
                <w:lang w:val="it-IT"/>
              </w:rPr>
              <w:t xml:space="preserve"> </w:t>
            </w:r>
            <w:r>
              <w:rPr>
                <w:i/>
                <w:sz w:val="22"/>
                <w:szCs w:val="22"/>
                <w:lang w:val="it-IT"/>
              </w:rPr>
              <w:t>122,1 mii lei</w:t>
            </w:r>
          </w:p>
        </w:tc>
      </w:tr>
    </w:tbl>
    <w:p>
      <w:pPr>
        <w:pStyle w:val="Normal"/>
        <w:widowControl/>
        <w:numPr>
          <w:ilvl w:val="0"/>
          <w:numId w:val="23"/>
        </w:numPr>
        <w:tabs>
          <w:tab w:val="left" w:pos="180" w:leader="none"/>
        </w:tabs>
        <w:bidi w:val="0"/>
        <w:ind w:left="180" w:right="0" w:hanging="0"/>
        <w:jc w:val="left"/>
        <w:textAlignment w:val="auto"/>
        <w:rPr>
          <w:lang w:val="ro-MD"/>
        </w:rPr>
      </w:pPr>
      <w:r>
        <w:rPr>
          <w:sz w:val="22"/>
          <w:szCs w:val="22"/>
          <w:lang w:val="ro-MD"/>
        </w:rPr>
        <w:t>Subdiviziunile organiza</w:t>
      </w:r>
      <w:r>
        <w:rPr>
          <w:rFonts w:cs="Cambria Math" w:ascii="Cambria Math" w:hAnsi="Cambria Math"/>
          <w:sz w:val="22"/>
          <w:szCs w:val="22"/>
          <w:lang w:val="ro-MD"/>
        </w:rPr>
        <w:t>ț</w:t>
      </w:r>
      <w:r>
        <w:rPr>
          <w:sz w:val="22"/>
          <w:szCs w:val="22"/>
          <w:lang w:val="ro-MD"/>
        </w:rPr>
        <w:t>iei executoare (laborator, sec</w:t>
      </w:r>
      <w:r>
        <w:rPr>
          <w:rFonts w:cs="Cambria Math" w:ascii="Cambria Math" w:hAnsi="Cambria Math"/>
          <w:sz w:val="22"/>
          <w:szCs w:val="22"/>
          <w:lang w:val="ro-MD"/>
        </w:rPr>
        <w:t>ț</w:t>
      </w:r>
      <w:r>
        <w:rPr>
          <w:sz w:val="22"/>
          <w:szCs w:val="22"/>
          <w:lang w:val="ro-MD"/>
        </w:rPr>
        <w:t>ie, sector etc.)</w:t>
      </w:r>
    </w:p>
    <w:tbl>
      <w:tblPr>
        <w:tblW w:w="9498"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498"/>
      </w:tblGrid>
      <w:tr>
        <w:trPr>
          <w:trHeight w:val="318" w:hRule="atLeast"/>
        </w:trPr>
        <w:tc>
          <w:tcPr>
            <w:tcW w:w="9498"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Laboratorul de Modelare Matematic</w:t>
            </w:r>
            <w:r>
              <w:rPr>
                <w:rFonts w:cs="Times New Roman CE" w:ascii="Times New Roman CE" w:hAnsi="Times New Roman CE"/>
                <w:bCs/>
                <w:sz w:val="22"/>
                <w:szCs w:val="22"/>
                <w:lang w:val="ro-RO"/>
              </w:rPr>
              <w:t xml:space="preserve">ă </w:t>
            </w:r>
            <w:r>
              <w:rPr>
                <w:bCs/>
                <w:sz w:val="22"/>
                <w:szCs w:val="22"/>
                <w:lang w:val="ro-MD"/>
              </w:rPr>
              <w:t>al IMI ASM</w:t>
            </w:r>
          </w:p>
        </w:tc>
      </w:tr>
    </w:tbl>
    <w:p>
      <w:pPr>
        <w:pStyle w:val="Normal"/>
        <w:widowControl/>
        <w:numPr>
          <w:ilvl w:val="0"/>
          <w:numId w:val="23"/>
        </w:numPr>
        <w:tabs>
          <w:tab w:val="left" w:pos="180" w:leader="none"/>
        </w:tabs>
        <w:bidi w:val="0"/>
        <w:spacing w:lineRule="exact" w:line="360"/>
        <w:ind w:left="180" w:right="0" w:hanging="0"/>
        <w:jc w:val="left"/>
        <w:textAlignment w:val="auto"/>
        <w:rPr>
          <w:lang w:val="ro-MD"/>
        </w:rPr>
      </w:pPr>
      <w:r>
        <w:rPr>
          <w:sz w:val="22"/>
          <w:szCs w:val="22"/>
          <w:lang w:val="ro-MD"/>
        </w:rPr>
        <w:t xml:space="preserve">Executorii  </w:t>
      </w:r>
    </w:p>
    <w:tbl>
      <w:tblPr>
        <w:tblW w:w="8973" w:type="dxa"/>
        <w:jc w:val="left"/>
        <w:tblInd w:w="56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3" w:type="dxa"/>
          <w:bottom w:w="0" w:type="dxa"/>
          <w:right w:w="108" w:type="dxa"/>
        </w:tblCellMar>
      </w:tblPr>
      <w:tblGrid>
        <w:gridCol w:w="1065"/>
        <w:gridCol w:w="2002"/>
        <w:gridCol w:w="3066"/>
        <w:gridCol w:w="2839"/>
      </w:tblGrid>
      <w:tr>
        <w:trPr/>
        <w:tc>
          <w:tcPr>
            <w:tcW w:w="10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Nr./ ord.</w:t>
            </w:r>
          </w:p>
        </w:tc>
        <w:tc>
          <w:tcPr>
            <w:tcW w:w="20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sz w:val="22"/>
                <w:szCs w:val="22"/>
                <w:lang w:val="ro-MD"/>
              </w:rPr>
              <w:t xml:space="preserve">Nume, prenume </w:t>
            </w:r>
          </w:p>
        </w:tc>
        <w:tc>
          <w:tcPr>
            <w:tcW w:w="590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sz w:val="22"/>
                <w:szCs w:val="22"/>
                <w:lang w:val="ro-MD"/>
              </w:rPr>
              <w:t xml:space="preserve"> </w:t>
            </w:r>
            <w:r>
              <w:rPr>
                <w:bCs/>
                <w:i/>
                <w:sz w:val="22"/>
                <w:szCs w:val="22"/>
                <w:lang w:val="ro-MD"/>
              </w:rPr>
              <w:t>F</w:t>
            </w:r>
            <w:r>
              <w:rPr>
                <w:rFonts w:cs="Times New Roman CE" w:ascii="Times New Roman CE" w:hAnsi="Times New Roman CE"/>
                <w:bCs/>
                <w:i/>
                <w:sz w:val="22"/>
                <w:szCs w:val="22"/>
                <w:lang w:val="ro-MD"/>
              </w:rPr>
              <w:t>uncţia în cadrul proiectului</w:t>
            </w:r>
          </w:p>
        </w:tc>
      </w:tr>
      <w:tr>
        <w:trPr/>
        <w:tc>
          <w:tcPr>
            <w:tcW w:w="10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1.</w:t>
            </w:r>
          </w:p>
        </w:tc>
        <w:tc>
          <w:tcPr>
            <w:tcW w:w="20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Style w:val="Strong"/>
                <w:rFonts w:cs="Calibri"/>
                <w:i/>
                <w:sz w:val="22"/>
                <w:szCs w:val="22"/>
                <w:lang w:val="ro-MD"/>
              </w:rPr>
              <w:t>Lozovanu</w:t>
            </w:r>
            <w:r>
              <w:rPr>
                <w:i/>
                <w:sz w:val="22"/>
                <w:szCs w:val="22"/>
                <w:lang w:val="ro-RO"/>
              </w:rPr>
              <w:t xml:space="preserve">  Dmitrii        </w:t>
            </w:r>
          </w:p>
        </w:tc>
        <w:tc>
          <w:tcPr>
            <w:tcW w:w="30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
                <w:sz w:val="22"/>
                <w:szCs w:val="22"/>
                <w:lang w:val="ro-RO"/>
              </w:rPr>
              <w:t>conducătorul proiectului</w:t>
            </w:r>
          </w:p>
        </w:tc>
        <w:tc>
          <w:tcPr>
            <w:tcW w:w="283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iCs/>
                <w:sz w:val="22"/>
                <w:szCs w:val="22"/>
                <w:lang w:val="ro-MD"/>
              </w:rPr>
              <w:t>doctor habilitat</w:t>
            </w:r>
          </w:p>
        </w:tc>
      </w:tr>
      <w:tr>
        <w:trPr/>
        <w:tc>
          <w:tcPr>
            <w:tcW w:w="10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2.</w:t>
            </w:r>
          </w:p>
        </w:tc>
        <w:tc>
          <w:tcPr>
            <w:tcW w:w="20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Style w:val="Strong"/>
                <w:rFonts w:cs="Calibri" w:ascii="Times New Roman CE" w:hAnsi="Times New Roman CE"/>
                <w:i/>
                <w:sz w:val="22"/>
                <w:szCs w:val="22"/>
                <w:lang w:val="ro-MD"/>
              </w:rPr>
              <w:t>Mişcoi Gheorghe</w:t>
            </w:r>
          </w:p>
        </w:tc>
        <w:tc>
          <w:tcPr>
            <w:tcW w:w="30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bCs/>
                <w:i/>
                <w:iCs/>
                <w:sz w:val="22"/>
                <w:szCs w:val="22"/>
                <w:lang w:val="ro-MD"/>
              </w:rPr>
              <w:t xml:space="preserve">cercetător ştiinţific  </w:t>
            </w:r>
            <w:r>
              <w:rPr>
                <w:bCs/>
                <w:i/>
                <w:iCs/>
                <w:sz w:val="22"/>
                <w:szCs w:val="22"/>
                <w:lang w:val="ro-MD"/>
              </w:rPr>
              <w:t>principal</w:t>
            </w:r>
          </w:p>
        </w:tc>
        <w:tc>
          <w:tcPr>
            <w:tcW w:w="283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iCs/>
                <w:sz w:val="22"/>
                <w:szCs w:val="22"/>
                <w:lang w:val="ro-MD"/>
              </w:rPr>
              <w:t>academician, doctor habilitat</w:t>
            </w:r>
          </w:p>
        </w:tc>
      </w:tr>
      <w:tr>
        <w:trPr/>
        <w:tc>
          <w:tcPr>
            <w:tcW w:w="10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3.</w:t>
            </w:r>
          </w:p>
        </w:tc>
        <w:tc>
          <w:tcPr>
            <w:tcW w:w="20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
                <w:sz w:val="22"/>
                <w:szCs w:val="22"/>
                <w:lang w:val="ro-RO"/>
              </w:rPr>
              <w:t xml:space="preserve">Kolesnik Alexander                                      </w:t>
            </w:r>
          </w:p>
        </w:tc>
        <w:tc>
          <w:tcPr>
            <w:tcW w:w="30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bCs/>
                <w:i/>
                <w:iCs/>
                <w:sz w:val="22"/>
                <w:szCs w:val="22"/>
                <w:lang w:val="ro-MD"/>
              </w:rPr>
              <w:t xml:space="preserve">cercetător ştiinţific  </w:t>
            </w:r>
            <w:r>
              <w:rPr>
                <w:bCs/>
                <w:i/>
                <w:iCs/>
                <w:sz w:val="22"/>
                <w:szCs w:val="22"/>
                <w:lang w:val="ro-MD"/>
              </w:rPr>
              <w:t>coordonator</w:t>
            </w:r>
          </w:p>
        </w:tc>
        <w:tc>
          <w:tcPr>
            <w:tcW w:w="283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iCs/>
                <w:sz w:val="22"/>
                <w:szCs w:val="22"/>
                <w:lang w:val="ro-MD"/>
              </w:rPr>
              <w:t>doctor habilitat</w:t>
            </w:r>
          </w:p>
        </w:tc>
      </w:tr>
      <w:tr>
        <w:trPr/>
        <w:tc>
          <w:tcPr>
            <w:tcW w:w="10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 xml:space="preserve">4. </w:t>
            </w:r>
          </w:p>
        </w:tc>
        <w:tc>
          <w:tcPr>
            <w:tcW w:w="20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iCs/>
                <w:sz w:val="22"/>
                <w:szCs w:val="22"/>
                <w:lang w:val="ro-MD"/>
              </w:rPr>
              <w:t>Naval Elvira</w:t>
            </w:r>
          </w:p>
        </w:tc>
        <w:tc>
          <w:tcPr>
            <w:tcW w:w="30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i/>
                <w:sz w:val="22"/>
                <w:szCs w:val="22"/>
                <w:lang w:val="ro-MD"/>
              </w:rPr>
              <w:t xml:space="preserve">cercetător ştiinţific </w:t>
            </w:r>
            <w:r>
              <w:rPr>
                <w:i/>
                <w:sz w:val="22"/>
                <w:szCs w:val="22"/>
                <w:lang w:val="ro-RO"/>
              </w:rPr>
              <w:t>coordonator</w:t>
            </w:r>
          </w:p>
        </w:tc>
        <w:tc>
          <w:tcPr>
            <w:tcW w:w="283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
                <w:sz w:val="22"/>
                <w:szCs w:val="22"/>
                <w:lang w:val="ro-RO"/>
              </w:rPr>
              <w:t>doctor</w:t>
            </w:r>
          </w:p>
        </w:tc>
      </w:tr>
      <w:tr>
        <w:trPr/>
        <w:tc>
          <w:tcPr>
            <w:tcW w:w="10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5.</w:t>
            </w:r>
          </w:p>
        </w:tc>
        <w:tc>
          <w:tcPr>
            <w:tcW w:w="20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
                <w:sz w:val="22"/>
                <w:szCs w:val="22"/>
                <w:lang w:val="ro-RO"/>
              </w:rPr>
              <w:t xml:space="preserve">Lazari Alexandru                   </w:t>
            </w:r>
          </w:p>
        </w:tc>
        <w:tc>
          <w:tcPr>
            <w:tcW w:w="30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
                <w:sz w:val="22"/>
                <w:szCs w:val="22"/>
                <w:lang w:val="ro-RO"/>
              </w:rPr>
              <w:t>cercetător ştiinţif</w:t>
            </w:r>
            <w:r>
              <w:rPr>
                <w:i/>
                <w:sz w:val="22"/>
                <w:szCs w:val="22"/>
                <w:lang w:val="ro-RO"/>
              </w:rPr>
              <w:t>ic superior</w:t>
            </w:r>
          </w:p>
        </w:tc>
        <w:tc>
          <w:tcPr>
            <w:tcW w:w="283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
                <w:sz w:val="22"/>
                <w:szCs w:val="22"/>
                <w:lang w:val="ro-RO"/>
              </w:rPr>
              <w:t>doctor</w:t>
            </w:r>
          </w:p>
        </w:tc>
      </w:tr>
      <w:tr>
        <w:trPr/>
        <w:tc>
          <w:tcPr>
            <w:tcW w:w="10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6.</w:t>
            </w:r>
          </w:p>
        </w:tc>
        <w:tc>
          <w:tcPr>
            <w:tcW w:w="20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
                <w:sz w:val="22"/>
                <w:szCs w:val="22"/>
                <w:lang w:val="ro-RO"/>
              </w:rPr>
              <w:t>Capcelea Maria</w:t>
            </w:r>
          </w:p>
        </w:tc>
        <w:tc>
          <w:tcPr>
            <w:tcW w:w="30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i/>
                <w:sz w:val="22"/>
                <w:szCs w:val="22"/>
                <w:lang w:val="ro-MD"/>
              </w:rPr>
              <w:t>cercetător ştiinţific</w:t>
            </w:r>
          </w:p>
        </w:tc>
        <w:tc>
          <w:tcPr>
            <w:tcW w:w="283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
                <w:sz w:val="22"/>
                <w:szCs w:val="22"/>
                <w:lang w:val="ro-RO"/>
              </w:rPr>
              <w:t>doctor</w:t>
            </w:r>
          </w:p>
        </w:tc>
      </w:tr>
      <w:tr>
        <w:trPr/>
        <w:tc>
          <w:tcPr>
            <w:tcW w:w="10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7.</w:t>
            </w:r>
          </w:p>
        </w:tc>
        <w:tc>
          <w:tcPr>
            <w:tcW w:w="20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
                <w:sz w:val="22"/>
                <w:szCs w:val="22"/>
                <w:lang w:val="ro-RO"/>
              </w:rPr>
              <w:t>Ursu Lidia</w:t>
            </w:r>
          </w:p>
        </w:tc>
        <w:tc>
          <w:tcPr>
            <w:tcW w:w="30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i/>
                <w:sz w:val="22"/>
                <w:szCs w:val="22"/>
                <w:lang w:val="ro-MD"/>
              </w:rPr>
              <w:t>economist</w:t>
            </w:r>
          </w:p>
        </w:tc>
        <w:tc>
          <w:tcPr>
            <w:tcW w:w="283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rFonts w:ascii="Times New Roman" w:hAnsi="Times New Roman"/>
                <w:i/>
                <w:i/>
                <w:sz w:val="22"/>
                <w:szCs w:val="22"/>
                <w:lang w:val="ro-RO"/>
              </w:rPr>
            </w:pPr>
            <w:r>
              <w:rPr>
                <w:i/>
                <w:sz w:val="22"/>
                <w:szCs w:val="22"/>
                <w:lang w:val="ro-RO"/>
              </w:rPr>
            </w:r>
          </w:p>
        </w:tc>
      </w:tr>
    </w:tbl>
    <w:p>
      <w:pPr>
        <w:pStyle w:val="Normal"/>
        <w:widowControl/>
        <w:numPr>
          <w:ilvl w:val="0"/>
          <w:numId w:val="23"/>
        </w:numPr>
        <w:tabs>
          <w:tab w:val="left" w:pos="180" w:leader="none"/>
        </w:tabs>
        <w:bidi w:val="0"/>
        <w:ind w:left="180" w:right="0" w:hanging="0"/>
        <w:jc w:val="left"/>
        <w:textAlignment w:val="auto"/>
        <w:rPr>
          <w:lang w:val="ro-MD"/>
        </w:rPr>
      </w:pPr>
      <w:r>
        <w:rPr>
          <w:sz w:val="22"/>
          <w:szCs w:val="22"/>
          <w:lang w:val="ro-MD"/>
        </w:rPr>
        <w:t xml:space="preserve">Sumarul </w:t>
      </w:r>
      <w:r>
        <w:rPr>
          <w:sz w:val="22"/>
          <w:szCs w:val="22"/>
          <w:lang w:val="ro-RO"/>
        </w:rPr>
        <w:t>activit</w:t>
      </w:r>
      <w:r>
        <w:rPr>
          <w:rFonts w:cs="Times New Roman CE" w:ascii="Times New Roman CE" w:hAnsi="Times New Roman CE"/>
          <w:sz w:val="22"/>
          <w:szCs w:val="22"/>
          <w:lang w:val="ro-RO"/>
        </w:rPr>
        <w:t>ăţ</w:t>
      </w:r>
      <w:r>
        <w:rPr>
          <w:sz w:val="22"/>
          <w:szCs w:val="22"/>
          <w:lang w:val="ro-RO"/>
        </w:rPr>
        <w:t xml:space="preserve">ilor proiectului realizate </w:t>
      </w:r>
      <w:r>
        <w:rPr>
          <w:rFonts w:cs="Times New Roman CE" w:ascii="Times New Roman CE" w:hAnsi="Times New Roman CE"/>
          <w:sz w:val="22"/>
          <w:szCs w:val="22"/>
          <w:lang w:val="ro-RO"/>
        </w:rPr>
        <w:t>î</w:t>
      </w:r>
      <w:r>
        <w:rPr>
          <w:sz w:val="22"/>
          <w:szCs w:val="22"/>
          <w:lang w:val="ro-RO"/>
        </w:rPr>
        <w:t>n perioada evaluat</w:t>
      </w:r>
      <w:r>
        <w:rPr>
          <w:rFonts w:cs="Times New Roman CE" w:ascii="Times New Roman CE" w:hAnsi="Times New Roman CE"/>
          <w:sz w:val="22"/>
          <w:szCs w:val="22"/>
          <w:lang w:val="ro-RO"/>
        </w:rPr>
        <w:t>ă</w:t>
      </w:r>
      <w:r>
        <w:rPr>
          <w:sz w:val="22"/>
          <w:szCs w:val="22"/>
          <w:lang w:val="ro-MD"/>
        </w:rPr>
        <w:t xml:space="preserve"> </w:t>
      </w:r>
    </w:p>
    <w:tbl>
      <w:tblPr>
        <w:tblW w:w="9774" w:type="dxa"/>
        <w:jc w:val="left"/>
        <w:tblInd w:w="425"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1035"/>
        <w:gridCol w:w="3311"/>
        <w:gridCol w:w="5428"/>
      </w:tblGrid>
      <w:tr>
        <w:trPr>
          <w:trHeight w:val="457" w:hRule="atLeast"/>
        </w:trPr>
        <w:tc>
          <w:tcPr>
            <w:tcW w:w="1035"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rFonts w:ascii="Times New Roman" w:hAnsi="Times New Roman"/>
                <w:bCs/>
                <w:color w:val="000000"/>
                <w:sz w:val="22"/>
                <w:szCs w:val="22"/>
                <w:lang w:val="ro-MD"/>
              </w:rPr>
            </w:pPr>
            <w:r>
              <w:rPr>
                <w:bCs/>
                <w:color w:val="000000"/>
                <w:sz w:val="22"/>
                <w:szCs w:val="22"/>
                <w:lang w:val="ro-MD"/>
              </w:rPr>
            </w:r>
          </w:p>
        </w:tc>
        <w:tc>
          <w:tcPr>
            <w:tcW w:w="3311"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MD"/>
              </w:rPr>
            </w:pPr>
            <w:r>
              <w:rPr>
                <w:bCs/>
                <w:i/>
                <w:color w:val="000000"/>
                <w:sz w:val="22"/>
                <w:szCs w:val="22"/>
                <w:lang w:val="ro-MD"/>
              </w:rPr>
              <w:t>Activit</w:t>
            </w:r>
            <w:r>
              <w:rPr>
                <w:rFonts w:cs="Times New Roman CE" w:ascii="Times New Roman CE" w:hAnsi="Times New Roman CE"/>
                <w:bCs/>
                <w:i/>
                <w:color w:val="000000"/>
                <w:sz w:val="22"/>
                <w:szCs w:val="22"/>
                <w:lang w:val="ro-MD"/>
              </w:rPr>
              <w:t>ăţ</w:t>
            </w:r>
            <w:r>
              <w:rPr>
                <w:bCs/>
                <w:i/>
                <w:color w:val="000000"/>
                <w:sz w:val="22"/>
                <w:szCs w:val="22"/>
                <w:lang w:val="ro-MD"/>
              </w:rPr>
              <w:t>i planificate</w:t>
            </w:r>
          </w:p>
        </w:tc>
        <w:tc>
          <w:tcPr>
            <w:tcW w:w="5428"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MD"/>
              </w:rPr>
            </w:pPr>
            <w:r>
              <w:rPr>
                <w:bCs/>
                <w:i/>
                <w:color w:val="000000"/>
                <w:sz w:val="22"/>
                <w:szCs w:val="22"/>
                <w:lang w:val="ro-MD"/>
              </w:rPr>
              <w:t>Activit</w:t>
            </w:r>
            <w:r>
              <w:rPr>
                <w:rFonts w:cs="Times New Roman CE" w:ascii="Times New Roman CE" w:hAnsi="Times New Roman CE"/>
                <w:bCs/>
                <w:i/>
                <w:color w:val="000000"/>
                <w:sz w:val="22"/>
                <w:szCs w:val="22"/>
                <w:lang w:val="ro-MD"/>
              </w:rPr>
              <w:t>ă</w:t>
            </w:r>
            <w:r>
              <w:rPr>
                <w:rFonts w:cs="Cambria Math" w:ascii="Cambria Math" w:hAnsi="Cambria Math"/>
                <w:bCs/>
                <w:i/>
                <w:color w:val="000000"/>
                <w:sz w:val="22"/>
                <w:szCs w:val="22"/>
                <w:lang w:val="ro-MD"/>
              </w:rPr>
              <w:t>ț</w:t>
            </w:r>
            <w:r>
              <w:rPr>
                <w:bCs/>
                <w:i/>
                <w:color w:val="000000"/>
                <w:sz w:val="22"/>
                <w:szCs w:val="22"/>
                <w:lang w:val="ro-MD"/>
              </w:rPr>
              <w:t xml:space="preserve">i realizate </w:t>
            </w:r>
            <w:r>
              <w:rPr>
                <w:rFonts w:cs="Cambria Math" w:ascii="Cambria Math" w:hAnsi="Cambria Math"/>
                <w:bCs/>
                <w:i/>
                <w:color w:val="000000"/>
                <w:sz w:val="22"/>
                <w:szCs w:val="22"/>
                <w:lang w:val="ro-MD"/>
              </w:rPr>
              <w:t>ș</w:t>
            </w:r>
            <w:r>
              <w:rPr>
                <w:bCs/>
                <w:i/>
                <w:color w:val="000000"/>
                <w:sz w:val="22"/>
                <w:szCs w:val="22"/>
                <w:lang w:val="ro-MD"/>
              </w:rPr>
              <w:t>i rezultate noi ob</w:t>
            </w:r>
            <w:r>
              <w:rPr>
                <w:rFonts w:cs="Cambria Math" w:ascii="Cambria Math" w:hAnsi="Cambria Math"/>
                <w:bCs/>
                <w:i/>
                <w:color w:val="000000"/>
                <w:sz w:val="22"/>
                <w:szCs w:val="22"/>
                <w:lang w:val="ro-MD"/>
              </w:rPr>
              <w:t>ț</w:t>
            </w:r>
            <w:r>
              <w:rPr>
                <w:bCs/>
                <w:i/>
                <w:color w:val="000000"/>
                <w:sz w:val="22"/>
                <w:szCs w:val="22"/>
                <w:lang w:val="ro-MD"/>
              </w:rPr>
              <w:t xml:space="preserve">inute </w:t>
            </w:r>
            <w:r>
              <w:rPr>
                <w:rFonts w:cs="Times New Roman CE" w:ascii="Times New Roman CE" w:hAnsi="Times New Roman CE"/>
                <w:bCs/>
                <w:i/>
                <w:color w:val="000000"/>
                <w:sz w:val="22"/>
                <w:szCs w:val="22"/>
                <w:lang w:val="ro-MD"/>
              </w:rPr>
              <w:t>î</w:t>
            </w:r>
            <w:r>
              <w:rPr>
                <w:bCs/>
                <w:i/>
                <w:color w:val="000000"/>
                <w:sz w:val="22"/>
                <w:szCs w:val="22"/>
                <w:lang w:val="ro-MD"/>
              </w:rPr>
              <w:t xml:space="preserve">n cadrul proiectului </w:t>
            </w:r>
          </w:p>
        </w:tc>
      </w:tr>
      <w:tr>
        <w:trPr/>
        <w:tc>
          <w:tcPr>
            <w:tcW w:w="1035"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MD"/>
              </w:rPr>
            </w:pPr>
            <w:r>
              <w:rPr>
                <w:i/>
                <w:color w:val="000000"/>
                <w:sz w:val="22"/>
                <w:szCs w:val="22"/>
                <w:lang w:val="ro-MD"/>
              </w:rPr>
              <w:t>1.</w:t>
            </w:r>
          </w:p>
          <w:p>
            <w:pPr>
              <w:pStyle w:val="Normal"/>
              <w:widowControl/>
              <w:bidi w:val="0"/>
              <w:ind w:left="0" w:right="0" w:hanging="0"/>
              <w:jc w:val="left"/>
              <w:textAlignment w:val="auto"/>
              <w:rPr>
                <w:rFonts w:ascii="Times New Roman" w:hAnsi="Times New Roman"/>
                <w:i/>
                <w:i/>
                <w:color w:val="000000"/>
                <w:sz w:val="22"/>
                <w:szCs w:val="22"/>
                <w:lang w:val="ro-MD"/>
              </w:rPr>
            </w:pPr>
            <w:r>
              <w:rPr>
                <w:i/>
                <w:color w:val="000000"/>
                <w:sz w:val="22"/>
                <w:szCs w:val="22"/>
                <w:lang w:val="ro-MD"/>
              </w:rPr>
            </w:r>
          </w:p>
          <w:p>
            <w:pPr>
              <w:pStyle w:val="Normal"/>
              <w:widowControl/>
              <w:bidi w:val="0"/>
              <w:ind w:left="0" w:right="0" w:hanging="0"/>
              <w:jc w:val="left"/>
              <w:textAlignment w:val="auto"/>
              <w:rPr>
                <w:rFonts w:ascii="Times New Roman" w:hAnsi="Times New Roman"/>
                <w:i/>
                <w:i/>
                <w:color w:val="000000"/>
                <w:sz w:val="22"/>
                <w:szCs w:val="22"/>
                <w:lang w:val="ro-MD"/>
              </w:rPr>
            </w:pPr>
            <w:r>
              <w:rPr>
                <w:i/>
                <w:color w:val="000000"/>
                <w:sz w:val="22"/>
                <w:szCs w:val="22"/>
                <w:lang w:val="ro-MD"/>
              </w:rPr>
            </w:r>
          </w:p>
          <w:p>
            <w:pPr>
              <w:pStyle w:val="Normal"/>
              <w:widowControl/>
              <w:bidi w:val="0"/>
              <w:ind w:left="0" w:right="0" w:hanging="0"/>
              <w:jc w:val="left"/>
              <w:textAlignment w:val="auto"/>
              <w:rPr>
                <w:rFonts w:ascii="Times New Roman" w:hAnsi="Times New Roman"/>
                <w:i/>
                <w:i/>
                <w:color w:val="000000"/>
                <w:sz w:val="22"/>
                <w:szCs w:val="22"/>
                <w:lang w:val="ro-MD"/>
              </w:rPr>
            </w:pPr>
            <w:r>
              <w:rPr>
                <w:i/>
                <w:color w:val="000000"/>
                <w:sz w:val="22"/>
                <w:szCs w:val="22"/>
                <w:lang w:val="ro-MD"/>
              </w:rPr>
            </w:r>
          </w:p>
          <w:p>
            <w:pPr>
              <w:pStyle w:val="Normal"/>
              <w:widowControl/>
              <w:bidi w:val="0"/>
              <w:ind w:left="0" w:right="0" w:hanging="0"/>
              <w:jc w:val="left"/>
              <w:textAlignment w:val="auto"/>
              <w:rPr>
                <w:rFonts w:ascii="Times New Roman" w:hAnsi="Times New Roman"/>
                <w:i/>
                <w:i/>
                <w:color w:val="000000"/>
                <w:sz w:val="22"/>
                <w:szCs w:val="22"/>
                <w:lang w:val="ro-MD"/>
              </w:rPr>
            </w:pPr>
            <w:r>
              <w:rPr>
                <w:i/>
                <w:color w:val="000000"/>
                <w:sz w:val="22"/>
                <w:szCs w:val="22"/>
                <w:lang w:val="ro-MD"/>
              </w:rPr>
            </w:r>
          </w:p>
          <w:p>
            <w:pPr>
              <w:pStyle w:val="Normal"/>
              <w:widowControl/>
              <w:bidi w:val="0"/>
              <w:ind w:left="0" w:right="0" w:hanging="0"/>
              <w:jc w:val="left"/>
              <w:textAlignment w:val="auto"/>
              <w:rPr>
                <w:rFonts w:ascii="Times New Roman" w:hAnsi="Times New Roman"/>
                <w:i/>
                <w:i/>
                <w:color w:val="000000"/>
                <w:sz w:val="22"/>
                <w:szCs w:val="22"/>
                <w:lang w:val="ro-MD"/>
              </w:rPr>
            </w:pPr>
            <w:r>
              <w:rPr>
                <w:i/>
                <w:color w:val="000000"/>
                <w:sz w:val="22"/>
                <w:szCs w:val="22"/>
                <w:lang w:val="ro-MD"/>
              </w:rPr>
            </w:r>
          </w:p>
          <w:p>
            <w:pPr>
              <w:pStyle w:val="Normal"/>
              <w:widowControl/>
              <w:bidi w:val="0"/>
              <w:ind w:left="0" w:right="0" w:hanging="0"/>
              <w:jc w:val="left"/>
              <w:textAlignment w:val="auto"/>
              <w:rPr>
                <w:rFonts w:ascii="Times New Roman" w:hAnsi="Times New Roman"/>
                <w:i/>
                <w:i/>
                <w:color w:val="000000"/>
                <w:sz w:val="22"/>
                <w:szCs w:val="22"/>
                <w:lang w:val="ro-MD"/>
              </w:rPr>
            </w:pPr>
            <w:r>
              <w:rPr>
                <w:i/>
                <w:color w:val="000000"/>
                <w:sz w:val="22"/>
                <w:szCs w:val="22"/>
                <w:lang w:val="ro-MD"/>
              </w:rPr>
            </w:r>
          </w:p>
          <w:p>
            <w:pPr>
              <w:pStyle w:val="Normal"/>
              <w:widowControl/>
              <w:bidi w:val="0"/>
              <w:ind w:left="0" w:right="0" w:hanging="0"/>
              <w:jc w:val="left"/>
              <w:textAlignment w:val="auto"/>
              <w:rPr>
                <w:rFonts w:ascii="Times New Roman" w:hAnsi="Times New Roman"/>
                <w:i/>
                <w:i/>
                <w:color w:val="000000"/>
                <w:sz w:val="22"/>
                <w:szCs w:val="22"/>
                <w:lang w:val="ro-MD"/>
              </w:rPr>
            </w:pPr>
            <w:r>
              <w:rPr>
                <w:i/>
                <w:color w:val="000000"/>
                <w:sz w:val="22"/>
                <w:szCs w:val="22"/>
                <w:lang w:val="ro-MD"/>
              </w:rPr>
            </w:r>
          </w:p>
          <w:p>
            <w:pPr>
              <w:pStyle w:val="Normal"/>
              <w:widowControl/>
              <w:bidi w:val="0"/>
              <w:ind w:left="0" w:right="0" w:hanging="0"/>
              <w:jc w:val="left"/>
              <w:textAlignment w:val="auto"/>
              <w:rPr>
                <w:lang w:val="ro-MD"/>
              </w:rPr>
            </w:pPr>
            <w:r>
              <w:rPr>
                <w:i/>
                <w:color w:val="000000"/>
                <w:sz w:val="22"/>
                <w:szCs w:val="22"/>
                <w:lang w:val="ro-MD"/>
              </w:rPr>
              <w:t>2.</w:t>
            </w:r>
          </w:p>
        </w:tc>
        <w:tc>
          <w:tcPr>
            <w:tcW w:w="3311"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MD"/>
              </w:rPr>
            </w:pPr>
            <w:r>
              <w:rPr>
                <w:i/>
                <w:sz w:val="22"/>
                <w:szCs w:val="22"/>
                <w:lang w:val="ro-MD"/>
              </w:rPr>
              <w:t>Abordarea conceptului teoriei jocurilo</w:t>
            </w:r>
            <w:r>
              <w:rPr>
                <w:rFonts w:cs="Times New Roman CE" w:ascii="Times New Roman CE" w:hAnsi="Times New Roman CE"/>
                <w:i/>
                <w:sz w:val="22"/>
                <w:szCs w:val="22"/>
                <w:lang w:val="ro-MD"/>
              </w:rPr>
              <w:t>r pentru problemele Markov decizionale şi  aflarea strategiilor optime sta</w:t>
            </w:r>
            <w:r>
              <w:rPr>
                <w:rFonts w:cs="Times New Roman CE" w:ascii="Times New Roman CE" w:hAnsi="Times New Roman CE"/>
                <w:bCs/>
                <w:i/>
                <w:color w:val="000000"/>
                <w:sz w:val="22"/>
                <w:szCs w:val="22"/>
                <w:lang w:val="ro-MD"/>
              </w:rPr>
              <w:t>ţ</w:t>
            </w:r>
            <w:r>
              <w:rPr>
                <w:i/>
                <w:sz w:val="22"/>
                <w:szCs w:val="22"/>
                <w:lang w:val="ro-MD"/>
              </w:rPr>
              <w:t>ionare ale</w:t>
            </w:r>
            <w:r>
              <w:rPr>
                <w:rFonts w:cs="Times New Roman CE" w:ascii="Times New Roman CE" w:hAnsi="Times New Roman CE"/>
                <w:i/>
                <w:sz w:val="22"/>
                <w:szCs w:val="22"/>
                <w:lang w:val="ro-MD"/>
              </w:rPr>
              <w:t xml:space="preserve"> jucătorilor în jocurile pozi</w:t>
            </w:r>
            <w:r>
              <w:rPr>
                <w:rFonts w:cs="Times New Roman CE" w:ascii="Times New Roman CE" w:hAnsi="Times New Roman CE"/>
                <w:bCs/>
                <w:i/>
                <w:color w:val="000000"/>
                <w:sz w:val="22"/>
                <w:szCs w:val="22"/>
                <w:lang w:val="ro-MD"/>
              </w:rPr>
              <w:t>ţ</w:t>
            </w:r>
            <w:r>
              <w:rPr>
                <w:i/>
                <w:sz w:val="22"/>
                <w:szCs w:val="22"/>
                <w:lang w:val="ro-MD"/>
              </w:rPr>
              <w:t>ionale stocastice</w:t>
            </w:r>
            <w:r>
              <w:rPr>
                <w:i/>
                <w:color w:val="000000"/>
                <w:sz w:val="22"/>
                <w:szCs w:val="22"/>
                <w:lang w:val="it-IT"/>
              </w:rPr>
              <w:t xml:space="preserve"> </w:t>
            </w:r>
          </w:p>
          <w:p>
            <w:pPr>
              <w:pStyle w:val="Normal"/>
              <w:widowControl/>
              <w:bidi w:val="0"/>
              <w:ind w:left="0" w:right="0" w:hanging="0"/>
              <w:jc w:val="left"/>
              <w:textAlignment w:val="auto"/>
              <w:rPr>
                <w:rFonts w:ascii="Times New Roman" w:hAnsi="Times New Roman"/>
                <w:i/>
                <w:i/>
                <w:color w:val="000000"/>
                <w:sz w:val="22"/>
                <w:szCs w:val="22"/>
                <w:lang w:val="it-IT"/>
              </w:rPr>
            </w:pPr>
            <w:r>
              <w:rPr>
                <w:i/>
                <w:color w:val="000000"/>
                <w:sz w:val="22"/>
                <w:szCs w:val="22"/>
                <w:lang w:val="it-IT"/>
              </w:rPr>
            </w:r>
          </w:p>
          <w:p>
            <w:pPr>
              <w:pStyle w:val="Normal"/>
              <w:widowControl/>
              <w:bidi w:val="0"/>
              <w:ind w:left="0" w:right="0" w:hanging="0"/>
              <w:jc w:val="left"/>
              <w:textAlignment w:val="auto"/>
              <w:rPr>
                <w:rFonts w:ascii="Times New Roman" w:hAnsi="Times New Roman"/>
                <w:i/>
                <w:i/>
                <w:color w:val="000000"/>
                <w:sz w:val="22"/>
                <w:szCs w:val="22"/>
                <w:lang w:val="it-IT"/>
              </w:rPr>
            </w:pPr>
            <w:r>
              <w:rPr>
                <w:i/>
                <w:color w:val="000000"/>
                <w:sz w:val="22"/>
                <w:szCs w:val="22"/>
                <w:lang w:val="it-IT"/>
              </w:rPr>
            </w:r>
          </w:p>
          <w:p>
            <w:pPr>
              <w:pStyle w:val="Normal"/>
              <w:widowControl/>
              <w:shd w:fill="FFFFFF"/>
              <w:bidi w:val="0"/>
              <w:ind w:left="0" w:right="0" w:hanging="0"/>
              <w:jc w:val="left"/>
              <w:textAlignment w:val="auto"/>
              <w:rPr>
                <w:rFonts w:ascii="Times New Roman" w:hAnsi="Times New Roman"/>
                <w:i/>
                <w:i/>
                <w:sz w:val="22"/>
                <w:szCs w:val="22"/>
                <w:lang w:val="ro-MD"/>
              </w:rPr>
            </w:pPr>
            <w:r>
              <w:rPr>
                <w:i/>
                <w:sz w:val="22"/>
                <w:szCs w:val="22"/>
                <w:lang w:val="ro-MD"/>
              </w:rPr>
            </w:r>
          </w:p>
          <w:p>
            <w:pPr>
              <w:pStyle w:val="Normal"/>
              <w:widowControl/>
              <w:shd w:fill="FFFFFF"/>
              <w:bidi w:val="0"/>
              <w:ind w:left="0" w:right="0" w:hanging="0"/>
              <w:jc w:val="left"/>
              <w:textAlignment w:val="auto"/>
              <w:rPr>
                <w:lang w:val="ro-MD"/>
              </w:rPr>
            </w:pPr>
            <w:r>
              <w:rPr>
                <w:rFonts w:cs="Times New Roman CE" w:ascii="Times New Roman CE" w:hAnsi="Times New Roman CE"/>
                <w:i/>
                <w:sz w:val="22"/>
                <w:szCs w:val="22"/>
                <w:lang w:val="ro-MD"/>
              </w:rPr>
              <w:t>a) Elaborarea algoritmilor şi softului respectiv pentru aflarea strategiilor optime a</w:t>
            </w:r>
            <w:r>
              <w:rPr>
                <w:i/>
                <w:sz w:val="22"/>
                <w:szCs w:val="22"/>
                <w:lang w:val="ro-MD"/>
              </w:rPr>
              <w:t>le</w:t>
            </w:r>
            <w:r>
              <w:rPr>
                <w:rFonts w:cs="Times New Roman CE" w:ascii="Times New Roman CE" w:hAnsi="Times New Roman CE"/>
                <w:i/>
                <w:sz w:val="22"/>
                <w:szCs w:val="22"/>
                <w:lang w:val="ro-MD"/>
              </w:rPr>
              <w:t xml:space="preserve"> jucătorilor în jocurile pozi</w:t>
            </w:r>
            <w:r>
              <w:rPr>
                <w:rFonts w:cs="Times New Roman CE" w:ascii="Times New Roman CE" w:hAnsi="Times New Roman CE"/>
                <w:bCs/>
                <w:i/>
                <w:color w:val="000000"/>
                <w:sz w:val="22"/>
                <w:szCs w:val="22"/>
                <w:lang w:val="ro-MD"/>
              </w:rPr>
              <w:t>ţ</w:t>
            </w:r>
            <w:r>
              <w:rPr>
                <w:i/>
                <w:sz w:val="22"/>
                <w:szCs w:val="22"/>
                <w:lang w:val="ro-MD"/>
              </w:rPr>
              <w:t xml:space="preserve">ionale </w:t>
            </w:r>
            <w:r>
              <w:rPr>
                <w:i/>
                <w:sz w:val="22"/>
                <w:szCs w:val="22"/>
                <w:lang w:val="es-ES"/>
              </w:rPr>
              <w:t xml:space="preserve">stocastice. </w:t>
            </w:r>
          </w:p>
          <w:p>
            <w:pPr>
              <w:pStyle w:val="Normal"/>
              <w:widowControl/>
              <w:bidi w:val="0"/>
              <w:ind w:left="0" w:right="0" w:hanging="0"/>
              <w:jc w:val="left"/>
              <w:textAlignment w:val="auto"/>
              <w:rPr>
                <w:rFonts w:ascii="Times New Roman" w:hAnsi="Times New Roman"/>
                <w:i/>
                <w:i/>
                <w:color w:val="000000"/>
                <w:sz w:val="22"/>
                <w:szCs w:val="22"/>
                <w:lang w:val="it-IT"/>
              </w:rPr>
            </w:pPr>
            <w:r>
              <w:rPr>
                <w:i/>
                <w:color w:val="000000"/>
                <w:sz w:val="22"/>
                <w:szCs w:val="22"/>
                <w:lang w:val="it-IT"/>
              </w:rPr>
            </w:r>
          </w:p>
          <w:p>
            <w:pPr>
              <w:pStyle w:val="Normal"/>
              <w:widowControl/>
              <w:bidi w:val="0"/>
              <w:ind w:left="0" w:right="0" w:hanging="0"/>
              <w:jc w:val="both"/>
              <w:textAlignment w:val="auto"/>
              <w:rPr>
                <w:rFonts w:ascii="Times New Roman" w:hAnsi="Times New Roman"/>
                <w:i/>
                <w:i/>
                <w:sz w:val="22"/>
                <w:szCs w:val="22"/>
                <w:lang w:val="es-ES"/>
              </w:rPr>
            </w:pPr>
            <w:r>
              <w:rPr>
                <w:i/>
                <w:sz w:val="22"/>
                <w:szCs w:val="22"/>
                <w:lang w:val="es-ES"/>
              </w:rPr>
            </w:r>
          </w:p>
          <w:p>
            <w:pPr>
              <w:pStyle w:val="Normal"/>
              <w:widowControl/>
              <w:bidi w:val="0"/>
              <w:ind w:left="0" w:right="0" w:hanging="0"/>
              <w:jc w:val="both"/>
              <w:textAlignment w:val="auto"/>
              <w:rPr>
                <w:lang w:val="es-ES"/>
              </w:rPr>
            </w:pPr>
            <w:r>
              <w:rPr>
                <w:i/>
                <w:sz w:val="22"/>
                <w:szCs w:val="22"/>
                <w:lang w:val="es-ES"/>
              </w:rPr>
              <w:t xml:space="preserve">b) Utilizarea problemelor stocastice  de control, proceselor Markov decizionale </w:t>
            </w:r>
            <w:r>
              <w:rPr>
                <w:rFonts w:cs="Times New Roman CE" w:ascii="Times New Roman CE" w:hAnsi="Times New Roman CE"/>
                <w:i/>
                <w:sz w:val="22"/>
                <w:szCs w:val="22"/>
                <w:lang w:val="ro-MD"/>
              </w:rPr>
              <w:t>ş</w:t>
            </w:r>
            <w:r>
              <w:rPr>
                <w:i/>
                <w:sz w:val="22"/>
                <w:szCs w:val="22"/>
                <w:lang w:val="es-ES"/>
              </w:rPr>
              <w:t>i  jocurilor pozi</w:t>
            </w:r>
            <w:r>
              <w:rPr>
                <w:rFonts w:cs="Times New Roman CE" w:ascii="Times New Roman CE" w:hAnsi="Times New Roman CE"/>
                <w:bCs/>
                <w:i/>
                <w:color w:val="000000"/>
                <w:sz w:val="22"/>
                <w:szCs w:val="22"/>
                <w:lang w:val="ro-MD"/>
              </w:rPr>
              <w:t>ţ</w:t>
            </w:r>
            <w:r>
              <w:rPr>
                <w:i/>
                <w:sz w:val="22"/>
                <w:szCs w:val="22"/>
                <w:lang w:val="es-ES"/>
              </w:rPr>
              <w:t xml:space="preserve">ionale pentru cercetarea </w:t>
            </w:r>
            <w:r>
              <w:rPr>
                <w:rFonts w:cs="Times New Roman CE" w:ascii="Times New Roman CE" w:hAnsi="Times New Roman CE"/>
                <w:i/>
                <w:sz w:val="22"/>
                <w:szCs w:val="22"/>
                <w:lang w:val="ro-MD"/>
              </w:rPr>
              <w:t>ş</w:t>
            </w:r>
            <w:r>
              <w:rPr>
                <w:i/>
                <w:sz w:val="22"/>
                <w:szCs w:val="22"/>
                <w:lang w:val="es-ES"/>
              </w:rPr>
              <w:t>i solu</w:t>
            </w:r>
            <w:r>
              <w:rPr>
                <w:rFonts w:cs="Times New Roman CE" w:ascii="Times New Roman CE" w:hAnsi="Times New Roman CE"/>
                <w:bCs/>
                <w:i/>
                <w:color w:val="000000"/>
                <w:sz w:val="22"/>
                <w:szCs w:val="22"/>
                <w:lang w:val="ro-MD"/>
              </w:rPr>
              <w:t>ţ</w:t>
            </w:r>
            <w:r>
              <w:rPr>
                <w:i/>
                <w:sz w:val="22"/>
                <w:szCs w:val="22"/>
                <w:lang w:val="es-ES"/>
              </w:rPr>
              <w:t>ionarea problemelor de cre</w:t>
            </w:r>
            <w:r>
              <w:rPr>
                <w:rFonts w:cs="Times New Roman CE" w:ascii="Times New Roman CE" w:hAnsi="Times New Roman CE"/>
                <w:i/>
                <w:sz w:val="22"/>
                <w:szCs w:val="22"/>
                <w:lang w:val="ro-MD"/>
              </w:rPr>
              <w:t>ş</w:t>
            </w:r>
            <w:r>
              <w:rPr>
                <w:i/>
                <w:sz w:val="22"/>
                <w:szCs w:val="22"/>
                <w:lang w:val="es-ES"/>
              </w:rPr>
              <w:t>tere economic</w:t>
            </w:r>
            <w:r>
              <w:rPr>
                <w:rFonts w:cs="Times New Roman CE" w:ascii="Times New Roman CE" w:hAnsi="Times New Roman CE"/>
                <w:i/>
                <w:sz w:val="22"/>
                <w:szCs w:val="22"/>
                <w:lang w:val="es-ES"/>
              </w:rPr>
              <w:t>ă</w:t>
            </w:r>
            <w:r>
              <w:rPr>
                <w:i/>
                <w:sz w:val="22"/>
                <w:szCs w:val="22"/>
                <w:lang w:val="es-ES"/>
              </w:rPr>
              <w:t xml:space="preserve"> </w:t>
            </w:r>
            <w:r>
              <w:rPr>
                <w:rFonts w:cs="Times New Roman CE" w:ascii="Times New Roman CE" w:hAnsi="Times New Roman CE"/>
                <w:i/>
                <w:sz w:val="22"/>
                <w:szCs w:val="22"/>
                <w:lang w:val="ro-MD"/>
              </w:rPr>
              <w:t>ş</w:t>
            </w:r>
            <w:r>
              <w:rPr>
                <w:i/>
                <w:sz w:val="22"/>
                <w:szCs w:val="22"/>
                <w:lang w:val="es-ES"/>
              </w:rPr>
              <w:t>i a jocurilor de tip Shepley.</w:t>
            </w:r>
          </w:p>
        </w:tc>
        <w:tc>
          <w:tcPr>
            <w:tcW w:w="5428"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
                <w:sz w:val="22"/>
                <w:szCs w:val="22"/>
                <w:lang w:val="ro-RO"/>
              </w:rPr>
              <w:t xml:space="preserve">În baza conceptului teoriei jocurilor şi a proceselor Markov decizionale au fost formulate </w:t>
            </w:r>
            <w:r>
              <w:rPr>
                <w:rFonts w:cs="Times New Roman CE" w:ascii="Times New Roman CE" w:hAnsi="Times New Roman CE"/>
                <w:i/>
                <w:sz w:val="22"/>
                <w:szCs w:val="22"/>
                <w:lang w:val="ro-MD"/>
              </w:rPr>
              <w:t>ş</w:t>
            </w:r>
            <w:r>
              <w:rPr>
                <w:i/>
                <w:sz w:val="22"/>
                <w:szCs w:val="22"/>
                <w:lang w:val="ro-RO"/>
              </w:rPr>
              <w:t>i cercetate jocurile stocastice pozi</w:t>
            </w:r>
            <w:r>
              <w:rPr>
                <w:rFonts w:cs="Tahoma" w:ascii="Tahoma" w:hAnsi="Tahoma"/>
                <w:i/>
                <w:sz w:val="22"/>
                <w:szCs w:val="22"/>
                <w:lang w:val="ro-RO"/>
              </w:rPr>
              <w:t>ț</w:t>
            </w:r>
            <w:r>
              <w:rPr>
                <w:i/>
                <w:sz w:val="22"/>
                <w:szCs w:val="22"/>
                <w:lang w:val="ro-RO"/>
              </w:rPr>
              <w:t xml:space="preserve">ionale </w:t>
            </w:r>
            <w:r>
              <w:rPr>
                <w:rFonts w:cs="Times New Roman CE" w:ascii="Times New Roman CE" w:hAnsi="Times New Roman CE"/>
                <w:i/>
                <w:sz w:val="22"/>
                <w:szCs w:val="22"/>
                <w:lang w:val="ro-MD"/>
              </w:rPr>
              <w:t>ş</w:t>
            </w:r>
            <w:r>
              <w:rPr>
                <w:i/>
                <w:sz w:val="22"/>
                <w:szCs w:val="22"/>
                <w:lang w:val="ro-RO"/>
              </w:rPr>
              <w:t xml:space="preserve">i variantele de joc ale </w:t>
            </w:r>
            <w:r>
              <w:rPr>
                <w:rFonts w:cs="Times New Roman CE" w:ascii="Times New Roman CE" w:hAnsi="Times New Roman CE"/>
                <w:i/>
                <w:sz w:val="22"/>
                <w:szCs w:val="22"/>
                <w:lang w:val="ro-RO"/>
              </w:rPr>
              <w:t xml:space="preserve"> problemelor stocastice de control. S-au cercetat proprietă</w:t>
            </w:r>
            <w:r>
              <w:rPr>
                <w:rFonts w:cs="Times New Roman CE" w:ascii="Times New Roman CE" w:hAnsi="Times New Roman CE"/>
                <w:bCs/>
                <w:i/>
                <w:color w:val="000000"/>
                <w:sz w:val="22"/>
                <w:szCs w:val="22"/>
                <w:lang w:val="ro-MD"/>
              </w:rPr>
              <w:t>ţ</w:t>
            </w:r>
            <w:r>
              <w:rPr>
                <w:rFonts w:cs="Times New Roman CE" w:ascii="Times New Roman CE" w:hAnsi="Times New Roman CE"/>
                <w:i/>
                <w:sz w:val="22"/>
                <w:szCs w:val="22"/>
                <w:lang w:val="ro-RO"/>
              </w:rPr>
              <w:t>ile de bază a</w:t>
            </w:r>
            <w:r>
              <w:rPr>
                <w:i/>
                <w:sz w:val="22"/>
                <w:szCs w:val="22"/>
                <w:lang w:val="ro-RO"/>
              </w:rPr>
              <w:t xml:space="preserve">le  acestor modele </w:t>
            </w:r>
            <w:r>
              <w:rPr>
                <w:rFonts w:cs="Times New Roman CE" w:ascii="Times New Roman CE" w:hAnsi="Times New Roman CE"/>
                <w:i/>
                <w:sz w:val="22"/>
                <w:szCs w:val="22"/>
                <w:lang w:val="ro-MD"/>
              </w:rPr>
              <w:t>ş</w:t>
            </w:r>
            <w:r>
              <w:rPr>
                <w:i/>
                <w:sz w:val="22"/>
                <w:szCs w:val="22"/>
                <w:lang w:val="ro-RO"/>
              </w:rPr>
              <w:t>i s-au ob</w:t>
            </w:r>
            <w:r>
              <w:rPr>
                <w:rFonts w:cs="Times New Roman CE" w:ascii="Times New Roman CE" w:hAnsi="Times New Roman CE"/>
                <w:bCs/>
                <w:i/>
                <w:color w:val="000000"/>
                <w:sz w:val="22"/>
                <w:szCs w:val="22"/>
                <w:lang w:val="ro-MD"/>
              </w:rPr>
              <w:t>ţ</w:t>
            </w:r>
            <w:r>
              <w:rPr>
                <w:i/>
                <w:sz w:val="22"/>
                <w:szCs w:val="22"/>
                <w:lang w:val="ro-RO"/>
              </w:rPr>
              <w:t>inut rezultate referitor la existen</w:t>
            </w:r>
            <w:r>
              <w:rPr>
                <w:rFonts w:cs="Times New Roman CE" w:ascii="Times New Roman CE" w:hAnsi="Times New Roman CE"/>
                <w:bCs/>
                <w:i/>
                <w:color w:val="000000"/>
                <w:sz w:val="22"/>
                <w:szCs w:val="22"/>
                <w:lang w:val="ro-MD"/>
              </w:rPr>
              <w:t>ţ</w:t>
            </w:r>
            <w:r>
              <w:rPr>
                <w:i/>
                <w:sz w:val="22"/>
                <w:szCs w:val="22"/>
                <w:lang w:val="ro-RO"/>
              </w:rPr>
              <w:t>a echilibrului Nash sta</w:t>
            </w:r>
            <w:r>
              <w:rPr>
                <w:rFonts w:cs="Times New Roman CE" w:ascii="Times New Roman CE" w:hAnsi="Times New Roman CE"/>
                <w:bCs/>
                <w:i/>
                <w:color w:val="000000"/>
                <w:sz w:val="22"/>
                <w:szCs w:val="22"/>
                <w:lang w:val="ro-MD"/>
              </w:rPr>
              <w:t>ţ</w:t>
            </w:r>
            <w:r>
              <w:rPr>
                <w:i/>
                <w:sz w:val="22"/>
                <w:szCs w:val="22"/>
                <w:lang w:val="ro-RO"/>
              </w:rPr>
              <w:t xml:space="preserve">ionar </w:t>
            </w:r>
            <w:r>
              <w:rPr>
                <w:rFonts w:cs="Times New Roman CE" w:ascii="Times New Roman CE" w:hAnsi="Times New Roman CE"/>
                <w:i/>
                <w:sz w:val="22"/>
                <w:szCs w:val="22"/>
                <w:lang w:val="ro-MD"/>
              </w:rPr>
              <w:t>ş</w:t>
            </w:r>
            <w:r>
              <w:rPr>
                <w:i/>
                <w:sz w:val="22"/>
                <w:szCs w:val="22"/>
                <w:lang w:val="ro-RO"/>
              </w:rPr>
              <w:t>i a strategiilor optime sta</w:t>
            </w:r>
            <w:r>
              <w:rPr>
                <w:rFonts w:cs="Times New Roman CE" w:ascii="Times New Roman CE" w:hAnsi="Times New Roman CE"/>
                <w:bCs/>
                <w:i/>
                <w:color w:val="000000"/>
                <w:sz w:val="22"/>
                <w:szCs w:val="22"/>
                <w:lang w:val="ro-MD"/>
              </w:rPr>
              <w:t>ţ</w:t>
            </w:r>
            <w:r>
              <w:rPr>
                <w:i/>
                <w:sz w:val="22"/>
                <w:szCs w:val="22"/>
                <w:lang w:val="ro-RO"/>
              </w:rPr>
              <w:t>ionare.</w:t>
            </w:r>
          </w:p>
          <w:p>
            <w:pPr>
              <w:pStyle w:val="Normal"/>
              <w:widowControl/>
              <w:bidi w:val="0"/>
              <w:ind w:left="0" w:right="0" w:hanging="0"/>
              <w:jc w:val="left"/>
              <w:textAlignment w:val="auto"/>
              <w:rPr>
                <w:rFonts w:ascii="Times New Roman" w:hAnsi="Times New Roman"/>
                <w:i/>
                <w:i/>
                <w:sz w:val="22"/>
                <w:szCs w:val="22"/>
                <w:lang w:val="ro-RO"/>
              </w:rPr>
            </w:pPr>
            <w:r>
              <w:rPr>
                <w:i/>
                <w:sz w:val="22"/>
                <w:szCs w:val="22"/>
                <w:lang w:val="ro-RO"/>
              </w:rPr>
            </w:r>
          </w:p>
          <w:p>
            <w:pPr>
              <w:pStyle w:val="Normal"/>
              <w:widowControl/>
              <w:bidi w:val="0"/>
              <w:ind w:left="0" w:right="0" w:hanging="0"/>
              <w:jc w:val="left"/>
              <w:textAlignment w:val="auto"/>
              <w:rPr/>
            </w:pPr>
            <w:r>
              <w:rPr>
                <w:i/>
                <w:sz w:val="22"/>
                <w:szCs w:val="22"/>
                <w:lang w:val="ro-RO"/>
              </w:rPr>
              <w:t xml:space="preserve">S-au elaborat noi metode </w:t>
            </w:r>
            <w:r>
              <w:rPr>
                <w:rFonts w:cs="Times New Roman CE" w:ascii="Times New Roman CE" w:hAnsi="Times New Roman CE"/>
                <w:i/>
                <w:sz w:val="22"/>
                <w:szCs w:val="22"/>
                <w:lang w:val="ro-MD"/>
              </w:rPr>
              <w:t>ş</w:t>
            </w:r>
            <w:r>
              <w:rPr>
                <w:i/>
                <w:sz w:val="22"/>
                <w:szCs w:val="22"/>
                <w:lang w:val="ro-RO"/>
              </w:rPr>
              <w:t>i algoritmi numerici pentru aflarea echilibrului Nash sta</w:t>
            </w:r>
            <w:r>
              <w:rPr>
                <w:rFonts w:cs="Times New Roman CE" w:ascii="Times New Roman CE" w:hAnsi="Times New Roman CE"/>
                <w:bCs/>
                <w:i/>
                <w:color w:val="000000"/>
                <w:sz w:val="22"/>
                <w:szCs w:val="22"/>
                <w:lang w:val="ro-MD"/>
              </w:rPr>
              <w:t>ţ</w:t>
            </w:r>
            <w:r>
              <w:rPr>
                <w:i/>
                <w:sz w:val="22"/>
                <w:szCs w:val="22"/>
                <w:lang w:val="ro-RO"/>
              </w:rPr>
              <w:t xml:space="preserve">ionar </w:t>
            </w:r>
            <w:r>
              <w:rPr>
                <w:rFonts w:cs="Times New Roman CE" w:ascii="Times New Roman CE" w:hAnsi="Times New Roman CE"/>
                <w:i/>
                <w:sz w:val="22"/>
                <w:szCs w:val="22"/>
                <w:lang w:val="ro-MD"/>
              </w:rPr>
              <w:t>ş</w:t>
            </w:r>
            <w:r>
              <w:rPr>
                <w:i/>
                <w:sz w:val="22"/>
                <w:szCs w:val="22"/>
                <w:lang w:val="ro-RO"/>
              </w:rPr>
              <w:t>i a strategiilor optime sta</w:t>
            </w:r>
            <w:r>
              <w:rPr>
                <w:rFonts w:cs="Times New Roman CE" w:ascii="Times New Roman CE" w:hAnsi="Times New Roman CE"/>
                <w:bCs/>
                <w:i/>
                <w:color w:val="000000"/>
                <w:sz w:val="22"/>
                <w:szCs w:val="22"/>
                <w:lang w:val="ro-MD"/>
              </w:rPr>
              <w:t>ţ</w:t>
            </w:r>
            <w:r>
              <w:rPr>
                <w:i/>
                <w:sz w:val="22"/>
                <w:szCs w:val="22"/>
                <w:lang w:val="ro-RO"/>
              </w:rPr>
              <w:t xml:space="preserve">ionare ale </w:t>
            </w:r>
            <w:r>
              <w:rPr>
                <w:rFonts w:cs="Times New Roman CE" w:ascii="Times New Roman CE" w:hAnsi="Times New Roman CE"/>
                <w:i/>
                <w:sz w:val="22"/>
                <w:szCs w:val="22"/>
                <w:lang w:val="ro-RO"/>
              </w:rPr>
              <w:t xml:space="preserve"> jucătorilor în jocurile stocastice pozi</w:t>
            </w:r>
            <w:r>
              <w:rPr>
                <w:rFonts w:cs="Times New Roman CE" w:ascii="Times New Roman CE" w:hAnsi="Times New Roman CE"/>
                <w:bCs/>
                <w:i/>
                <w:color w:val="000000"/>
                <w:sz w:val="22"/>
                <w:szCs w:val="22"/>
                <w:lang w:val="ro-MD"/>
              </w:rPr>
              <w:t>ţ</w:t>
            </w:r>
            <w:r>
              <w:rPr>
                <w:i/>
                <w:sz w:val="22"/>
                <w:szCs w:val="22"/>
                <w:lang w:val="ro-RO"/>
              </w:rPr>
              <w:t>ionale. Algoritmii elabora</w:t>
            </w:r>
            <w:r>
              <w:rPr>
                <w:rFonts w:cs="Times New Roman CE" w:ascii="Times New Roman CE" w:hAnsi="Times New Roman CE"/>
                <w:bCs/>
                <w:i/>
                <w:color w:val="000000"/>
                <w:sz w:val="22"/>
                <w:szCs w:val="22"/>
                <w:lang w:val="ro-MD"/>
              </w:rPr>
              <w:t>ţ</w:t>
            </w:r>
            <w:r>
              <w:rPr>
                <w:i/>
                <w:sz w:val="22"/>
                <w:szCs w:val="22"/>
                <w:lang w:val="ro-RO"/>
              </w:rPr>
              <w:t>i au fost testa</w:t>
            </w:r>
            <w:r>
              <w:rPr>
                <w:rFonts w:cs="Times New Roman CE" w:ascii="Times New Roman CE" w:hAnsi="Times New Roman CE"/>
                <w:bCs/>
                <w:i/>
                <w:color w:val="000000"/>
                <w:sz w:val="22"/>
                <w:szCs w:val="22"/>
                <w:lang w:val="ro-MD"/>
              </w:rPr>
              <w:t>ţ</w:t>
            </w:r>
            <w:r>
              <w:rPr>
                <w:i/>
                <w:sz w:val="22"/>
                <w:szCs w:val="22"/>
                <w:lang w:val="ro-RO"/>
              </w:rPr>
              <w:t xml:space="preserve">i </w:t>
            </w:r>
            <w:r>
              <w:rPr>
                <w:rFonts w:cs="Times New Roman CE" w:ascii="Times New Roman CE" w:hAnsi="Times New Roman CE"/>
                <w:i/>
                <w:sz w:val="22"/>
                <w:szCs w:val="22"/>
                <w:lang w:val="ro-MD"/>
              </w:rPr>
              <w:t>ş</w:t>
            </w:r>
            <w:r>
              <w:rPr>
                <w:i/>
                <w:sz w:val="22"/>
                <w:szCs w:val="22"/>
                <w:lang w:val="ro-RO"/>
              </w:rPr>
              <w:t>i realiza</w:t>
            </w:r>
            <w:r>
              <w:rPr>
                <w:rFonts w:cs="Times New Roman CE" w:ascii="Times New Roman CE" w:hAnsi="Times New Roman CE"/>
                <w:bCs/>
                <w:i/>
                <w:color w:val="000000"/>
                <w:sz w:val="22"/>
                <w:szCs w:val="22"/>
                <w:lang w:val="ro-MD"/>
              </w:rPr>
              <w:t>ţ</w:t>
            </w:r>
            <w:r>
              <w:rPr>
                <w:rFonts w:cs="Times New Roman CE" w:ascii="Times New Roman CE" w:hAnsi="Times New Roman CE"/>
                <w:i/>
                <w:sz w:val="22"/>
                <w:szCs w:val="22"/>
                <w:lang w:val="ro-RO"/>
              </w:rPr>
              <w:t>i în formă</w:t>
            </w:r>
            <w:r>
              <w:rPr>
                <w:i/>
                <w:sz w:val="22"/>
                <w:szCs w:val="22"/>
                <w:lang w:val="ro-RO"/>
              </w:rPr>
              <w:t xml:space="preserve"> de soft.</w:t>
            </w:r>
          </w:p>
          <w:p>
            <w:pPr>
              <w:pStyle w:val="Normal"/>
              <w:widowControl/>
              <w:bidi w:val="0"/>
              <w:ind w:left="0" w:right="0" w:hanging="0"/>
              <w:jc w:val="left"/>
              <w:textAlignment w:val="auto"/>
              <w:rPr>
                <w:rFonts w:ascii="Times New Roman" w:hAnsi="Times New Roman"/>
                <w:i/>
                <w:i/>
                <w:sz w:val="22"/>
                <w:szCs w:val="22"/>
                <w:lang w:val="ro-RO"/>
              </w:rPr>
            </w:pPr>
            <w:r>
              <w:rPr>
                <w:i/>
                <w:sz w:val="22"/>
                <w:szCs w:val="22"/>
                <w:lang w:val="ro-RO"/>
              </w:rPr>
            </w:r>
          </w:p>
          <w:p>
            <w:pPr>
              <w:pStyle w:val="Normal"/>
              <w:widowControl/>
              <w:bidi w:val="0"/>
              <w:ind w:left="0" w:right="0" w:hanging="0"/>
              <w:jc w:val="left"/>
              <w:textAlignment w:val="auto"/>
              <w:rPr>
                <w:lang w:val="ro-RO"/>
              </w:rPr>
            </w:pPr>
            <w:r>
              <w:rPr>
                <w:rFonts w:cs="Times New Roman CE" w:ascii="Times New Roman CE" w:hAnsi="Times New Roman CE"/>
                <w:i/>
                <w:sz w:val="22"/>
                <w:szCs w:val="22"/>
                <w:lang w:val="ro-RO"/>
              </w:rPr>
              <w:t>În baza rezultatelor noi ob</w:t>
            </w:r>
            <w:r>
              <w:rPr>
                <w:rFonts w:cs="Times New Roman CE" w:ascii="Times New Roman CE" w:hAnsi="Times New Roman CE"/>
                <w:bCs/>
                <w:i/>
                <w:color w:val="000000"/>
                <w:sz w:val="22"/>
                <w:szCs w:val="22"/>
                <w:lang w:val="ro-MD"/>
              </w:rPr>
              <w:t>ţ</w:t>
            </w:r>
            <w:r>
              <w:rPr>
                <w:i/>
                <w:sz w:val="22"/>
                <w:szCs w:val="22"/>
                <w:lang w:val="ro-RO"/>
              </w:rPr>
              <w:t xml:space="preserve">inute s-au cercetat jocurile de tip Shapley </w:t>
            </w:r>
            <w:r>
              <w:rPr>
                <w:rFonts w:cs="Times New Roman CE" w:ascii="Times New Roman CE" w:hAnsi="Times New Roman CE"/>
                <w:i/>
                <w:sz w:val="22"/>
                <w:szCs w:val="22"/>
                <w:lang w:val="ro-MD"/>
              </w:rPr>
              <w:t>ş</w:t>
            </w:r>
            <w:r>
              <w:rPr>
                <w:rFonts w:cs="Times New Roman CE" w:ascii="Times New Roman CE" w:hAnsi="Times New Roman CE"/>
                <w:i/>
                <w:sz w:val="22"/>
                <w:szCs w:val="22"/>
                <w:lang w:val="ro-RO"/>
              </w:rPr>
              <w:t>i s-a demonstrat că pentru jocurile de tip Shapley cu func</w:t>
            </w:r>
            <w:r>
              <w:rPr>
                <w:rFonts w:cs="Times New Roman CE" w:ascii="Times New Roman CE" w:hAnsi="Times New Roman CE"/>
                <w:bCs/>
                <w:i/>
                <w:color w:val="000000"/>
                <w:sz w:val="22"/>
                <w:szCs w:val="22"/>
                <w:lang w:val="ro-MD"/>
              </w:rPr>
              <w:t>ţ</w:t>
            </w:r>
            <w:r>
              <w:rPr>
                <w:rFonts w:cs="Times New Roman CE" w:ascii="Times New Roman CE" w:hAnsi="Times New Roman CE"/>
                <w:i/>
                <w:sz w:val="22"/>
                <w:szCs w:val="22"/>
                <w:lang w:val="ro-RO"/>
              </w:rPr>
              <w:t>iile de plată a costului mediu per tranzi</w:t>
            </w:r>
            <w:r>
              <w:rPr>
                <w:rFonts w:cs="Times New Roman CE" w:ascii="Times New Roman CE" w:hAnsi="Times New Roman CE"/>
                <w:bCs/>
                <w:i/>
                <w:color w:val="000000"/>
                <w:sz w:val="22"/>
                <w:szCs w:val="22"/>
                <w:lang w:val="ro-MD"/>
              </w:rPr>
              <w:t>ţ</w:t>
            </w:r>
            <w:r>
              <w:rPr>
                <w:i/>
                <w:sz w:val="22"/>
                <w:szCs w:val="22"/>
                <w:lang w:val="ro-RO"/>
              </w:rPr>
              <w:t>ie nu exi</w:t>
            </w:r>
            <w:r>
              <w:rPr>
                <w:rFonts w:cs="Times New Roman CE" w:ascii="Times New Roman CE" w:hAnsi="Times New Roman CE"/>
                <w:i/>
                <w:sz w:val="22"/>
                <w:szCs w:val="22"/>
                <w:lang w:val="ro-RO"/>
              </w:rPr>
              <w:t>stă echilibru Nash sta</w:t>
            </w:r>
            <w:r>
              <w:rPr>
                <w:rFonts w:cs="Times New Roman CE" w:ascii="Times New Roman CE" w:hAnsi="Times New Roman CE"/>
                <w:bCs/>
                <w:i/>
                <w:color w:val="000000"/>
                <w:sz w:val="22"/>
                <w:szCs w:val="22"/>
                <w:lang w:val="ro-MD"/>
              </w:rPr>
              <w:t>ţ</w:t>
            </w:r>
            <w:r>
              <w:rPr>
                <w:rFonts w:cs="Times New Roman CE" w:ascii="Times New Roman CE" w:hAnsi="Times New Roman CE"/>
                <w:i/>
                <w:sz w:val="22"/>
                <w:szCs w:val="22"/>
                <w:lang w:val="ro-RO"/>
              </w:rPr>
              <w:t xml:space="preserve">ionar insă există echilibru Markov. Mdele </w:t>
            </w:r>
            <w:r>
              <w:rPr>
                <w:i/>
                <w:sz w:val="22"/>
                <w:szCs w:val="22"/>
                <w:lang w:val="ro-RO"/>
              </w:rPr>
              <w:t>dinamice stocastice de joc au fost utilizate la descrierea cre</w:t>
            </w:r>
            <w:r>
              <w:rPr>
                <w:rFonts w:cs="Times New Roman CE" w:ascii="Times New Roman CE" w:hAnsi="Times New Roman CE"/>
                <w:i/>
                <w:sz w:val="22"/>
                <w:szCs w:val="22"/>
                <w:lang w:val="ro-MD"/>
              </w:rPr>
              <w:t>ş</w:t>
            </w:r>
            <w:r>
              <w:rPr>
                <w:i/>
                <w:sz w:val="22"/>
                <w:szCs w:val="22"/>
                <w:lang w:val="ro-RO"/>
              </w:rPr>
              <w:t>terii economice in Republica Moldova. Algoritmii numerici elabora</w:t>
            </w:r>
            <w:r>
              <w:rPr>
                <w:rFonts w:cs="Times New Roman CE" w:ascii="Times New Roman CE" w:hAnsi="Times New Roman CE"/>
                <w:bCs/>
                <w:i/>
                <w:color w:val="000000"/>
                <w:sz w:val="22"/>
                <w:szCs w:val="22"/>
                <w:lang w:val="ro-MD"/>
              </w:rPr>
              <w:t>ţ</w:t>
            </w:r>
            <w:r>
              <w:rPr>
                <w:i/>
                <w:sz w:val="22"/>
                <w:szCs w:val="22"/>
                <w:lang w:val="ro-RO"/>
              </w:rPr>
              <w:t>i au fost realiza</w:t>
            </w:r>
            <w:r>
              <w:rPr>
                <w:rFonts w:cs="Times New Roman CE" w:ascii="Times New Roman CE" w:hAnsi="Times New Roman CE"/>
                <w:bCs/>
                <w:i/>
                <w:color w:val="000000"/>
                <w:sz w:val="22"/>
                <w:szCs w:val="22"/>
                <w:lang w:val="ro-MD"/>
              </w:rPr>
              <w:t>ţ</w:t>
            </w:r>
            <w:r>
              <w:rPr>
                <w:rFonts w:cs="Times New Roman CE" w:ascii="Times New Roman CE" w:hAnsi="Times New Roman CE"/>
                <w:i/>
                <w:sz w:val="22"/>
                <w:szCs w:val="22"/>
                <w:lang w:val="ro-RO"/>
              </w:rPr>
              <w:t>i în formă de soft.</w:t>
            </w:r>
          </w:p>
        </w:tc>
      </w:tr>
    </w:tbl>
    <w:p>
      <w:pPr>
        <w:pStyle w:val="Normal"/>
        <w:widowControl/>
        <w:bidi w:val="0"/>
        <w:ind w:left="180" w:right="0" w:hanging="0"/>
        <w:jc w:val="left"/>
        <w:textAlignment w:val="auto"/>
        <w:rPr>
          <w:rFonts w:ascii="Times New Roman" w:hAnsi="Times New Roman"/>
          <w:bCs/>
          <w:sz w:val="22"/>
          <w:szCs w:val="22"/>
          <w:lang w:val="ro-MD"/>
        </w:rPr>
      </w:pPr>
      <w:r>
        <w:rPr>
          <w:bCs/>
          <w:sz w:val="22"/>
          <w:szCs w:val="22"/>
          <w:lang w:val="ro-MD"/>
        </w:rPr>
      </w:r>
    </w:p>
    <w:p>
      <w:pPr>
        <w:pStyle w:val="Normal"/>
        <w:widowControl/>
        <w:numPr>
          <w:ilvl w:val="0"/>
          <w:numId w:val="23"/>
        </w:numPr>
        <w:tabs>
          <w:tab w:val="left" w:pos="180" w:leader="none"/>
        </w:tabs>
        <w:bidi w:val="0"/>
        <w:ind w:left="180" w:right="0" w:hanging="0"/>
        <w:jc w:val="left"/>
        <w:textAlignment w:val="auto"/>
        <w:rPr>
          <w:lang w:val="ro-MD"/>
        </w:rPr>
      </w:pPr>
      <w:r>
        <w:rPr>
          <w:bCs/>
          <w:sz w:val="22"/>
          <w:szCs w:val="22"/>
          <w:lang w:val="ro-MD"/>
        </w:rPr>
        <w:t>Lista lucr</w:t>
      </w:r>
      <w:r>
        <w:rPr>
          <w:rFonts w:cs="Times New Roman CE" w:ascii="Times New Roman CE" w:hAnsi="Times New Roman CE"/>
          <w:bCs/>
          <w:sz w:val="22"/>
          <w:szCs w:val="22"/>
          <w:lang w:val="ro-MD"/>
        </w:rPr>
        <w:t>ă</w:t>
      </w:r>
      <w:r>
        <w:rPr>
          <w:bCs/>
          <w:sz w:val="22"/>
          <w:szCs w:val="22"/>
          <w:lang w:val="ro-MD"/>
        </w:rPr>
        <w:t xml:space="preserve">rilor </w:t>
      </w:r>
      <w:r>
        <w:rPr>
          <w:rFonts w:cs="Cambria Math" w:ascii="Cambria Math" w:hAnsi="Cambria Math"/>
          <w:bCs/>
          <w:sz w:val="22"/>
          <w:szCs w:val="22"/>
          <w:lang w:val="ro-MD"/>
        </w:rPr>
        <w:t>ș</w:t>
      </w:r>
      <w:r>
        <w:rPr>
          <w:bCs/>
          <w:sz w:val="22"/>
          <w:szCs w:val="22"/>
          <w:lang w:val="ro-MD"/>
        </w:rPr>
        <w:t>tiin</w:t>
      </w:r>
      <w:r>
        <w:rPr>
          <w:rFonts w:cs="Cambria Math" w:ascii="Cambria Math" w:hAnsi="Cambria Math"/>
          <w:bCs/>
          <w:sz w:val="22"/>
          <w:szCs w:val="22"/>
          <w:lang w:val="ro-MD"/>
        </w:rPr>
        <w:t>ț</w:t>
      </w:r>
      <w:r>
        <w:rPr>
          <w:bCs/>
          <w:sz w:val="22"/>
          <w:szCs w:val="22"/>
          <w:lang w:val="ro-MD"/>
        </w:rPr>
        <w:t>ifice cu referin</w:t>
      </w:r>
      <w:r>
        <w:rPr>
          <w:rFonts w:cs="Cambria Math" w:ascii="Cambria Math" w:hAnsi="Cambria Math"/>
          <w:bCs/>
          <w:sz w:val="22"/>
          <w:szCs w:val="22"/>
          <w:lang w:val="ro-MD"/>
        </w:rPr>
        <w:t>ț</w:t>
      </w:r>
      <w:r>
        <w:rPr>
          <w:rFonts w:cs="Times New Roman CE" w:ascii="Times New Roman CE" w:hAnsi="Times New Roman CE"/>
          <w:bCs/>
          <w:sz w:val="22"/>
          <w:szCs w:val="22"/>
          <w:lang w:val="ro-MD"/>
        </w:rPr>
        <w:t xml:space="preserve">ă </w:t>
      </w:r>
      <w:r>
        <w:rPr>
          <w:bCs/>
          <w:sz w:val="22"/>
          <w:szCs w:val="22"/>
          <w:lang w:val="ro-MD"/>
        </w:rPr>
        <w:t>la proiectul dat  2016</w:t>
      </w:r>
    </w:p>
    <w:tbl>
      <w:tblPr>
        <w:tblW w:w="9780" w:type="dxa"/>
        <w:jc w:val="left"/>
        <w:tblInd w:w="567" w:type="dxa"/>
        <w:tblBorders>
          <w:top w:val="dotted" w:sz="4" w:space="0" w:color="000001"/>
          <w:left w:val="dotted" w:sz="4" w:space="0" w:color="000001"/>
          <w:bottom w:val="dotted" w:sz="4" w:space="0" w:color="000001"/>
          <w:right w:val="dotted" w:sz="4" w:space="0" w:color="000001"/>
          <w:insideH w:val="dotted" w:sz="4" w:space="0" w:color="000001"/>
          <w:insideV w:val="dotted" w:sz="4" w:space="0" w:color="000001"/>
        </w:tblBorders>
        <w:tblCellMar>
          <w:top w:w="0" w:type="dxa"/>
          <w:left w:w="103" w:type="dxa"/>
          <w:bottom w:w="0" w:type="dxa"/>
          <w:right w:w="108" w:type="dxa"/>
        </w:tblCellMar>
      </w:tblPr>
      <w:tblGrid>
        <w:gridCol w:w="9780"/>
      </w:tblGrid>
      <w:tr>
        <w:trPr/>
        <w:tc>
          <w:tcPr>
            <w:tcW w:w="9780" w:type="dxa"/>
            <w:tcBorders>
              <w:top w:val="dotted" w:sz="4" w:space="0" w:color="000001"/>
              <w:left w:val="dotted" w:sz="4" w:space="0" w:color="000001"/>
              <w:bottom w:val="dotted" w:sz="4" w:space="0" w:color="000001"/>
              <w:right w:val="dotted" w:sz="4" w:space="0" w:color="000001"/>
              <w:insideH w:val="dotted" w:sz="4" w:space="0" w:color="000001"/>
              <w:insideV w:val="dotted" w:sz="4" w:space="0" w:color="000001"/>
            </w:tcBorders>
            <w:shd w:fill="auto" w:val="clear"/>
            <w:tcMar>
              <w:left w:w="103" w:type="dxa"/>
            </w:tcMar>
          </w:tcPr>
          <w:p>
            <w:pPr>
              <w:pStyle w:val="Normal"/>
              <w:widowControl/>
              <w:tabs>
                <w:tab w:val="left" w:pos="6237" w:leader="none"/>
                <w:tab w:val="left" w:pos="6521" w:leader="none"/>
              </w:tabs>
              <w:bidi w:val="0"/>
              <w:spacing w:lineRule="exact" w:line="280" w:before="0" w:after="80"/>
              <w:ind w:left="0" w:right="0" w:hanging="0"/>
              <w:jc w:val="both"/>
              <w:textAlignment w:val="auto"/>
              <w:rPr>
                <w:lang w:val="ro-RO"/>
              </w:rPr>
            </w:pPr>
            <w:r>
              <w:rPr>
                <w:rFonts w:cs="Times New Roman CE" w:ascii="Times New Roman CE" w:hAnsi="Times New Roman CE"/>
                <w:b/>
                <w:bCs/>
                <w:color w:val="000000"/>
                <w:sz w:val="22"/>
                <w:szCs w:val="22"/>
                <w:lang w:val="ro-RO"/>
              </w:rPr>
              <w:t>Lista lucrărilor apărute în edituri străine:</w:t>
            </w:r>
          </w:p>
          <w:p>
            <w:pPr>
              <w:pStyle w:val="Normal"/>
              <w:widowControl/>
              <w:tabs>
                <w:tab w:val="left" w:pos="6237" w:leader="none"/>
                <w:tab w:val="left" w:pos="6521" w:leader="none"/>
              </w:tabs>
              <w:bidi w:val="0"/>
              <w:spacing w:lineRule="exact" w:line="280"/>
              <w:ind w:left="0" w:right="0" w:hanging="0"/>
              <w:jc w:val="both"/>
              <w:textAlignment w:val="auto"/>
              <w:rPr>
                <w:lang w:val="en-US"/>
              </w:rPr>
            </w:pPr>
            <w:r>
              <w:rPr>
                <w:rFonts w:cs="Times New Roman CE" w:ascii="Times New Roman CE" w:hAnsi="Times New Roman CE"/>
                <w:b/>
                <w:sz w:val="22"/>
                <w:szCs w:val="22"/>
                <w:lang w:val="en-US"/>
              </w:rPr>
              <w:t>Lista publicaţiilor electronice în străinătate</w:t>
            </w:r>
            <w:r>
              <w:rPr>
                <w:b/>
                <w:bCs/>
                <w:color w:val="000000"/>
                <w:sz w:val="22"/>
                <w:szCs w:val="22"/>
                <w:lang w:val="ro-RO"/>
              </w:rPr>
              <w:t>:</w:t>
            </w:r>
          </w:p>
          <w:p>
            <w:pPr>
              <w:pStyle w:val="Normal"/>
              <w:widowControl/>
              <w:numPr>
                <w:ilvl w:val="0"/>
                <w:numId w:val="59"/>
              </w:numPr>
              <w:tabs>
                <w:tab w:val="left" w:pos="340" w:leader="none"/>
              </w:tabs>
              <w:suppressAutoHyphens w:val="true"/>
              <w:bidi w:val="0"/>
              <w:spacing w:before="0" w:after="60"/>
              <w:ind w:left="340" w:right="0" w:hanging="340"/>
              <w:jc w:val="both"/>
              <w:textAlignment w:val="auto"/>
              <w:rPr>
                <w:lang w:val="en-US"/>
              </w:rPr>
            </w:pPr>
            <w:r>
              <w:rPr>
                <w:color w:val="131413"/>
                <w:sz w:val="22"/>
                <w:szCs w:val="22"/>
                <w:lang w:val="en-US"/>
              </w:rPr>
              <w:t>KOLESNIK</w:t>
            </w:r>
            <w:r>
              <w:rPr>
                <w:sz w:val="22"/>
                <w:szCs w:val="22"/>
                <w:lang w:val="en-US"/>
              </w:rPr>
              <w:t xml:space="preserve">, A.D. Asymptotic relation for the transition density of the three-dimensional Markov random flight on small time intervals. 2016, arXiv: 1604.08362, 19 pp. </w:t>
            </w:r>
          </w:p>
          <w:p>
            <w:pPr>
              <w:pStyle w:val="Normal"/>
              <w:widowControl/>
              <w:numPr>
                <w:ilvl w:val="0"/>
                <w:numId w:val="59"/>
              </w:numPr>
              <w:tabs>
                <w:tab w:val="left" w:pos="340" w:leader="none"/>
              </w:tabs>
              <w:suppressAutoHyphens w:val="true"/>
              <w:bidi w:val="0"/>
              <w:spacing w:before="0" w:after="60"/>
              <w:ind w:left="340" w:right="0" w:hanging="340"/>
              <w:jc w:val="both"/>
              <w:textAlignment w:val="auto"/>
              <w:rPr>
                <w:lang w:val="en-US"/>
              </w:rPr>
            </w:pPr>
            <w:r>
              <w:rPr>
                <w:color w:val="131413"/>
                <w:sz w:val="22"/>
                <w:szCs w:val="22"/>
                <w:lang w:val="en-US"/>
              </w:rPr>
              <w:t xml:space="preserve">LOZOVANU, D. Determining the optimal strategies for zero-sum average stochastic positional games. </w:t>
            </w:r>
            <w:r>
              <w:rPr>
                <w:i/>
                <w:color w:val="131413"/>
                <w:sz w:val="22"/>
                <w:szCs w:val="22"/>
                <w:lang w:val="en-US"/>
              </w:rPr>
              <w:t>Electronic Notes in Discrete Mathematics</w:t>
            </w:r>
            <w:r>
              <w:rPr>
                <w:color w:val="131413"/>
                <w:sz w:val="22"/>
                <w:szCs w:val="22"/>
                <w:lang w:val="en-US"/>
              </w:rPr>
              <w:t>, 2016, ENDM 2259, DOI: 10.1016/j.endm2016.10.039, 5 pp.</w:t>
            </w:r>
          </w:p>
          <w:p>
            <w:pPr>
              <w:pStyle w:val="Normal"/>
              <w:widowControl/>
              <w:tabs>
                <w:tab w:val="left" w:pos="6237" w:leader="none"/>
                <w:tab w:val="left" w:pos="6521" w:leader="none"/>
              </w:tabs>
              <w:bidi w:val="0"/>
              <w:spacing w:lineRule="exact" w:line="280"/>
              <w:ind w:left="0" w:right="0" w:hanging="0"/>
              <w:jc w:val="both"/>
              <w:textAlignment w:val="auto"/>
              <w:rPr>
                <w:lang w:val="ro-RO"/>
              </w:rPr>
            </w:pPr>
            <w:r>
              <w:rPr>
                <w:rFonts w:cs="Times New Roman CE" w:ascii="Times New Roman CE" w:hAnsi="Times New Roman CE"/>
                <w:b/>
                <w:bCs/>
                <w:color w:val="000000"/>
                <w:sz w:val="22"/>
                <w:szCs w:val="22"/>
                <w:lang w:val="ro-RO"/>
              </w:rPr>
              <w:t>Lista lucrărilor apărute în edituri din ţară:</w:t>
            </w:r>
          </w:p>
          <w:p>
            <w:pPr>
              <w:pStyle w:val="Normal"/>
              <w:widowControl/>
              <w:bidi w:val="0"/>
              <w:spacing w:lineRule="exact" w:line="280"/>
              <w:ind w:left="0" w:right="0" w:hanging="0"/>
              <w:jc w:val="both"/>
              <w:textAlignment w:val="auto"/>
              <w:rPr>
                <w:lang w:val="ro-RO"/>
              </w:rPr>
            </w:pPr>
            <w:r>
              <w:rPr>
                <w:rFonts w:cs="Times New Roman CE" w:ascii="Times New Roman CE" w:hAnsi="Times New Roman CE"/>
                <w:b/>
                <w:bCs/>
                <w:sz w:val="22"/>
                <w:szCs w:val="22"/>
                <w:lang w:val="ro-RO"/>
              </w:rPr>
              <w:t>Articole din reviste naţionale:</w:t>
            </w:r>
          </w:p>
          <w:p>
            <w:pPr>
              <w:pStyle w:val="NormalWeb"/>
              <w:widowControl/>
              <w:bidi w:val="0"/>
              <w:ind w:left="0" w:right="0" w:hanging="0"/>
              <w:jc w:val="both"/>
              <w:textAlignment w:val="auto"/>
              <w:rPr>
                <w:lang w:val="it-IT"/>
              </w:rPr>
            </w:pPr>
            <w:r>
              <w:rPr>
                <w:b/>
                <w:i/>
                <w:sz w:val="22"/>
                <w:szCs w:val="22"/>
                <w:lang w:val="it-IT"/>
              </w:rPr>
              <w:t>categoria A</w:t>
            </w:r>
          </w:p>
          <w:p>
            <w:pPr>
              <w:pStyle w:val="Normal"/>
              <w:widowControl/>
              <w:numPr>
                <w:ilvl w:val="0"/>
                <w:numId w:val="48"/>
              </w:numPr>
              <w:tabs>
                <w:tab w:val="left" w:pos="343" w:leader="none"/>
                <w:tab w:val="left" w:pos="516" w:leader="none"/>
                <w:tab w:val="left" w:pos="1908" w:leader="none"/>
                <w:tab w:val="left" w:pos="4428" w:leader="none"/>
                <w:tab w:val="left" w:pos="5688" w:leader="none"/>
                <w:tab w:val="left" w:pos="7668" w:leader="none"/>
                <w:tab w:val="left" w:pos="9039" w:leader="none"/>
              </w:tabs>
              <w:bidi w:val="0"/>
              <w:spacing w:lineRule="atLeast" w:line="23"/>
              <w:ind w:left="343" w:right="0" w:hanging="343"/>
              <w:jc w:val="both"/>
              <w:textAlignment w:val="auto"/>
              <w:rPr>
                <w:lang w:val="en-US"/>
              </w:rPr>
            </w:pPr>
            <w:r>
              <w:rPr>
                <w:sz w:val="22"/>
                <w:szCs w:val="22"/>
                <w:lang w:val="en-US"/>
              </w:rPr>
              <w:t xml:space="preserve">LOZOVANU, D. Stationary Nash Equilibria for Average Stochastic Games with Finite State and Action Spaces. </w:t>
            </w:r>
            <w:r>
              <w:rPr>
                <w:i/>
                <w:sz w:val="22"/>
                <w:szCs w:val="22"/>
                <w:lang w:val="it-IT"/>
              </w:rPr>
              <w:t>Buletinul A</w:t>
            </w:r>
            <w:r>
              <w:rPr>
                <w:rFonts w:cs="Times New Roman CE" w:ascii="Times New Roman CE" w:hAnsi="Times New Roman CE"/>
                <w:i/>
                <w:sz w:val="22"/>
                <w:szCs w:val="22"/>
                <w:lang w:val="ro-RO"/>
              </w:rPr>
              <w:t>ŞM</w:t>
            </w:r>
            <w:r>
              <w:rPr>
                <w:i/>
                <w:sz w:val="22"/>
                <w:szCs w:val="22"/>
                <w:lang w:val="it-IT"/>
              </w:rPr>
              <w:t>, seria Matematica</w:t>
            </w:r>
            <w:r>
              <w:rPr>
                <w:sz w:val="22"/>
                <w:szCs w:val="22"/>
                <w:lang w:val="en-US"/>
              </w:rPr>
              <w:t>,</w:t>
            </w:r>
            <w:r>
              <w:rPr>
                <w:i/>
                <w:sz w:val="22"/>
                <w:szCs w:val="22"/>
                <w:lang w:val="en-US"/>
              </w:rPr>
              <w:t xml:space="preserve"> </w:t>
            </w:r>
            <w:r>
              <w:rPr>
                <w:sz w:val="22"/>
                <w:szCs w:val="22"/>
                <w:lang w:val="en-US"/>
              </w:rPr>
              <w:t>2016,</w:t>
            </w:r>
            <w:r>
              <w:rPr>
                <w:i/>
                <w:sz w:val="22"/>
                <w:szCs w:val="22"/>
                <w:lang w:val="en-US"/>
              </w:rPr>
              <w:t xml:space="preserve"> </w:t>
            </w:r>
            <w:r>
              <w:rPr>
                <w:sz w:val="22"/>
                <w:szCs w:val="22"/>
                <w:lang w:val="en-US"/>
              </w:rPr>
              <w:t xml:space="preserve">2(81), 71-92. </w:t>
            </w:r>
            <w:r>
              <w:rPr>
                <w:sz w:val="22"/>
                <w:szCs w:val="22"/>
                <w:lang w:val="ro-RO"/>
              </w:rPr>
              <w:t>ISSN 1024-7696.</w:t>
            </w:r>
          </w:p>
          <w:p>
            <w:pPr>
              <w:pStyle w:val="Normal"/>
              <w:widowControl/>
              <w:tabs>
                <w:tab w:val="left" w:pos="6237" w:leader="none"/>
                <w:tab w:val="left" w:pos="6521" w:leader="none"/>
              </w:tabs>
              <w:bidi w:val="0"/>
              <w:spacing w:lineRule="exact" w:line="280" w:before="0" w:after="80"/>
              <w:ind w:left="0" w:right="0" w:hanging="0"/>
              <w:jc w:val="both"/>
              <w:textAlignment w:val="auto"/>
              <w:rPr>
                <w:lang w:val="ro-RO"/>
              </w:rPr>
            </w:pPr>
            <w:r>
              <w:rPr>
                <w:b/>
                <w:bCs/>
                <w:i/>
                <w:color w:val="000000"/>
                <w:sz w:val="22"/>
                <w:szCs w:val="22"/>
                <w:lang w:val="ro-RO"/>
              </w:rPr>
              <w:t xml:space="preserve">categoria </w:t>
            </w:r>
            <w:r>
              <w:rPr>
                <w:b/>
                <w:i/>
                <w:sz w:val="22"/>
                <w:szCs w:val="22"/>
                <w:lang w:val="ro-RO"/>
              </w:rPr>
              <w:t>B</w:t>
            </w:r>
            <w:r>
              <w:rPr>
                <w:b/>
                <w:i/>
                <w:sz w:val="22"/>
                <w:szCs w:val="22"/>
                <w:vertAlign w:val="superscript"/>
                <w:lang w:val="ro-RO"/>
              </w:rPr>
              <w:t>+</w:t>
            </w:r>
          </w:p>
          <w:p>
            <w:pPr>
              <w:pStyle w:val="Normal"/>
              <w:widowControl/>
              <w:numPr>
                <w:ilvl w:val="0"/>
                <w:numId w:val="49"/>
              </w:numPr>
              <w:tabs>
                <w:tab w:val="left" w:pos="343" w:leader="none"/>
                <w:tab w:val="left" w:pos="1080" w:leader="none"/>
              </w:tabs>
              <w:bidi w:val="0"/>
              <w:ind w:left="343" w:right="0" w:hanging="343"/>
              <w:jc w:val="both"/>
              <w:textAlignment w:val="auto"/>
              <w:rPr>
                <w:lang w:val="ro-RO"/>
              </w:rPr>
            </w:pPr>
            <w:r>
              <w:rPr>
                <w:rFonts w:cs="Times New Roman CE" w:ascii="Times New Roman CE" w:hAnsi="Times New Roman CE"/>
                <w:color w:val="333333"/>
                <w:sz w:val="22"/>
                <w:szCs w:val="22"/>
                <w:lang w:val="ro-RO"/>
              </w:rPr>
              <w:t>MIŞCOI, Gh.; BEJENARI</w:t>
            </w:r>
            <w:r>
              <w:rPr>
                <w:color w:val="333333"/>
                <w:sz w:val="22"/>
                <w:szCs w:val="22"/>
                <w:lang w:val="ro-RO"/>
              </w:rPr>
              <w:t xml:space="preserve">, D.; MITEV, L.; </w:t>
            </w:r>
            <w:r>
              <w:rPr>
                <w:rFonts w:cs="Times New Roman CE" w:ascii="Times New Roman CE" w:hAnsi="Times New Roman CE"/>
                <w:color w:val="333333"/>
                <w:sz w:val="22"/>
                <w:szCs w:val="22"/>
                <w:lang w:val="ro-RO"/>
              </w:rPr>
              <w:t>ŢICU, I.R.</w:t>
            </w:r>
            <w:r>
              <w:rPr>
                <w:color w:val="333333"/>
                <w:sz w:val="22"/>
                <w:szCs w:val="22"/>
                <w:lang w:val="ro-RO"/>
              </w:rPr>
              <w:t xml:space="preserve"> </w:t>
            </w:r>
            <w:r>
              <w:rPr>
                <w:sz w:val="22"/>
                <w:szCs w:val="22"/>
                <w:lang w:val="ro-RO"/>
              </w:rPr>
              <w:t xml:space="preserve">Numerical solutions of Kendall and Pollaczek-Khintchin equations for exhaustive polling systems with semi-Markov delays. </w:t>
            </w:r>
            <w:r>
              <w:rPr>
                <w:i/>
                <w:sz w:val="22"/>
                <w:szCs w:val="22"/>
                <w:lang w:val="ro-RO"/>
              </w:rPr>
              <w:t>Computer Science Journal of Moldova</w:t>
            </w:r>
            <w:r>
              <w:rPr>
                <w:sz w:val="22"/>
                <w:szCs w:val="22"/>
                <w:lang w:val="ro-RO"/>
              </w:rPr>
              <w:t>, 2016, v.24, 2(71), 255-272. ISSN 1561-4042.</w:t>
            </w:r>
          </w:p>
          <w:p>
            <w:pPr>
              <w:pStyle w:val="Normal"/>
              <w:widowControl/>
              <w:tabs>
                <w:tab w:val="left" w:pos="6237" w:leader="none"/>
                <w:tab w:val="left" w:pos="6521" w:leader="none"/>
              </w:tabs>
              <w:bidi w:val="0"/>
              <w:spacing w:lineRule="exact" w:line="280"/>
              <w:ind w:left="0" w:right="0" w:hanging="0"/>
              <w:jc w:val="both"/>
              <w:textAlignment w:val="auto"/>
              <w:rPr>
                <w:lang w:val="fr-FR"/>
              </w:rPr>
            </w:pPr>
            <w:bookmarkStart w:id="77" w:name="_Toc469648802"/>
            <w:bookmarkStart w:id="78" w:name="_Toc469651885"/>
            <w:bookmarkEnd w:id="77"/>
            <w:bookmarkEnd w:id="78"/>
            <w:r>
              <w:rPr>
                <w:rFonts w:cs="Times New Roman CE" w:ascii="Times New Roman CE" w:hAnsi="Times New Roman CE"/>
                <w:b/>
                <w:sz w:val="22"/>
                <w:szCs w:val="22"/>
                <w:lang w:val="fr-FR"/>
              </w:rPr>
              <w:t>Lista comunicărilor ştiinţifice prezentate la manifestări internaţionale, publicate ca rezumat (1-3 pagini)</w:t>
            </w:r>
          </w:p>
          <w:p>
            <w:pPr>
              <w:pStyle w:val="Normal"/>
              <w:widowControl/>
              <w:numPr>
                <w:ilvl w:val="0"/>
                <w:numId w:val="51"/>
              </w:numPr>
              <w:tabs>
                <w:tab w:val="left" w:pos="340" w:leader="none"/>
              </w:tabs>
              <w:suppressAutoHyphens w:val="true"/>
              <w:bidi w:val="0"/>
              <w:spacing w:before="0" w:after="60"/>
              <w:ind w:left="340" w:right="0" w:hanging="340"/>
              <w:jc w:val="both"/>
              <w:textAlignment w:val="auto"/>
              <w:rPr/>
            </w:pPr>
            <w:r>
              <w:rPr>
                <w:rFonts w:cs="Times New Roman CE" w:ascii="Times New Roman CE" w:hAnsi="Times New Roman CE"/>
                <w:color w:val="333333"/>
                <w:sz w:val="22"/>
                <w:szCs w:val="22"/>
                <w:lang w:val="ro-RO"/>
              </w:rPr>
              <w:t xml:space="preserve">MIŞCOI, Gh.; </w:t>
            </w:r>
            <w:r>
              <w:rPr>
                <w:rFonts w:cs="Times New Roman CE" w:ascii="Times New Roman CE" w:hAnsi="Times New Roman CE"/>
                <w:color w:val="333333"/>
                <w:sz w:val="22"/>
                <w:szCs w:val="22"/>
                <w:lang w:val="en-US"/>
              </w:rPr>
              <w:t xml:space="preserve">ŢICU, I.R.; COSTEA, A.; POMAZAN, C. </w:t>
            </w:r>
            <w:r>
              <w:rPr>
                <w:sz w:val="22"/>
                <w:szCs w:val="22"/>
                <w:lang w:val="en-US"/>
              </w:rPr>
              <w:t xml:space="preserve">Evalution algorithms of the waiting time of ships in a seaport. </w:t>
            </w:r>
            <w:r>
              <w:rPr>
                <w:color w:val="131413"/>
                <w:sz w:val="22"/>
                <w:szCs w:val="22"/>
                <w:lang w:val="en-US"/>
              </w:rPr>
              <w:t>În:</w:t>
            </w:r>
            <w:hyperlink r:id="rId33">
              <w:r>
                <w:rPr>
                  <w:webHidden/>
                  <w:rStyle w:val="Style5"/>
                  <w:i/>
                  <w:color w:val="131413"/>
                  <w:sz w:val="22"/>
                  <w:szCs w:val="22"/>
                  <w:lang w:val="en-US"/>
                </w:rPr>
                <w:t xml:space="preserve"> Abstracts of the International Conference Mathematicals &amp; Information Technologies: research&amp;</w:t>
              </w:r>
            </w:hyperlink>
            <w:r>
              <w:rPr>
                <w:i/>
                <w:color w:val="131413"/>
                <w:sz w:val="22"/>
                <w:szCs w:val="22"/>
                <w:lang w:val="en-US"/>
              </w:rPr>
              <w:t>education (MITRE-2016)</w:t>
            </w:r>
            <w:r>
              <w:rPr>
                <w:rFonts w:cs="Times New Roman CE" w:ascii="Times New Roman CE" w:hAnsi="Times New Roman CE"/>
                <w:color w:val="131413"/>
                <w:sz w:val="22"/>
                <w:szCs w:val="22"/>
                <w:lang w:val="en-US"/>
              </w:rPr>
              <w:t xml:space="preserve">, Chişinău, Republica Moldova, 23–26 iunie 2016, </w:t>
            </w:r>
            <w:r>
              <w:rPr>
                <w:color w:val="131413"/>
                <w:sz w:val="22"/>
                <w:szCs w:val="22"/>
                <w:lang w:val="en-US"/>
              </w:rPr>
              <w:t xml:space="preserve">45-46, ISSN 978-9975-71-784-6. </w:t>
            </w:r>
          </w:p>
        </w:tc>
      </w:tr>
    </w:tbl>
    <w:p>
      <w:pPr>
        <w:pStyle w:val="Normal"/>
        <w:widowControl/>
        <w:numPr>
          <w:ilvl w:val="0"/>
          <w:numId w:val="23"/>
        </w:numPr>
        <w:tabs>
          <w:tab w:val="left" w:pos="180" w:leader="none"/>
        </w:tabs>
        <w:bidi w:val="0"/>
        <w:ind w:left="180" w:right="0" w:hanging="0"/>
        <w:jc w:val="left"/>
        <w:textAlignment w:val="auto"/>
        <w:rPr>
          <w:lang w:val="ro-MD"/>
        </w:rPr>
      </w:pPr>
      <w:r>
        <w:rPr>
          <w:sz w:val="22"/>
          <w:szCs w:val="22"/>
          <w:lang w:val="ro-MD"/>
        </w:rPr>
        <w:t>Relevan</w:t>
      </w:r>
      <w:r>
        <w:rPr>
          <w:rFonts w:cs="Cambria Math" w:ascii="Cambria Math" w:hAnsi="Cambria Math"/>
          <w:sz w:val="22"/>
          <w:szCs w:val="22"/>
          <w:lang w:val="ro-MD"/>
        </w:rPr>
        <w:t>ț</w:t>
      </w:r>
      <w:r>
        <w:rPr>
          <w:sz w:val="22"/>
          <w:szCs w:val="22"/>
          <w:lang w:val="ro-MD"/>
        </w:rPr>
        <w:t xml:space="preserve">a rezultatelor </w:t>
      </w:r>
      <w:r>
        <w:rPr>
          <w:rFonts w:cs="Cambria Math" w:ascii="Cambria Math" w:hAnsi="Cambria Math"/>
          <w:sz w:val="22"/>
          <w:szCs w:val="22"/>
          <w:lang w:val="ro-MD"/>
        </w:rPr>
        <w:t>ș</w:t>
      </w:r>
      <w:r>
        <w:rPr>
          <w:sz w:val="22"/>
          <w:szCs w:val="22"/>
          <w:lang w:val="ro-MD"/>
        </w:rPr>
        <w:t>iin</w:t>
      </w:r>
      <w:r>
        <w:rPr>
          <w:rFonts w:cs="Cambria Math" w:ascii="Cambria Math" w:hAnsi="Cambria Math"/>
          <w:sz w:val="22"/>
          <w:szCs w:val="22"/>
          <w:lang w:val="ro-MD"/>
        </w:rPr>
        <w:t>ț</w:t>
      </w:r>
      <w:r>
        <w:rPr>
          <w:sz w:val="22"/>
          <w:szCs w:val="22"/>
          <w:lang w:val="ro-MD"/>
        </w:rPr>
        <w:t>ifice ob</w:t>
      </w:r>
      <w:r>
        <w:rPr>
          <w:rFonts w:cs="Cambria Math" w:ascii="Cambria Math" w:hAnsi="Cambria Math"/>
          <w:sz w:val="22"/>
          <w:szCs w:val="22"/>
          <w:lang w:val="ro-MD"/>
        </w:rPr>
        <w:t>ț</w:t>
      </w:r>
      <w:r>
        <w:rPr>
          <w:sz w:val="22"/>
          <w:szCs w:val="22"/>
          <w:lang w:val="ro-MD"/>
        </w:rPr>
        <w:t>inute 2016</w:t>
      </w:r>
    </w:p>
    <w:tbl>
      <w:tblPr>
        <w:tblW w:w="9780" w:type="dxa"/>
        <w:jc w:val="left"/>
        <w:tblInd w:w="425"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780"/>
      </w:tblGrid>
      <w:tr>
        <w:trPr/>
        <w:tc>
          <w:tcPr>
            <w:tcW w:w="9780"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both"/>
              <w:textAlignment w:val="auto"/>
              <w:rPr>
                <w:lang w:val="ro-MD"/>
              </w:rPr>
            </w:pPr>
            <w:r>
              <w:rPr>
                <w:color w:val="000000"/>
                <w:sz w:val="22"/>
                <w:szCs w:val="22"/>
                <w:lang w:val="ro-MD"/>
              </w:rPr>
              <w:t>Valoarea teoretic</w:t>
            </w:r>
            <w:r>
              <w:rPr>
                <w:rFonts w:cs="Times New Roman CE" w:ascii="Times New Roman CE" w:hAnsi="Times New Roman CE"/>
                <w:color w:val="000000"/>
                <w:sz w:val="22"/>
                <w:szCs w:val="22"/>
                <w:lang w:val="ro-RO"/>
              </w:rPr>
              <w:t>ă</w:t>
            </w:r>
            <w:r>
              <w:rPr>
                <w:color w:val="000000"/>
                <w:sz w:val="22"/>
                <w:szCs w:val="22"/>
                <w:lang w:val="ro-MD"/>
              </w:rPr>
              <w:t xml:space="preserve"> a rezultatelor </w:t>
            </w:r>
            <w:r>
              <w:rPr>
                <w:rFonts w:cs="Cambria Math" w:ascii="Cambria Math" w:hAnsi="Cambria Math"/>
                <w:color w:val="000000"/>
                <w:sz w:val="22"/>
                <w:szCs w:val="22"/>
                <w:lang w:val="ro-MD"/>
              </w:rPr>
              <w:t>ș</w:t>
            </w:r>
            <w:r>
              <w:rPr>
                <w:color w:val="000000"/>
                <w:sz w:val="22"/>
                <w:szCs w:val="22"/>
                <w:lang w:val="ro-MD"/>
              </w:rPr>
              <w:t>tiin</w:t>
            </w:r>
            <w:r>
              <w:rPr>
                <w:rFonts w:cs="Cambria Math" w:ascii="Cambria Math" w:hAnsi="Cambria Math"/>
                <w:color w:val="000000"/>
                <w:sz w:val="22"/>
                <w:szCs w:val="22"/>
                <w:lang w:val="ro-MD"/>
              </w:rPr>
              <w:t>ț</w:t>
            </w:r>
            <w:r>
              <w:rPr>
                <w:color w:val="000000"/>
                <w:sz w:val="22"/>
                <w:szCs w:val="22"/>
                <w:lang w:val="ro-MD"/>
              </w:rPr>
              <w:t>ifice fundamentale ob</w:t>
            </w:r>
            <w:r>
              <w:rPr>
                <w:rFonts w:cs="Cambria Math" w:ascii="Cambria Math" w:hAnsi="Cambria Math"/>
                <w:color w:val="000000"/>
                <w:sz w:val="22"/>
                <w:szCs w:val="22"/>
                <w:lang w:val="ro-MD"/>
              </w:rPr>
              <w:t>ț</w:t>
            </w:r>
            <w:r>
              <w:rPr>
                <w:rFonts w:cs="Times New Roman CE" w:ascii="Times New Roman CE" w:hAnsi="Times New Roman CE"/>
                <w:color w:val="000000"/>
                <w:sz w:val="22"/>
                <w:szCs w:val="22"/>
                <w:lang w:val="ro-MD"/>
              </w:rPr>
              <w:t xml:space="preserve">inute în cadrul proiectului dat constă în elaborarea </w:t>
            </w:r>
            <w:r>
              <w:rPr>
                <w:rFonts w:cs="Cambria Math" w:ascii="Cambria Math" w:hAnsi="Cambria Math"/>
                <w:color w:val="000000"/>
                <w:sz w:val="22"/>
                <w:szCs w:val="22"/>
                <w:lang w:val="ro-MD"/>
              </w:rPr>
              <w:t>ș</w:t>
            </w:r>
            <w:r>
              <w:rPr>
                <w:color w:val="000000"/>
                <w:sz w:val="22"/>
                <w:szCs w:val="22"/>
                <w:lang w:val="ro-MD"/>
              </w:rPr>
              <w:t xml:space="preserve">i cercetarea unei clase noi de modele matematice mai avansate din punct de vedere teoretic-fundamental </w:t>
            </w:r>
            <w:r>
              <w:rPr>
                <w:rFonts w:cs="Times New Roman CE" w:ascii="Times New Roman CE" w:hAnsi="Times New Roman CE"/>
                <w:color w:val="000000"/>
                <w:sz w:val="22"/>
                <w:szCs w:val="22"/>
                <w:lang w:val="ro-MD"/>
              </w:rPr>
              <w:t>î</w:t>
            </w:r>
            <w:r>
              <w:rPr>
                <w:color w:val="000000"/>
                <w:sz w:val="22"/>
                <w:szCs w:val="22"/>
                <w:lang w:val="ro-MD"/>
              </w:rPr>
              <w:t>n compara</w:t>
            </w:r>
            <w:r>
              <w:rPr>
                <w:rFonts w:cs="Cambria Math" w:ascii="Cambria Math" w:hAnsi="Cambria Math"/>
                <w:color w:val="000000"/>
                <w:sz w:val="22"/>
                <w:szCs w:val="22"/>
                <w:lang w:val="ro-MD"/>
              </w:rPr>
              <w:t>ț</w:t>
            </w:r>
            <w:r>
              <w:rPr>
                <w:color w:val="000000"/>
                <w:sz w:val="22"/>
                <w:szCs w:val="22"/>
                <w:lang w:val="ro-MD"/>
              </w:rPr>
              <w:t xml:space="preserve">ie cu modelele </w:t>
            </w:r>
            <w:r>
              <w:rPr>
                <w:rFonts w:cs="Cambria Math" w:ascii="Cambria Math" w:hAnsi="Cambria Math"/>
                <w:color w:val="000000"/>
                <w:sz w:val="22"/>
                <w:szCs w:val="22"/>
                <w:lang w:val="ro-MD"/>
              </w:rPr>
              <w:t>ș</w:t>
            </w:r>
            <w:r>
              <w:rPr>
                <w:color w:val="000000"/>
                <w:sz w:val="22"/>
                <w:szCs w:val="22"/>
                <w:lang w:val="ro-MD"/>
              </w:rPr>
              <w:t xml:space="preserve">i problemele stochastice decizionale  existente . Din punct de vedere aplicativ, modelele elaborate sunt mai adecvate pentru analiza unor probleme aplicative, cum ar fi problemele </w:t>
            </w:r>
            <w:r>
              <w:rPr>
                <w:rFonts w:cs="Cambria Math" w:ascii="Cambria Math" w:hAnsi="Cambria Math"/>
                <w:color w:val="000000"/>
                <w:sz w:val="22"/>
                <w:szCs w:val="22"/>
                <w:lang w:val="ro-MD"/>
              </w:rPr>
              <w:t>ș</w:t>
            </w:r>
            <w:r>
              <w:rPr>
                <w:color w:val="000000"/>
                <w:sz w:val="22"/>
                <w:szCs w:val="22"/>
                <w:lang w:val="ro-MD"/>
              </w:rPr>
              <w:t>i modelele dinamice de cre</w:t>
            </w:r>
            <w:r>
              <w:rPr>
                <w:rFonts w:cs="Cambria Math" w:ascii="Cambria Math" w:hAnsi="Cambria Math"/>
                <w:color w:val="000000"/>
                <w:sz w:val="22"/>
                <w:szCs w:val="22"/>
                <w:lang w:val="ro-MD"/>
              </w:rPr>
              <w:t>ș</w:t>
            </w:r>
            <w:r>
              <w:rPr>
                <w:color w:val="000000"/>
                <w:sz w:val="22"/>
                <w:szCs w:val="22"/>
                <w:lang w:val="ro-MD"/>
              </w:rPr>
              <w:t>tere economic</w:t>
            </w:r>
            <w:r>
              <w:rPr>
                <w:rFonts w:cs="Times New Roman CE" w:ascii="Times New Roman CE" w:hAnsi="Times New Roman CE"/>
                <w:color w:val="000000"/>
                <w:sz w:val="22"/>
                <w:szCs w:val="22"/>
                <w:lang w:val="ro-MD"/>
              </w:rPr>
              <w:t>ă</w:t>
            </w:r>
            <w:r>
              <w:rPr>
                <w:color w:val="000000"/>
                <w:sz w:val="22"/>
                <w:szCs w:val="22"/>
                <w:lang w:val="ro-MD"/>
              </w:rPr>
              <w:t xml:space="preserve">, procesele de tip telegraf </w:t>
            </w:r>
            <w:r>
              <w:rPr>
                <w:rFonts w:cs="Cambria Math" w:ascii="Cambria Math" w:hAnsi="Cambria Math"/>
                <w:color w:val="000000"/>
                <w:sz w:val="22"/>
                <w:szCs w:val="22"/>
                <w:lang w:val="ro-MD"/>
              </w:rPr>
              <w:t>ș</w:t>
            </w:r>
            <w:r>
              <w:rPr>
                <w:color w:val="000000"/>
                <w:sz w:val="22"/>
                <w:szCs w:val="22"/>
                <w:lang w:val="ro-MD"/>
              </w:rPr>
              <w:t>i modelele de servire cu priorit</w:t>
            </w:r>
            <w:r>
              <w:rPr>
                <w:rFonts w:cs="Times New Roman CE" w:ascii="Times New Roman CE" w:hAnsi="Times New Roman CE"/>
                <w:color w:val="000000"/>
                <w:sz w:val="22"/>
                <w:szCs w:val="22"/>
                <w:lang w:val="ro-MD"/>
              </w:rPr>
              <w:t>ă</w:t>
            </w:r>
            <w:r>
              <w:rPr>
                <w:rFonts w:cs="Cambria Math" w:ascii="Cambria Math" w:hAnsi="Cambria Math"/>
                <w:color w:val="000000"/>
                <w:sz w:val="22"/>
                <w:szCs w:val="22"/>
                <w:lang w:val="ro-MD"/>
              </w:rPr>
              <w:t>ț</w:t>
            </w:r>
            <w:r>
              <w:rPr>
                <w:color w:val="000000"/>
                <w:sz w:val="22"/>
                <w:szCs w:val="22"/>
                <w:lang w:val="ro-MD"/>
              </w:rPr>
              <w:t xml:space="preserve">i.  Metodele </w:t>
            </w:r>
            <w:r>
              <w:rPr>
                <w:rFonts w:cs="Cambria Math" w:ascii="Cambria Math" w:hAnsi="Cambria Math"/>
                <w:color w:val="000000"/>
                <w:sz w:val="22"/>
                <w:szCs w:val="22"/>
                <w:lang w:val="ro-MD"/>
              </w:rPr>
              <w:t>ș</w:t>
            </w:r>
            <w:r>
              <w:rPr>
                <w:color w:val="000000"/>
                <w:sz w:val="22"/>
                <w:szCs w:val="22"/>
                <w:lang w:val="ro-MD"/>
              </w:rPr>
              <w:t>i algoritmii numerici elabora</w:t>
            </w:r>
            <w:r>
              <w:rPr>
                <w:rFonts w:cs="Cambria Math" w:ascii="Cambria Math" w:hAnsi="Cambria Math"/>
                <w:color w:val="000000"/>
                <w:sz w:val="22"/>
                <w:szCs w:val="22"/>
                <w:lang w:val="ro-MD"/>
              </w:rPr>
              <w:t>ț</w:t>
            </w:r>
            <w:r>
              <w:rPr>
                <w:color w:val="000000"/>
                <w:sz w:val="22"/>
                <w:szCs w:val="22"/>
                <w:lang w:val="ro-MD"/>
              </w:rPr>
              <w:t>i sunt realiza</w:t>
            </w:r>
            <w:r>
              <w:rPr>
                <w:rFonts w:cs="Cambria Math" w:ascii="Cambria Math" w:hAnsi="Cambria Math"/>
                <w:color w:val="000000"/>
                <w:sz w:val="22"/>
                <w:szCs w:val="22"/>
                <w:lang w:val="ro-MD"/>
              </w:rPr>
              <w:t>ț</w:t>
            </w:r>
            <w:r>
              <w:rPr>
                <w:color w:val="000000"/>
                <w:sz w:val="22"/>
                <w:szCs w:val="22"/>
                <w:lang w:val="ro-MD"/>
              </w:rPr>
              <w:t xml:space="preserve">i </w:t>
            </w:r>
            <w:r>
              <w:rPr>
                <w:rFonts w:cs="Times New Roman CE" w:ascii="Times New Roman CE" w:hAnsi="Times New Roman CE"/>
                <w:color w:val="000000"/>
                <w:sz w:val="22"/>
                <w:szCs w:val="22"/>
                <w:lang w:val="ro-MD"/>
              </w:rPr>
              <w:t>î</w:t>
            </w:r>
            <w:r>
              <w:rPr>
                <w:color w:val="000000"/>
                <w:sz w:val="22"/>
                <w:szCs w:val="22"/>
                <w:lang w:val="ro-MD"/>
              </w:rPr>
              <w:t>n form</w:t>
            </w:r>
            <w:r>
              <w:rPr>
                <w:rFonts w:cs="Times New Roman CE" w:ascii="Times New Roman CE" w:hAnsi="Times New Roman CE"/>
                <w:color w:val="000000"/>
                <w:sz w:val="22"/>
                <w:szCs w:val="22"/>
                <w:lang w:val="ro-MD"/>
              </w:rPr>
              <w:t>ă</w:t>
            </w:r>
            <w:r>
              <w:rPr>
                <w:color w:val="000000"/>
                <w:sz w:val="22"/>
                <w:szCs w:val="22"/>
                <w:lang w:val="ro-MD"/>
              </w:rPr>
              <w:t xml:space="preserve"> de soft </w:t>
            </w:r>
            <w:r>
              <w:rPr>
                <w:rFonts w:cs="Cambria Math" w:ascii="Cambria Math" w:hAnsi="Cambria Math"/>
                <w:color w:val="000000"/>
                <w:sz w:val="22"/>
                <w:szCs w:val="22"/>
                <w:lang w:val="ro-MD"/>
              </w:rPr>
              <w:t>ș</w:t>
            </w:r>
            <w:r>
              <w:rPr>
                <w:color w:val="000000"/>
                <w:sz w:val="22"/>
                <w:szCs w:val="22"/>
                <w:lang w:val="ro-MD"/>
              </w:rPr>
              <w:t>i pot fi utiliza</w:t>
            </w:r>
            <w:r>
              <w:rPr>
                <w:rFonts w:cs="Cambria Math" w:ascii="Cambria Math" w:hAnsi="Cambria Math"/>
                <w:color w:val="000000"/>
                <w:sz w:val="22"/>
                <w:szCs w:val="22"/>
                <w:lang w:val="ro-MD"/>
              </w:rPr>
              <w:t>ț</w:t>
            </w:r>
            <w:r>
              <w:rPr>
                <w:color w:val="000000"/>
                <w:sz w:val="22"/>
                <w:szCs w:val="22"/>
                <w:lang w:val="ro-MD"/>
              </w:rPr>
              <w:t xml:space="preserve">i </w:t>
            </w:r>
            <w:r>
              <w:rPr>
                <w:rFonts w:cs="Times New Roman CE" w:ascii="Times New Roman CE" w:hAnsi="Times New Roman CE"/>
                <w:color w:val="000000"/>
                <w:sz w:val="22"/>
                <w:szCs w:val="22"/>
                <w:lang w:val="ro-MD"/>
              </w:rPr>
              <w:t>î</w:t>
            </w:r>
            <w:r>
              <w:rPr>
                <w:color w:val="000000"/>
                <w:sz w:val="22"/>
                <w:szCs w:val="22"/>
                <w:lang w:val="ro-MD"/>
              </w:rPr>
              <w:t>n practic</w:t>
            </w:r>
            <w:r>
              <w:rPr>
                <w:rFonts w:cs="Times New Roman CE" w:ascii="Times New Roman CE" w:hAnsi="Times New Roman CE"/>
                <w:color w:val="000000"/>
                <w:sz w:val="22"/>
                <w:szCs w:val="22"/>
                <w:lang w:val="ro-MD"/>
              </w:rPr>
              <w:t>ă</w:t>
            </w:r>
            <w:r>
              <w:rPr>
                <w:color w:val="000000"/>
                <w:sz w:val="22"/>
                <w:szCs w:val="22"/>
                <w:lang w:val="ro-MD"/>
              </w:rPr>
              <w:t>.</w:t>
            </w:r>
          </w:p>
        </w:tc>
      </w:tr>
    </w:tbl>
    <w:p>
      <w:pPr>
        <w:pStyle w:val="Normal"/>
        <w:widowControl/>
        <w:bidi w:val="0"/>
        <w:ind w:left="0" w:right="0" w:hanging="0"/>
        <w:jc w:val="left"/>
        <w:textAlignment w:val="auto"/>
        <w:rPr>
          <w:rFonts w:ascii="Times New Roman" w:hAnsi="Times New Roman"/>
          <w:lang w:val="ro-MD" w:eastAsia="en-US"/>
        </w:rPr>
      </w:pPr>
      <w:r>
        <w:rPr>
          <w:lang w:val="ro-MD"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5"/>
        <w:keepNext/>
        <w:widowControl/>
        <w:numPr>
          <w:ilvl w:val="0"/>
          <w:numId w:val="0"/>
        </w:numPr>
        <w:tabs>
          <w:tab w:val="left" w:pos="0" w:leader="none"/>
        </w:tabs>
        <w:suppressAutoHyphens w:val="true"/>
        <w:bidi w:val="0"/>
        <w:ind w:left="0" w:right="0" w:hanging="0"/>
        <w:jc w:val="left"/>
        <w:textAlignment w:val="auto"/>
        <w:outlineLvl w:val="4"/>
        <w:rPr>
          <w:b w:val="false"/>
          <w:b w:val="false"/>
        </w:rPr>
      </w:pPr>
      <w:r>
        <w:rPr>
          <w:rFonts w:cs="Times New Roman CE" w:ascii="Times New Roman CE" w:hAnsi="Times New Roman CE"/>
          <w:b w:val="false"/>
          <w:spacing w:val="0"/>
          <w:sz w:val="24"/>
          <w:szCs w:val="24"/>
        </w:rPr>
        <w:t>Conducătorul proiectului</w:t>
      </w:r>
      <w:r>
        <w:rPr>
          <w:b w:val="false"/>
          <w:bCs w:val="false"/>
          <w:iCs/>
          <w:sz w:val="24"/>
          <w:szCs w:val="24"/>
        </w:rPr>
        <w:t xml:space="preserve">  </w:t>
      </w:r>
      <w:r>
        <w:rPr>
          <w:b w:val="false"/>
          <w:bCs w:val="false"/>
          <w:i/>
          <w:iCs/>
          <w:spacing w:val="0"/>
          <w:sz w:val="24"/>
          <w:szCs w:val="24"/>
          <w:lang w:val="ro-RO"/>
        </w:rPr>
        <w:t xml:space="preserve">______________________________  </w:t>
      </w:r>
      <w:r>
        <w:rPr>
          <w:b w:val="false"/>
          <w:bCs w:val="false"/>
          <w:iCs/>
          <w:sz w:val="24"/>
          <w:szCs w:val="24"/>
        </w:rPr>
        <w:t xml:space="preserve"> dr.h.</w:t>
      </w:r>
      <w:r>
        <w:rPr>
          <w:b w:val="false"/>
          <w:bCs w:val="false"/>
          <w:i/>
          <w:iCs/>
          <w:spacing w:val="0"/>
          <w:sz w:val="24"/>
          <w:szCs w:val="24"/>
          <w:lang w:val="ro-RO"/>
        </w:rPr>
        <w:t xml:space="preserve"> </w:t>
      </w:r>
      <w:r>
        <w:rPr>
          <w:b w:val="false"/>
          <w:bCs w:val="false"/>
          <w:iCs/>
          <w:sz w:val="24"/>
          <w:szCs w:val="24"/>
        </w:rPr>
        <w:t>LOZOVANU Dmitrii</w:t>
      </w:r>
    </w:p>
    <w:p>
      <w:pPr>
        <w:pStyle w:val="Normal"/>
        <w:widowControl/>
        <w:bidi w:val="0"/>
        <w:ind w:left="0" w:right="0" w:hanging="0"/>
        <w:jc w:val="left"/>
        <w:textAlignment w:val="auto"/>
        <w:rPr>
          <w:rFonts w:ascii="Times New Roman" w:hAnsi="Times New Roman"/>
          <w:lang w:val="ro-MD" w:eastAsia="en-US"/>
        </w:rPr>
      </w:pPr>
      <w:r>
        <w:rPr>
          <w:lang w:val="ro-MD"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lang w:val="ro-RO"/>
        </w:rPr>
      </w:pPr>
      <w:r>
        <w:rPr>
          <w:lang w:val="ro-RO"/>
        </w:rPr>
      </w:r>
      <w:r>
        <w:br w:type="page"/>
      </w:r>
    </w:p>
    <w:p>
      <w:pPr>
        <w:pStyle w:val="Normal"/>
        <w:widowControl/>
        <w:bidi w:val="0"/>
        <w:ind w:left="0" w:right="0" w:hanging="0"/>
        <w:jc w:val="left"/>
        <w:textAlignment w:val="auto"/>
        <w:rPr/>
      </w:pPr>
      <w:bookmarkStart w:id="79" w:name="_Toc469651886"/>
      <w:r>
        <w:rPr>
          <w:rFonts w:cs="Times New Roman CE" w:ascii="Times New Roman CE" w:hAnsi="Times New Roman CE"/>
          <w:i/>
          <w:sz w:val="26"/>
          <w:szCs w:val="26"/>
        </w:rPr>
        <w:t>Fişa proiectului internaţional</w:t>
      </w:r>
      <w:bookmarkEnd w:id="79"/>
      <w:r>
        <w:rPr>
          <w:i/>
          <w:sz w:val="26"/>
          <w:szCs w:val="26"/>
        </w:rPr>
        <w:t xml:space="preserve"> III</w:t>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numPr>
          <w:ilvl w:val="0"/>
          <w:numId w:val="24"/>
        </w:numPr>
        <w:tabs>
          <w:tab w:val="left" w:pos="180" w:leader="none"/>
        </w:tabs>
        <w:bidi w:val="0"/>
        <w:ind w:left="180" w:right="0" w:hanging="0"/>
        <w:jc w:val="left"/>
        <w:textAlignment w:val="auto"/>
        <w:rPr>
          <w:lang w:val="ro-MD"/>
        </w:rPr>
      </w:pPr>
      <w:r>
        <w:rPr>
          <w:bCs/>
          <w:color w:val="000000"/>
          <w:sz w:val="22"/>
          <w:szCs w:val="22"/>
          <w:lang w:val="ro-MD"/>
        </w:rPr>
        <w:t xml:space="preserve">Denumirea </w:t>
      </w:r>
      <w:r>
        <w:rPr>
          <w:color w:val="000000"/>
          <w:sz w:val="22"/>
          <w:szCs w:val="22"/>
          <w:lang w:val="ro-MD"/>
        </w:rPr>
        <w:t>proiectului</w:t>
      </w:r>
      <w:r>
        <w:rPr>
          <w:bCs/>
          <w:color w:val="000000"/>
          <w:sz w:val="22"/>
          <w:szCs w:val="22"/>
          <w:lang w:val="ro-MD"/>
        </w:rPr>
        <w:t xml:space="preserve"> </w:t>
      </w:r>
    </w:p>
    <w:tbl>
      <w:tblPr>
        <w:tblW w:w="9462"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462"/>
      </w:tblGrid>
      <w:tr>
        <w:trPr/>
        <w:tc>
          <w:tcPr>
            <w:tcW w:w="9462"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en-US"/>
              </w:rPr>
            </w:pPr>
            <w:r>
              <w:rPr>
                <w:sz w:val="22"/>
                <w:szCs w:val="22"/>
                <w:lang w:val="en-US"/>
              </w:rPr>
              <w:t>NUKR.SFPP 984877 - "Modeling and Mitigation of Social Disasters Caused by</w:t>
            </w:r>
          </w:p>
          <w:p>
            <w:pPr>
              <w:pStyle w:val="Normal"/>
              <w:widowControl/>
              <w:bidi w:val="0"/>
              <w:ind w:left="0" w:right="0" w:hanging="0"/>
              <w:jc w:val="left"/>
              <w:textAlignment w:val="auto"/>
              <w:rPr>
                <w:lang w:val="en-US"/>
              </w:rPr>
            </w:pPr>
            <w:r>
              <w:rPr>
                <w:sz w:val="22"/>
                <w:szCs w:val="22"/>
                <w:lang w:val="en-US"/>
              </w:rPr>
              <w:t xml:space="preserve">Catastrophes and Terrorism" (Modelarea </w:t>
            </w:r>
            <w:r>
              <w:rPr>
                <w:rFonts w:cs="Cambria Math" w:ascii="Cambria Math" w:hAnsi="Cambria Math"/>
                <w:sz w:val="22"/>
                <w:szCs w:val="22"/>
                <w:lang w:val="en-US"/>
              </w:rPr>
              <w:t>ș</w:t>
            </w:r>
            <w:r>
              <w:rPr>
                <w:sz w:val="22"/>
                <w:szCs w:val="22"/>
                <w:lang w:val="en-US"/>
              </w:rPr>
              <w:t xml:space="preserve">i </w:t>
            </w:r>
            <w:r>
              <w:rPr>
                <w:sz w:val="22"/>
                <w:szCs w:val="22"/>
                <w:lang w:val="ro-RO"/>
              </w:rPr>
              <w:t xml:space="preserve">atenuarea dezastrelor sociale cauzate de catastrofe </w:t>
            </w:r>
            <w:r>
              <w:rPr>
                <w:rFonts w:cs="Cambria Math" w:ascii="Cambria Math" w:hAnsi="Cambria Math"/>
                <w:sz w:val="22"/>
                <w:szCs w:val="22"/>
                <w:lang w:val="ro-RO"/>
              </w:rPr>
              <w:t>ș</w:t>
            </w:r>
            <w:r>
              <w:rPr>
                <w:sz w:val="22"/>
                <w:szCs w:val="22"/>
                <w:lang w:val="ro-RO"/>
              </w:rPr>
              <w:t>i terorism</w:t>
            </w:r>
            <w:r>
              <w:rPr>
                <w:sz w:val="22"/>
                <w:szCs w:val="22"/>
                <w:lang w:val="en-US"/>
              </w:rPr>
              <w:t>"</w:t>
            </w:r>
          </w:p>
        </w:tc>
      </w:tr>
    </w:tbl>
    <w:p>
      <w:pPr>
        <w:pStyle w:val="Normal"/>
        <w:widowControl/>
        <w:numPr>
          <w:ilvl w:val="0"/>
          <w:numId w:val="24"/>
        </w:numPr>
        <w:tabs>
          <w:tab w:val="left" w:pos="180" w:leader="none"/>
        </w:tabs>
        <w:bidi w:val="0"/>
        <w:ind w:left="180" w:right="0" w:hanging="0"/>
        <w:jc w:val="left"/>
        <w:textAlignment w:val="auto"/>
        <w:rPr>
          <w:lang w:val="ro-MD"/>
        </w:rPr>
      </w:pPr>
      <w:r>
        <w:rPr>
          <w:bCs/>
          <w:sz w:val="22"/>
          <w:szCs w:val="22"/>
          <w:lang w:val="ro-MD"/>
        </w:rPr>
        <w:t>Denumirea programului /organi</w:t>
      </w:r>
      <w:r>
        <w:rPr>
          <w:rFonts w:cs="Times New Roman CE" w:ascii="Times New Roman CE" w:hAnsi="Times New Roman CE"/>
          <w:bCs/>
          <w:sz w:val="22"/>
          <w:szCs w:val="22"/>
          <w:lang w:val="ro-MD"/>
        </w:rPr>
        <w:t>zaţiei/fondului internaţional</w:t>
      </w:r>
    </w:p>
    <w:tbl>
      <w:tblPr>
        <w:tblW w:w="9462"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462"/>
      </w:tblGrid>
      <w:tr>
        <w:trPr/>
        <w:tc>
          <w:tcPr>
            <w:tcW w:w="9462"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en-US"/>
              </w:rPr>
            </w:pPr>
            <w:r>
              <w:rPr>
                <w:sz w:val="22"/>
                <w:szCs w:val="22"/>
                <w:lang w:val="en-US"/>
              </w:rPr>
              <w:t>Programul NATO “</w:t>
            </w:r>
            <w:r>
              <w:rPr>
                <w:rFonts w:cs="Times New Roman CE" w:ascii="Times New Roman CE" w:hAnsi="Times New Roman CE"/>
                <w:sz w:val="22"/>
                <w:szCs w:val="22"/>
                <w:lang w:val="en-US"/>
              </w:rPr>
              <w:t>Ş</w:t>
            </w:r>
            <w:r>
              <w:rPr>
                <w:sz w:val="22"/>
                <w:szCs w:val="22"/>
                <w:lang w:val="en-US"/>
              </w:rPr>
              <w:t>tiin</w:t>
            </w:r>
            <w:r>
              <w:rPr>
                <w:rFonts w:cs="Times New Roman CE" w:ascii="Times New Roman CE" w:hAnsi="Times New Roman CE"/>
                <w:sz w:val="22"/>
                <w:szCs w:val="22"/>
                <w:lang w:val="en-US"/>
              </w:rPr>
              <w:t>ţ</w:t>
            </w:r>
            <w:r>
              <w:rPr>
                <w:sz w:val="22"/>
                <w:szCs w:val="22"/>
                <w:lang w:val="en-US"/>
              </w:rPr>
              <w:t xml:space="preserve">a pentru Pace </w:t>
            </w:r>
            <w:r>
              <w:rPr>
                <w:rFonts w:cs="Times New Roman CE" w:ascii="Times New Roman CE" w:hAnsi="Times New Roman CE"/>
                <w:sz w:val="22"/>
                <w:szCs w:val="22"/>
                <w:lang w:val="en-US"/>
              </w:rPr>
              <w:t>ş</w:t>
            </w:r>
            <w:r>
              <w:rPr>
                <w:sz w:val="22"/>
                <w:szCs w:val="22"/>
                <w:lang w:val="en-US"/>
              </w:rPr>
              <w:t>i Securitate”</w:t>
            </w:r>
          </w:p>
          <w:p>
            <w:pPr>
              <w:pStyle w:val="Normal"/>
              <w:widowControl/>
              <w:bidi w:val="0"/>
              <w:ind w:left="0" w:right="0" w:hanging="0"/>
              <w:jc w:val="left"/>
              <w:textAlignment w:val="auto"/>
              <w:rPr>
                <w:lang w:val="en-US"/>
              </w:rPr>
            </w:pPr>
            <w:r>
              <w:rPr>
                <w:sz w:val="22"/>
                <w:szCs w:val="22"/>
                <w:lang w:val="en-US"/>
              </w:rPr>
              <w:t xml:space="preserve"> </w:t>
            </w:r>
          </w:p>
        </w:tc>
      </w:tr>
    </w:tbl>
    <w:p>
      <w:pPr>
        <w:pStyle w:val="Normal"/>
        <w:widowControl/>
        <w:numPr>
          <w:ilvl w:val="0"/>
          <w:numId w:val="24"/>
        </w:numPr>
        <w:tabs>
          <w:tab w:val="left" w:pos="180" w:leader="none"/>
        </w:tabs>
        <w:bidi w:val="0"/>
        <w:ind w:left="180" w:right="0" w:hanging="0"/>
        <w:jc w:val="left"/>
        <w:textAlignment w:val="auto"/>
        <w:rPr>
          <w:lang w:val="ro-MD"/>
        </w:rPr>
      </w:pPr>
      <w:r>
        <w:rPr>
          <w:bCs/>
          <w:sz w:val="22"/>
          <w:szCs w:val="22"/>
          <w:lang w:val="ro-MD"/>
        </w:rPr>
        <w:t xml:space="preserve">Obiectivele proiectului </w:t>
      </w:r>
    </w:p>
    <w:tbl>
      <w:tblPr>
        <w:tblW w:w="9462"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462"/>
      </w:tblGrid>
      <w:tr>
        <w:trPr/>
        <w:tc>
          <w:tcPr>
            <w:tcW w:w="9462"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both"/>
              <w:textAlignment w:val="auto"/>
              <w:rPr>
                <w:lang w:val="ro-MD"/>
              </w:rPr>
            </w:pPr>
            <w:r>
              <w:rPr>
                <w:rFonts w:cs="Times New Roman CE" w:ascii="Times New Roman CE" w:hAnsi="Times New Roman CE"/>
                <w:sz w:val="22"/>
                <w:szCs w:val="22"/>
                <w:lang w:val="ro-MD"/>
              </w:rPr>
              <w:t xml:space="preserve">Crearea unui set de instrumente, metode, modele şi algoritmi care permit detectarea, monotorizarea, modelarea </w:t>
            </w:r>
            <w:r>
              <w:rPr>
                <w:rFonts w:cs="Cambria Math" w:ascii="Cambria Math" w:hAnsi="Cambria Math"/>
                <w:sz w:val="22"/>
                <w:szCs w:val="22"/>
                <w:lang w:val="ro-MD"/>
              </w:rPr>
              <w:t>ș</w:t>
            </w:r>
            <w:r>
              <w:rPr>
                <w:sz w:val="22"/>
                <w:szCs w:val="22"/>
                <w:lang w:val="ro-MD"/>
              </w:rPr>
              <w:t xml:space="preserve">i atenuarea dezastrelor sociale cauzate de terorism </w:t>
            </w:r>
            <w:r>
              <w:rPr>
                <w:rFonts w:cs="Cambria Math" w:ascii="Cambria Math" w:hAnsi="Cambria Math"/>
                <w:sz w:val="22"/>
                <w:szCs w:val="22"/>
                <w:lang w:val="ro-MD"/>
              </w:rPr>
              <w:t>ș</w:t>
            </w:r>
            <w:r>
              <w:rPr>
                <w:rFonts w:cs="Times New Roman CE" w:ascii="Times New Roman CE" w:hAnsi="Times New Roman CE"/>
                <w:sz w:val="22"/>
                <w:szCs w:val="22"/>
                <w:lang w:val="ro-MD"/>
              </w:rPr>
              <w:t xml:space="preserve">i catastrofe de origine diferită (naturale, tehnogene etc.) </w:t>
            </w:r>
          </w:p>
        </w:tc>
      </w:tr>
    </w:tbl>
    <w:p>
      <w:pPr>
        <w:pStyle w:val="Normal"/>
        <w:widowControl/>
        <w:numPr>
          <w:ilvl w:val="0"/>
          <w:numId w:val="24"/>
        </w:numPr>
        <w:tabs>
          <w:tab w:val="left" w:pos="180" w:leader="none"/>
        </w:tabs>
        <w:bidi w:val="0"/>
        <w:ind w:left="180" w:right="0" w:hanging="0"/>
        <w:jc w:val="left"/>
        <w:textAlignment w:val="auto"/>
        <w:rPr>
          <w:lang w:val="en-US"/>
        </w:rPr>
      </w:pPr>
      <w:r>
        <w:rPr>
          <w:rFonts w:cs="Times New Roman CE" w:ascii="Times New Roman CE" w:hAnsi="Times New Roman CE"/>
          <w:sz w:val="22"/>
          <w:szCs w:val="22"/>
          <w:lang w:val="en-US"/>
        </w:rPr>
        <w:t xml:space="preserve">Termenul executării </w:t>
      </w:r>
    </w:p>
    <w:tbl>
      <w:tblPr>
        <w:tblW w:w="9462"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462"/>
      </w:tblGrid>
      <w:tr>
        <w:trPr/>
        <w:tc>
          <w:tcPr>
            <w:tcW w:w="9462"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en-US"/>
              </w:rPr>
            </w:pPr>
            <w:r>
              <w:rPr>
                <w:sz w:val="22"/>
                <w:szCs w:val="22"/>
                <w:lang w:val="en-US"/>
              </w:rPr>
              <w:t>2015-2016</w:t>
            </w:r>
          </w:p>
        </w:tc>
      </w:tr>
    </w:tbl>
    <w:p>
      <w:pPr>
        <w:pStyle w:val="Normal"/>
        <w:widowControl/>
        <w:numPr>
          <w:ilvl w:val="0"/>
          <w:numId w:val="24"/>
        </w:numPr>
        <w:tabs>
          <w:tab w:val="left" w:pos="180" w:leader="none"/>
        </w:tabs>
        <w:bidi w:val="0"/>
        <w:ind w:left="180" w:right="0" w:hanging="0"/>
        <w:jc w:val="left"/>
        <w:textAlignment w:val="auto"/>
        <w:rPr>
          <w:lang w:val="ro-MD"/>
        </w:rPr>
      </w:pPr>
      <w:r>
        <w:rPr>
          <w:sz w:val="22"/>
          <w:szCs w:val="22"/>
          <w:lang w:val="ro-MD"/>
        </w:rPr>
        <w:t xml:space="preserve">Costul total al proiectului  </w:t>
      </w:r>
    </w:p>
    <w:tbl>
      <w:tblPr>
        <w:tblW w:w="9462"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462"/>
      </w:tblGrid>
      <w:tr>
        <w:trPr/>
        <w:tc>
          <w:tcPr>
            <w:tcW w:w="9462"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MD"/>
              </w:rPr>
            </w:pPr>
            <w:r>
              <w:rPr>
                <w:bCs/>
                <w:lang w:val="ro-MD"/>
              </w:rPr>
              <w:t>300 mii euro</w:t>
            </w:r>
          </w:p>
        </w:tc>
      </w:tr>
    </w:tbl>
    <w:p>
      <w:pPr>
        <w:pStyle w:val="Normal"/>
        <w:widowControl/>
        <w:numPr>
          <w:ilvl w:val="0"/>
          <w:numId w:val="24"/>
        </w:numPr>
        <w:tabs>
          <w:tab w:val="left" w:pos="180" w:leader="none"/>
        </w:tabs>
        <w:bidi w:val="0"/>
        <w:ind w:left="180" w:right="0" w:hanging="0"/>
        <w:jc w:val="left"/>
        <w:textAlignment w:val="auto"/>
        <w:rPr>
          <w:lang w:val="ro-RO"/>
        </w:rPr>
      </w:pPr>
      <w:r>
        <w:rPr>
          <w:rFonts w:cs="Times New Roman CE" w:ascii="Times New Roman CE" w:hAnsi="Times New Roman CE"/>
          <w:bCs/>
          <w:sz w:val="22"/>
          <w:szCs w:val="22"/>
          <w:lang w:val="ro-RO"/>
        </w:rPr>
        <w:t xml:space="preserve">Cofinanţarea </w:t>
      </w:r>
      <w:r>
        <w:rPr>
          <w:sz w:val="22"/>
          <w:szCs w:val="22"/>
          <w:lang w:val="ro-MD"/>
        </w:rPr>
        <w:t>din partea Republicii Moldova (</w:t>
      </w:r>
      <w:r>
        <w:rPr>
          <w:rFonts w:cs="Times New Roman CE" w:ascii="Times New Roman CE" w:hAnsi="Times New Roman CE"/>
          <w:sz w:val="22"/>
          <w:szCs w:val="22"/>
          <w:lang w:val="ro-RO"/>
        </w:rPr>
        <w:t>în cazul cofinanţării</w:t>
      </w:r>
      <w:r>
        <w:rPr>
          <w:sz w:val="22"/>
          <w:szCs w:val="22"/>
          <w:lang w:val="ro-MD"/>
        </w:rPr>
        <w:t>)</w:t>
      </w:r>
    </w:p>
    <w:tbl>
      <w:tblPr>
        <w:tblW w:w="9464" w:type="dxa"/>
        <w:jc w:val="left"/>
        <w:tblInd w:w="567"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5014"/>
        <w:gridCol w:w="4449"/>
      </w:tblGrid>
      <w:tr>
        <w:trPr>
          <w:trHeight w:val="330" w:hRule="atLeast"/>
        </w:trPr>
        <w:tc>
          <w:tcPr>
            <w:tcW w:w="5014"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vAlign w:val="center"/>
          </w:tcPr>
          <w:p>
            <w:pPr>
              <w:pStyle w:val="Normal"/>
              <w:widowControl/>
              <w:bidi w:val="0"/>
              <w:ind w:left="0" w:right="0" w:hanging="0"/>
              <w:jc w:val="left"/>
              <w:textAlignment w:val="auto"/>
              <w:rPr>
                <w:lang w:val="ro-MD"/>
              </w:rPr>
            </w:pPr>
            <w:r>
              <w:rPr>
                <w:rStyle w:val="Style6"/>
                <w:rFonts w:cs="Times New Roman CE" w:ascii="Times New Roman CE" w:hAnsi="Times New Roman CE"/>
                <w:i/>
                <w:iCs/>
                <w:lang w:val="ro-MD"/>
              </w:rPr>
              <w:t>Cofinanţarea totală planificată (m</w:t>
            </w:r>
            <w:r>
              <w:rPr>
                <w:rStyle w:val="Style6"/>
                <w:i/>
                <w:iCs/>
                <w:lang w:val="ro-MD"/>
              </w:rPr>
              <w:t>ii lei)</w:t>
            </w:r>
          </w:p>
          <w:p>
            <w:pPr>
              <w:pStyle w:val="Normal"/>
              <w:widowControl/>
              <w:bidi w:val="0"/>
              <w:ind w:left="0" w:right="0" w:hanging="0"/>
              <w:jc w:val="left"/>
              <w:textAlignment w:val="auto"/>
              <w:rPr>
                <w:rStyle w:val="Style6"/>
                <w:rFonts w:ascii="Times New Roman" w:hAnsi="Times New Roman"/>
                <w:i/>
                <w:i/>
                <w:iCs/>
                <w:lang w:val="ro-MD"/>
              </w:rPr>
            </w:pPr>
            <w:r>
              <w:rPr>
                <w:i/>
                <w:iCs/>
                <w:lang w:val="ro-MD"/>
              </w:rPr>
            </w:r>
          </w:p>
        </w:tc>
        <w:tc>
          <w:tcPr>
            <w:tcW w:w="4449"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vAlign w:val="center"/>
          </w:tcPr>
          <w:p>
            <w:pPr>
              <w:pStyle w:val="Normal"/>
              <w:widowControl/>
              <w:bidi w:val="0"/>
              <w:ind w:left="0" w:right="0" w:hanging="0"/>
              <w:jc w:val="center"/>
              <w:textAlignment w:val="auto"/>
              <w:rPr>
                <w:lang w:val="ro-MD"/>
              </w:rPr>
            </w:pPr>
            <w:r>
              <w:rPr>
                <w:rFonts w:cs="Times New Roman CE" w:ascii="Times New Roman CE" w:hAnsi="Times New Roman CE"/>
                <w:bCs/>
                <w:i/>
                <w:sz w:val="22"/>
                <w:szCs w:val="22"/>
                <w:lang w:val="ro-MD"/>
              </w:rPr>
              <w:t>Cofinanţarea pe perioada evaluată (mii lei)</w:t>
            </w:r>
          </w:p>
          <w:p>
            <w:pPr>
              <w:pStyle w:val="Normal"/>
              <w:widowControl/>
              <w:bidi w:val="0"/>
              <w:ind w:left="0" w:right="0" w:hanging="0"/>
              <w:jc w:val="center"/>
              <w:textAlignment w:val="auto"/>
              <w:rPr>
                <w:rFonts w:ascii="Times New Roman" w:hAnsi="Times New Roman"/>
                <w:bCs/>
                <w:i/>
                <w:i/>
                <w:lang w:val="ro-MD"/>
              </w:rPr>
            </w:pPr>
            <w:r>
              <w:rPr>
                <w:bCs/>
                <w:i/>
                <w:lang w:val="ro-MD"/>
              </w:rPr>
            </w:r>
          </w:p>
        </w:tc>
      </w:tr>
    </w:tbl>
    <w:p>
      <w:pPr>
        <w:pStyle w:val="Normal"/>
        <w:widowControl/>
        <w:numPr>
          <w:ilvl w:val="0"/>
          <w:numId w:val="24"/>
        </w:numPr>
        <w:tabs>
          <w:tab w:val="left" w:pos="180" w:leader="none"/>
        </w:tabs>
        <w:bidi w:val="0"/>
        <w:ind w:left="180" w:right="0" w:hanging="0"/>
        <w:jc w:val="left"/>
        <w:textAlignment w:val="auto"/>
        <w:rPr>
          <w:lang w:val="ro-MD"/>
        </w:rPr>
      </w:pPr>
      <w:r>
        <w:rPr>
          <w:rFonts w:cs="Times New Roman CE" w:ascii="Times New Roman CE" w:hAnsi="Times New Roman CE"/>
          <w:sz w:val="22"/>
          <w:szCs w:val="22"/>
          <w:lang w:val="ro-MD"/>
        </w:rPr>
        <w:t>Subdiviziunile organizaţiei executoare (laborator, secţie, sector etc.)</w:t>
      </w:r>
    </w:p>
    <w:tbl>
      <w:tblPr>
        <w:tblW w:w="9498"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498"/>
      </w:tblGrid>
      <w:tr>
        <w:trPr>
          <w:trHeight w:val="318" w:hRule="atLeast"/>
        </w:trPr>
        <w:tc>
          <w:tcPr>
            <w:tcW w:w="9498"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Laboratorul Sisteme de programare, laboratorul Sisteme informatice</w:t>
            </w:r>
          </w:p>
        </w:tc>
      </w:tr>
    </w:tbl>
    <w:p>
      <w:pPr>
        <w:pStyle w:val="Normal"/>
        <w:widowControl/>
        <w:numPr>
          <w:ilvl w:val="0"/>
          <w:numId w:val="24"/>
        </w:numPr>
        <w:tabs>
          <w:tab w:val="left" w:pos="180" w:leader="none"/>
        </w:tabs>
        <w:bidi w:val="0"/>
        <w:spacing w:lineRule="exact" w:line="360"/>
        <w:ind w:left="180" w:right="0" w:hanging="0"/>
        <w:jc w:val="left"/>
        <w:textAlignment w:val="auto"/>
        <w:rPr>
          <w:lang w:val="ro-MD"/>
        </w:rPr>
      </w:pPr>
      <w:r>
        <w:rPr>
          <w:sz w:val="22"/>
          <w:szCs w:val="22"/>
          <w:lang w:val="ro-MD"/>
        </w:rPr>
        <w:t xml:space="preserve">Executorii  </w:t>
      </w:r>
    </w:p>
    <w:tbl>
      <w:tblPr>
        <w:tblW w:w="8973" w:type="dxa"/>
        <w:jc w:val="left"/>
        <w:tblInd w:w="-10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3" w:type="dxa"/>
          <w:bottom w:w="0" w:type="dxa"/>
          <w:right w:w="108" w:type="dxa"/>
        </w:tblCellMar>
      </w:tblPr>
      <w:tblGrid>
        <w:gridCol w:w="912"/>
        <w:gridCol w:w="2215"/>
        <w:gridCol w:w="3256"/>
        <w:gridCol w:w="2589"/>
      </w:tblGrid>
      <w:tr>
        <w:trPr/>
        <w:tc>
          <w:tcPr>
            <w:tcW w:w="91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Nr./ord.</w:t>
            </w:r>
          </w:p>
        </w:tc>
        <w:tc>
          <w:tcPr>
            <w:tcW w:w="22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sz w:val="22"/>
                <w:szCs w:val="22"/>
                <w:lang w:val="ro-MD"/>
              </w:rPr>
              <w:t xml:space="preserve">Nume, prenume </w:t>
            </w:r>
          </w:p>
        </w:tc>
        <w:tc>
          <w:tcPr>
            <w:tcW w:w="584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sz w:val="22"/>
                <w:szCs w:val="22"/>
                <w:lang w:val="ro-MD"/>
              </w:rPr>
              <w:t xml:space="preserve"> </w:t>
            </w:r>
            <w:r>
              <w:rPr>
                <w:bCs/>
                <w:i/>
                <w:sz w:val="22"/>
                <w:szCs w:val="22"/>
                <w:lang w:val="ro-MD"/>
              </w:rPr>
              <w:t>F</w:t>
            </w:r>
            <w:r>
              <w:rPr>
                <w:rFonts w:cs="Times New Roman CE" w:ascii="Times New Roman CE" w:hAnsi="Times New Roman CE"/>
                <w:bCs/>
                <w:i/>
                <w:sz w:val="22"/>
                <w:szCs w:val="22"/>
                <w:lang w:val="ro-MD"/>
              </w:rPr>
              <w:t>uncţia în cadrul proie</w:t>
            </w:r>
            <w:r>
              <w:rPr>
                <w:bCs/>
                <w:i/>
                <w:sz w:val="22"/>
                <w:szCs w:val="22"/>
                <w:lang w:val="ro-MD"/>
              </w:rPr>
              <w:t>ctului</w:t>
            </w:r>
          </w:p>
        </w:tc>
      </w:tr>
      <w:tr>
        <w:trPr/>
        <w:tc>
          <w:tcPr>
            <w:tcW w:w="91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1.</w:t>
            </w:r>
          </w:p>
        </w:tc>
        <w:tc>
          <w:tcPr>
            <w:tcW w:w="22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317" w:leader="none"/>
                <w:tab w:val="left" w:pos="3222" w:leader="none"/>
                <w:tab w:val="left" w:pos="3768" w:leader="none"/>
              </w:tabs>
              <w:bidi w:val="0"/>
              <w:ind w:left="0" w:right="0" w:hanging="0"/>
              <w:jc w:val="left"/>
              <w:textAlignment w:val="auto"/>
              <w:rPr>
                <w:lang w:val="ro-RO"/>
              </w:rPr>
            </w:pPr>
            <w:r>
              <w:rPr>
                <w:i/>
                <w:sz w:val="22"/>
                <w:szCs w:val="22"/>
                <w:lang w:val="ro-RO"/>
              </w:rPr>
              <w:t xml:space="preserve">Svetlana Cojocaru </w:t>
            </w:r>
          </w:p>
        </w:tc>
        <w:tc>
          <w:tcPr>
            <w:tcW w:w="32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
                <w:sz w:val="22"/>
                <w:szCs w:val="22"/>
                <w:lang w:val="ro-RO"/>
              </w:rPr>
              <w:t>conducătorul proiectului</w:t>
            </w:r>
          </w:p>
        </w:tc>
        <w:tc>
          <w:tcPr>
            <w:tcW w:w="25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bCs/>
                <w:i/>
                <w:sz w:val="22"/>
                <w:szCs w:val="22"/>
                <w:lang w:val="ro-MD"/>
              </w:rPr>
              <w:t>doctor habilitat</w:t>
            </w:r>
          </w:p>
        </w:tc>
      </w:tr>
      <w:tr>
        <w:trPr/>
        <w:tc>
          <w:tcPr>
            <w:tcW w:w="91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2.</w:t>
            </w:r>
          </w:p>
        </w:tc>
        <w:tc>
          <w:tcPr>
            <w:tcW w:w="22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bCs/>
                <w:i/>
                <w:lang w:val="ro-MD"/>
              </w:rPr>
              <w:t xml:space="preserve">Inga Ţiţchiev </w:t>
            </w:r>
          </w:p>
        </w:tc>
        <w:tc>
          <w:tcPr>
            <w:tcW w:w="32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bCs/>
                <w:i/>
                <w:iCs/>
                <w:sz w:val="22"/>
                <w:szCs w:val="22"/>
                <w:lang w:val="ro-MD"/>
              </w:rPr>
              <w:t xml:space="preserve">cercetător ştiinţific  </w:t>
            </w:r>
            <w:r>
              <w:rPr>
                <w:i/>
                <w:sz w:val="22"/>
                <w:szCs w:val="22"/>
                <w:lang w:val="ro-RO"/>
              </w:rPr>
              <w:t>coordonator</w:t>
            </w:r>
          </w:p>
        </w:tc>
        <w:tc>
          <w:tcPr>
            <w:tcW w:w="25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iCs/>
                <w:sz w:val="22"/>
                <w:szCs w:val="22"/>
                <w:lang w:val="ro-MD"/>
              </w:rPr>
              <w:t xml:space="preserve">doctor </w:t>
            </w:r>
          </w:p>
        </w:tc>
      </w:tr>
      <w:tr>
        <w:trPr/>
        <w:tc>
          <w:tcPr>
            <w:tcW w:w="91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2.</w:t>
            </w:r>
          </w:p>
        </w:tc>
        <w:tc>
          <w:tcPr>
            <w:tcW w:w="22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317" w:leader="none"/>
                <w:tab w:val="left" w:pos="3222" w:leader="none"/>
                <w:tab w:val="left" w:pos="3768" w:leader="none"/>
              </w:tabs>
              <w:bidi w:val="0"/>
              <w:ind w:left="0" w:right="0" w:hanging="0"/>
              <w:jc w:val="left"/>
              <w:textAlignment w:val="auto"/>
              <w:rPr>
                <w:lang w:val="ro-MD"/>
              </w:rPr>
            </w:pPr>
            <w:r>
              <w:rPr>
                <w:bCs/>
                <w:i/>
                <w:lang w:val="ro-MD"/>
              </w:rPr>
              <w:t>Mircea Petic</w:t>
            </w:r>
          </w:p>
        </w:tc>
        <w:tc>
          <w:tcPr>
            <w:tcW w:w="32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bCs/>
                <w:i/>
                <w:iCs/>
                <w:sz w:val="22"/>
                <w:szCs w:val="22"/>
                <w:lang w:val="ro-MD"/>
              </w:rPr>
              <w:t xml:space="preserve">cercetător ştiinţific </w:t>
            </w:r>
          </w:p>
        </w:tc>
        <w:tc>
          <w:tcPr>
            <w:tcW w:w="25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iCs/>
                <w:sz w:val="22"/>
                <w:szCs w:val="22"/>
                <w:lang w:val="ro-MD"/>
              </w:rPr>
              <w:t xml:space="preserve">doctor </w:t>
            </w:r>
          </w:p>
        </w:tc>
      </w:tr>
      <w:tr>
        <w:trPr/>
        <w:tc>
          <w:tcPr>
            <w:tcW w:w="91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4.</w:t>
            </w:r>
          </w:p>
        </w:tc>
        <w:tc>
          <w:tcPr>
            <w:tcW w:w="22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317" w:leader="none"/>
                <w:tab w:val="left" w:pos="3222" w:leader="none"/>
                <w:tab w:val="left" w:pos="3768" w:leader="none"/>
              </w:tabs>
              <w:bidi w:val="0"/>
              <w:ind w:left="0" w:right="0" w:hanging="0"/>
              <w:jc w:val="left"/>
              <w:textAlignment w:val="auto"/>
              <w:rPr>
                <w:lang w:val="ro-MD"/>
              </w:rPr>
            </w:pPr>
            <w:r>
              <w:rPr>
                <w:bCs/>
                <w:i/>
                <w:lang w:val="ro-MD"/>
              </w:rPr>
              <w:t xml:space="preserve">Nicolai Iliuha </w:t>
            </w:r>
          </w:p>
        </w:tc>
        <w:tc>
          <w:tcPr>
            <w:tcW w:w="32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
                <w:sz w:val="22"/>
                <w:szCs w:val="22"/>
                <w:lang w:val="ro-RO"/>
              </w:rPr>
              <w:t xml:space="preserve">cercetător ştiinţific </w:t>
            </w:r>
          </w:p>
        </w:tc>
        <w:tc>
          <w:tcPr>
            <w:tcW w:w="25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rFonts w:ascii="Times New Roman" w:hAnsi="Times New Roman"/>
                <w:bCs/>
                <w:i/>
                <w:i/>
                <w:iCs/>
                <w:sz w:val="22"/>
                <w:szCs w:val="22"/>
                <w:lang w:val="ro-MD"/>
              </w:rPr>
            </w:pPr>
            <w:r>
              <w:rPr>
                <w:bCs/>
                <w:i/>
                <w:iCs/>
                <w:sz w:val="22"/>
                <w:szCs w:val="22"/>
                <w:lang w:val="ro-MD"/>
              </w:rPr>
            </w:r>
          </w:p>
        </w:tc>
      </w:tr>
      <w:tr>
        <w:trPr/>
        <w:tc>
          <w:tcPr>
            <w:tcW w:w="91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5.</w:t>
            </w:r>
          </w:p>
        </w:tc>
        <w:tc>
          <w:tcPr>
            <w:tcW w:w="22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317" w:leader="none"/>
                <w:tab w:val="left" w:pos="3222" w:leader="none"/>
                <w:tab w:val="left" w:pos="3768" w:leader="none"/>
              </w:tabs>
              <w:bidi w:val="0"/>
              <w:ind w:left="0" w:right="0" w:hanging="0"/>
              <w:jc w:val="left"/>
              <w:textAlignment w:val="auto"/>
              <w:rPr>
                <w:lang w:val="ro-MD"/>
              </w:rPr>
            </w:pPr>
            <w:r>
              <w:rPr>
                <w:rFonts w:cs="Times New Roman CE" w:ascii="Times New Roman CE" w:hAnsi="Times New Roman CE"/>
                <w:bCs/>
                <w:i/>
                <w:lang w:val="ro-MD"/>
              </w:rPr>
              <w:t xml:space="preserve">Veronica Gâscă </w:t>
            </w:r>
          </w:p>
        </w:tc>
        <w:tc>
          <w:tcPr>
            <w:tcW w:w="32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
                <w:sz w:val="22"/>
                <w:szCs w:val="22"/>
                <w:lang w:val="ro-RO"/>
              </w:rPr>
              <w:t xml:space="preserve">cercetător ştiinţific </w:t>
            </w:r>
          </w:p>
        </w:tc>
        <w:tc>
          <w:tcPr>
            <w:tcW w:w="25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rFonts w:ascii="Times New Roman" w:hAnsi="Times New Roman"/>
                <w:i/>
                <w:i/>
                <w:sz w:val="22"/>
                <w:szCs w:val="22"/>
                <w:lang w:val="ro-RO"/>
              </w:rPr>
            </w:pPr>
            <w:r>
              <w:rPr>
                <w:i/>
                <w:sz w:val="22"/>
                <w:szCs w:val="22"/>
                <w:lang w:val="ro-RO"/>
              </w:rPr>
            </w:r>
          </w:p>
        </w:tc>
      </w:tr>
      <w:tr>
        <w:trPr/>
        <w:tc>
          <w:tcPr>
            <w:tcW w:w="91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6.</w:t>
            </w:r>
          </w:p>
        </w:tc>
        <w:tc>
          <w:tcPr>
            <w:tcW w:w="22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317" w:leader="none"/>
                <w:tab w:val="left" w:pos="3222" w:leader="none"/>
                <w:tab w:val="left" w:pos="3768" w:leader="none"/>
              </w:tabs>
              <w:bidi w:val="0"/>
              <w:ind w:left="0" w:right="0" w:hanging="0"/>
              <w:jc w:val="left"/>
              <w:textAlignment w:val="auto"/>
              <w:rPr>
                <w:lang w:val="ro-MD"/>
              </w:rPr>
            </w:pPr>
            <w:r>
              <w:rPr>
                <w:bCs/>
                <w:i/>
                <w:lang w:val="ro-MD"/>
              </w:rPr>
              <w:t xml:space="preserve">Veaceslav Albu </w:t>
            </w:r>
          </w:p>
        </w:tc>
        <w:tc>
          <w:tcPr>
            <w:tcW w:w="32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
                <w:sz w:val="22"/>
                <w:szCs w:val="22"/>
                <w:lang w:val="ro-RO"/>
              </w:rPr>
              <w:t>cercetător ştiinţific</w:t>
            </w:r>
          </w:p>
        </w:tc>
        <w:tc>
          <w:tcPr>
            <w:tcW w:w="25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rFonts w:ascii="Times New Roman" w:hAnsi="Times New Roman"/>
                <w:i/>
                <w:i/>
                <w:sz w:val="22"/>
                <w:szCs w:val="22"/>
                <w:lang w:val="ro-RO"/>
              </w:rPr>
            </w:pPr>
            <w:r>
              <w:rPr>
                <w:i/>
                <w:sz w:val="22"/>
                <w:szCs w:val="22"/>
                <w:lang w:val="ro-RO"/>
              </w:rPr>
            </w:r>
          </w:p>
        </w:tc>
      </w:tr>
      <w:tr>
        <w:trPr/>
        <w:tc>
          <w:tcPr>
            <w:tcW w:w="91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7.</w:t>
            </w:r>
          </w:p>
        </w:tc>
        <w:tc>
          <w:tcPr>
            <w:tcW w:w="22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317" w:leader="none"/>
                <w:tab w:val="left" w:pos="3222" w:leader="none"/>
                <w:tab w:val="left" w:pos="3768" w:leader="none"/>
              </w:tabs>
              <w:bidi w:val="0"/>
              <w:ind w:left="0" w:right="0" w:hanging="0"/>
              <w:jc w:val="left"/>
              <w:textAlignment w:val="auto"/>
              <w:rPr>
                <w:lang w:val="ro-MD"/>
              </w:rPr>
            </w:pPr>
            <w:r>
              <w:rPr>
                <w:rFonts w:cs="Times New Roman CE" w:ascii="Times New Roman CE" w:hAnsi="Times New Roman CE"/>
                <w:bCs/>
                <w:i/>
                <w:lang w:val="ro-MD"/>
              </w:rPr>
              <w:t xml:space="preserve">Grigore Horoş </w:t>
            </w:r>
          </w:p>
        </w:tc>
        <w:tc>
          <w:tcPr>
            <w:tcW w:w="32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lang w:val="ro-MD"/>
              </w:rPr>
              <w:t>ing. programator</w:t>
            </w:r>
          </w:p>
        </w:tc>
        <w:tc>
          <w:tcPr>
            <w:tcW w:w="25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rFonts w:ascii="Times New Roman" w:hAnsi="Times New Roman"/>
                <w:i/>
                <w:i/>
                <w:sz w:val="22"/>
                <w:szCs w:val="22"/>
                <w:lang w:val="ro-RO"/>
              </w:rPr>
            </w:pPr>
            <w:r>
              <w:rPr>
                <w:i/>
                <w:sz w:val="22"/>
                <w:szCs w:val="22"/>
                <w:lang w:val="ro-RO"/>
              </w:rPr>
            </w:r>
          </w:p>
        </w:tc>
      </w:tr>
    </w:tbl>
    <w:p>
      <w:pPr>
        <w:pStyle w:val="Normal"/>
        <w:widowControl/>
        <w:bidi w:val="0"/>
        <w:ind w:left="0" w:right="0" w:hanging="0"/>
        <w:jc w:val="left"/>
        <w:textAlignment w:val="auto"/>
        <w:rPr>
          <w:rFonts w:ascii="Times New Roman" w:hAnsi="Times New Roman"/>
          <w:bCs/>
          <w:sz w:val="22"/>
          <w:szCs w:val="22"/>
          <w:lang w:val="ro-MD"/>
        </w:rPr>
      </w:pPr>
      <w:r>
        <w:rPr>
          <w:bCs/>
          <w:sz w:val="22"/>
          <w:szCs w:val="22"/>
          <w:lang w:val="ro-MD"/>
        </w:rPr>
      </w:r>
    </w:p>
    <w:p>
      <w:pPr>
        <w:pStyle w:val="Normal"/>
        <w:widowControl/>
        <w:numPr>
          <w:ilvl w:val="0"/>
          <w:numId w:val="24"/>
        </w:numPr>
        <w:tabs>
          <w:tab w:val="left" w:pos="180" w:leader="none"/>
        </w:tabs>
        <w:bidi w:val="0"/>
        <w:ind w:left="180" w:right="0" w:hanging="0"/>
        <w:jc w:val="left"/>
        <w:textAlignment w:val="auto"/>
        <w:rPr>
          <w:lang w:val="ro-MD"/>
        </w:rPr>
      </w:pPr>
      <w:r>
        <w:rPr>
          <w:sz w:val="22"/>
          <w:szCs w:val="22"/>
          <w:lang w:val="ro-MD"/>
        </w:rPr>
        <w:t xml:space="preserve">Sumarul </w:t>
      </w:r>
      <w:r>
        <w:rPr>
          <w:rFonts w:cs="Times New Roman CE" w:ascii="Times New Roman CE" w:hAnsi="Times New Roman CE"/>
          <w:sz w:val="22"/>
          <w:szCs w:val="22"/>
          <w:lang w:val="ro-RO"/>
        </w:rPr>
        <w:t>activităţilor proiectului realizate în perioada evaluată</w:t>
      </w:r>
      <w:r>
        <w:rPr>
          <w:sz w:val="22"/>
          <w:szCs w:val="22"/>
          <w:lang w:val="ro-MD"/>
        </w:rPr>
        <w:t xml:space="preserve"> </w:t>
      </w:r>
    </w:p>
    <w:p>
      <w:pPr>
        <w:pStyle w:val="Normal"/>
        <w:widowControl/>
        <w:bidi w:val="0"/>
        <w:ind w:left="180" w:right="0" w:hanging="0"/>
        <w:jc w:val="left"/>
        <w:textAlignment w:val="auto"/>
        <w:rPr>
          <w:rFonts w:ascii="Times New Roman" w:hAnsi="Times New Roman"/>
          <w:bCs/>
          <w:sz w:val="22"/>
          <w:szCs w:val="22"/>
          <w:lang w:val="ro-MD"/>
        </w:rPr>
      </w:pPr>
      <w:r>
        <w:rPr>
          <w:bCs/>
          <w:sz w:val="22"/>
          <w:szCs w:val="22"/>
          <w:lang w:val="ro-MD"/>
        </w:rPr>
      </w:r>
    </w:p>
    <w:tbl>
      <w:tblPr>
        <w:tblW w:w="9774" w:type="dxa"/>
        <w:jc w:val="left"/>
        <w:tblInd w:w="-10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3" w:type="dxa"/>
          <w:bottom w:w="0" w:type="dxa"/>
          <w:right w:w="108" w:type="dxa"/>
        </w:tblCellMar>
      </w:tblPr>
      <w:tblGrid>
        <w:gridCol w:w="653"/>
        <w:gridCol w:w="3456"/>
        <w:gridCol w:w="5665"/>
      </w:tblGrid>
      <w:tr>
        <w:trPr/>
        <w:tc>
          <w:tcPr>
            <w:tcW w:w="6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rFonts w:ascii="Times New Roman" w:hAnsi="Times New Roman"/>
                <w:bCs/>
                <w:color w:val="000000"/>
                <w:lang w:val="ro-MD"/>
              </w:rPr>
            </w:pPr>
            <w:r>
              <w:rPr>
                <w:bCs/>
                <w:color w:val="000000"/>
                <w:lang w:val="ro-MD"/>
              </w:rPr>
            </w:r>
          </w:p>
        </w:tc>
        <w:tc>
          <w:tcPr>
            <w:tcW w:w="34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bCs/>
                <w:i/>
                <w:color w:val="000000"/>
                <w:sz w:val="22"/>
                <w:szCs w:val="22"/>
                <w:lang w:val="ro-MD"/>
              </w:rPr>
              <w:t>Activităţi planificate</w:t>
            </w:r>
          </w:p>
        </w:tc>
        <w:tc>
          <w:tcPr>
            <w:tcW w:w="56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bCs/>
                <w:i/>
                <w:color w:val="000000"/>
                <w:sz w:val="22"/>
                <w:szCs w:val="22"/>
                <w:lang w:val="ro-MD"/>
              </w:rPr>
              <w:t>Activităţi realizate şi rezultate noi obţinute în cadrul proiectului</w:t>
            </w:r>
            <w:r>
              <w:rPr>
                <w:bCs/>
                <w:i/>
                <w:color w:val="000000"/>
                <w:sz w:val="22"/>
                <w:szCs w:val="22"/>
                <w:lang w:val="ro-MD"/>
              </w:rPr>
              <w:t xml:space="preserve">  </w:t>
            </w:r>
          </w:p>
        </w:tc>
      </w:tr>
      <w:tr>
        <w:trPr/>
        <w:tc>
          <w:tcPr>
            <w:tcW w:w="6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i/>
                <w:color w:val="000000"/>
                <w:sz w:val="22"/>
                <w:szCs w:val="22"/>
                <w:lang w:val="ro-MD"/>
              </w:rPr>
              <w:t>1.</w:t>
            </w:r>
          </w:p>
        </w:tc>
        <w:tc>
          <w:tcPr>
            <w:tcW w:w="34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rFonts w:cs="Times New Roman CE" w:ascii="Times New Roman CE" w:hAnsi="Times New Roman CE"/>
                <w:bCs/>
                <w:i/>
                <w:sz w:val="22"/>
                <w:szCs w:val="22"/>
                <w:lang w:val="en-US"/>
              </w:rPr>
              <w:t xml:space="preserve">Adaptarea şi consolidarea instrumentarului pentru monitorizarea şi analiza textelor din domeniul dezastrelor sociale. </w:t>
            </w:r>
          </w:p>
        </w:tc>
        <w:tc>
          <w:tcPr>
            <w:tcW w:w="56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i/>
                <w:color w:val="000000"/>
                <w:sz w:val="22"/>
                <w:szCs w:val="22"/>
                <w:lang w:val="ro-MD"/>
              </w:rPr>
              <w:t>A fost populată baza de date cu circa 6000 texte clasificate în 10 categorii. A fost dezvoltat softul pentru extragerea, analiza  ş</w:t>
            </w:r>
            <w:r>
              <w:rPr>
                <w:i/>
                <w:color w:val="000000"/>
                <w:sz w:val="22"/>
                <w:szCs w:val="22"/>
                <w:lang w:val="ro-MD"/>
              </w:rPr>
              <w:t xml:space="preserve">i clasificarea textelor de pe site-urile media. </w:t>
            </w:r>
          </w:p>
        </w:tc>
      </w:tr>
      <w:tr>
        <w:trPr/>
        <w:tc>
          <w:tcPr>
            <w:tcW w:w="6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i/>
                <w:color w:val="000000"/>
                <w:sz w:val="22"/>
                <w:szCs w:val="22"/>
                <w:lang w:val="ro-MD"/>
              </w:rPr>
              <w:t>2.</w:t>
            </w:r>
          </w:p>
        </w:tc>
        <w:tc>
          <w:tcPr>
            <w:tcW w:w="34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rFonts w:cs="Times New Roman CE" w:ascii="Times New Roman CE" w:hAnsi="Times New Roman CE"/>
                <w:bCs/>
                <w:i/>
                <w:sz w:val="22"/>
                <w:szCs w:val="22"/>
                <w:lang w:val="en-US"/>
              </w:rPr>
              <w:t xml:space="preserve">Elaborarea şi adaptarea metodelor matematice de modelare </w:t>
            </w:r>
            <w:r>
              <w:rPr>
                <w:rFonts w:cs="Cambria Math" w:ascii="Cambria Math" w:hAnsi="Cambria Math"/>
                <w:bCs/>
                <w:i/>
                <w:sz w:val="22"/>
                <w:szCs w:val="22"/>
                <w:lang w:val="en-US"/>
              </w:rPr>
              <w:t>ș</w:t>
            </w:r>
            <w:r>
              <w:rPr>
                <w:bCs/>
                <w:i/>
                <w:sz w:val="22"/>
                <w:szCs w:val="22"/>
                <w:lang w:val="en-US"/>
              </w:rPr>
              <w:t>i prognozare, care permit predic</w:t>
            </w:r>
            <w:r>
              <w:rPr>
                <w:rFonts w:cs="Cambria Math" w:ascii="Cambria Math" w:hAnsi="Cambria Math"/>
                <w:bCs/>
                <w:i/>
                <w:sz w:val="22"/>
                <w:szCs w:val="22"/>
                <w:lang w:val="en-US"/>
              </w:rPr>
              <w:t>ț</w:t>
            </w:r>
            <w:r>
              <w:rPr>
                <w:rFonts w:cs="Times New Roman CE" w:ascii="Times New Roman CE" w:hAnsi="Times New Roman CE"/>
                <w:bCs/>
                <w:i/>
                <w:sz w:val="22"/>
                <w:szCs w:val="22"/>
                <w:lang w:val="en-US"/>
              </w:rPr>
              <w:t xml:space="preserve">ia dezvoltării dezastrelor sociale </w:t>
            </w:r>
          </w:p>
        </w:tc>
        <w:tc>
          <w:tcPr>
            <w:tcW w:w="56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i/>
                <w:color w:val="000000"/>
                <w:sz w:val="22"/>
                <w:szCs w:val="22"/>
                <w:lang w:val="en-US"/>
              </w:rPr>
              <w:t xml:space="preserve">În </w:t>
            </w:r>
            <w:r>
              <w:rPr>
                <w:rFonts w:cs="Times New Roman CE" w:ascii="Times New Roman CE" w:hAnsi="Times New Roman CE"/>
                <w:i/>
                <w:color w:val="000000"/>
                <w:sz w:val="22"/>
                <w:szCs w:val="22"/>
                <w:lang w:val="en-US"/>
              </w:rPr>
              <w:t xml:space="preserve">baza reţelelor generalizate stocastice Petri a fost propusă o metodă de modelare a procesului de evacuare a persoanelor din clădire luând în considerare  viteza de deplasare </w:t>
            </w:r>
            <w:r>
              <w:rPr>
                <w:rFonts w:cs="Cambria Math" w:ascii="Cambria Math" w:hAnsi="Cambria Math"/>
                <w:i/>
                <w:color w:val="000000"/>
                <w:sz w:val="22"/>
                <w:szCs w:val="22"/>
                <w:lang w:val="en-US"/>
              </w:rPr>
              <w:t>ș</w:t>
            </w:r>
            <w:r>
              <w:rPr>
                <w:i/>
                <w:color w:val="000000"/>
                <w:sz w:val="22"/>
                <w:szCs w:val="22"/>
                <w:lang w:val="en-US"/>
              </w:rPr>
              <w:t>i al</w:t>
            </w:r>
            <w:r>
              <w:rPr>
                <w:rFonts w:cs="Cambria Math" w:ascii="Cambria Math" w:hAnsi="Cambria Math"/>
                <w:i/>
                <w:color w:val="000000"/>
                <w:sz w:val="22"/>
                <w:szCs w:val="22"/>
                <w:lang w:val="en-US"/>
              </w:rPr>
              <w:t>ț</w:t>
            </w:r>
            <w:r>
              <w:rPr>
                <w:i/>
                <w:color w:val="000000"/>
                <w:sz w:val="22"/>
                <w:szCs w:val="22"/>
                <w:lang w:val="en-US"/>
              </w:rPr>
              <w:t xml:space="preserve">i parametri. </w:t>
            </w:r>
          </w:p>
        </w:tc>
      </w:tr>
    </w:tbl>
    <w:p>
      <w:pPr>
        <w:pStyle w:val="Normal"/>
        <w:widowControl/>
        <w:numPr>
          <w:ilvl w:val="0"/>
          <w:numId w:val="24"/>
        </w:numPr>
        <w:tabs>
          <w:tab w:val="left" w:pos="180" w:leader="none"/>
        </w:tabs>
        <w:bidi w:val="0"/>
        <w:ind w:left="180" w:right="0" w:hanging="0"/>
        <w:jc w:val="left"/>
        <w:textAlignment w:val="auto"/>
        <w:rPr>
          <w:lang w:val="ro-MD"/>
        </w:rPr>
      </w:pPr>
      <w:r>
        <w:rPr>
          <w:rFonts w:cs="Times New Roman CE" w:ascii="Times New Roman CE" w:hAnsi="Times New Roman CE"/>
          <w:bCs/>
          <w:sz w:val="22"/>
          <w:szCs w:val="22"/>
          <w:lang w:val="ro-MD"/>
        </w:rPr>
        <w:t xml:space="preserve">Lista lucrărilor ştiinţifice (monografii, articole, obiecte de proprietate intelectuală) cu referinţă la proiectul dat  (conform </w:t>
      </w:r>
      <w:r>
        <w:rPr>
          <w:b/>
          <w:bCs/>
          <w:sz w:val="22"/>
          <w:szCs w:val="22"/>
          <w:lang w:val="ro-MD"/>
        </w:rPr>
        <w:t>formei 4</w:t>
      </w:r>
      <w:r>
        <w:rPr>
          <w:bCs/>
          <w:sz w:val="22"/>
          <w:szCs w:val="22"/>
          <w:lang w:val="ro-MD"/>
        </w:rPr>
        <w:t xml:space="preserve"> din structura raportului) 2016</w:t>
      </w:r>
    </w:p>
    <w:tbl>
      <w:tblPr>
        <w:tblW w:w="9780" w:type="dxa"/>
        <w:jc w:val="left"/>
        <w:tblInd w:w="-109" w:type="dxa"/>
        <w:tblBorders>
          <w:top w:val="dotted" w:sz="4" w:space="0" w:color="000001"/>
          <w:left w:val="dotted" w:sz="4" w:space="0" w:color="000001"/>
          <w:bottom w:val="dotted" w:sz="4" w:space="0" w:color="000001"/>
          <w:right w:val="dotted" w:sz="4" w:space="0" w:color="000001"/>
          <w:insideH w:val="dotted" w:sz="4" w:space="0" w:color="000001"/>
          <w:insideV w:val="dotted" w:sz="4" w:space="0" w:color="000001"/>
        </w:tblBorders>
        <w:tblCellMar>
          <w:top w:w="0" w:type="dxa"/>
          <w:left w:w="103" w:type="dxa"/>
          <w:bottom w:w="0" w:type="dxa"/>
          <w:right w:w="108" w:type="dxa"/>
        </w:tblCellMar>
      </w:tblPr>
      <w:tblGrid>
        <w:gridCol w:w="9780"/>
      </w:tblGrid>
      <w:tr>
        <w:trPr/>
        <w:tc>
          <w:tcPr>
            <w:tcW w:w="9780" w:type="dxa"/>
            <w:tcBorders>
              <w:top w:val="dotted" w:sz="4" w:space="0" w:color="000001"/>
              <w:left w:val="dotted" w:sz="4" w:space="0" w:color="000001"/>
              <w:bottom w:val="dotted" w:sz="4" w:space="0" w:color="000001"/>
              <w:right w:val="dotted" w:sz="4" w:space="0" w:color="000001"/>
              <w:insideH w:val="dotted" w:sz="4" w:space="0" w:color="000001"/>
              <w:insideV w:val="dotted" w:sz="4" w:space="0" w:color="000001"/>
            </w:tcBorders>
            <w:shd w:fill="auto" w:val="clear"/>
            <w:tcMar>
              <w:left w:w="103" w:type="dxa"/>
            </w:tcMar>
          </w:tcPr>
          <w:p>
            <w:pPr>
              <w:pStyle w:val="ListParagraph"/>
              <w:widowControl/>
              <w:suppressAutoHyphens w:val="true"/>
              <w:bidi w:val="0"/>
              <w:spacing w:before="0" w:after="0"/>
              <w:ind w:left="0" w:right="0" w:hanging="0"/>
              <w:contextualSpacing/>
              <w:jc w:val="left"/>
              <w:textAlignment w:val="auto"/>
              <w:rPr>
                <w:lang w:val="fr-FR"/>
              </w:rPr>
            </w:pPr>
            <w:r>
              <w:rPr>
                <w:b/>
                <w:bCs/>
                <w:sz w:val="22"/>
                <w:szCs w:val="22"/>
                <w:lang w:val="fr-FR"/>
              </w:rPr>
              <w:t xml:space="preserve">     </w:t>
            </w:r>
            <w:r>
              <w:rPr>
                <w:b/>
                <w:bCs/>
                <w:sz w:val="22"/>
                <w:szCs w:val="22"/>
                <w:lang w:val="en-US"/>
              </w:rPr>
              <w:t>Reviste cotate ISI</w:t>
            </w:r>
          </w:p>
          <w:p>
            <w:pPr>
              <w:pStyle w:val="ListParagraph"/>
              <w:widowControl/>
              <w:numPr>
                <w:ilvl w:val="0"/>
                <w:numId w:val="84"/>
              </w:numPr>
              <w:suppressAutoHyphens w:val="true"/>
              <w:bidi w:val="0"/>
              <w:spacing w:before="0" w:after="0"/>
              <w:ind w:left="1080" w:right="0" w:hanging="360"/>
              <w:contextualSpacing/>
              <w:jc w:val="left"/>
              <w:textAlignment w:val="auto"/>
              <w:rPr>
                <w:lang w:val="ro-RO"/>
              </w:rPr>
            </w:pPr>
            <w:r>
              <w:rPr>
                <w:sz w:val="22"/>
                <w:szCs w:val="22"/>
                <w:lang w:val="ro-RO"/>
              </w:rPr>
              <w:t xml:space="preserve"> </w:t>
            </w:r>
            <w:r>
              <w:rPr>
                <w:bCs/>
                <w:sz w:val="22"/>
                <w:szCs w:val="22"/>
                <w:lang w:val="en-US"/>
              </w:rPr>
              <w:t>ALBU Veaceslav. Measuring customer behavior with deep convolutional neural networks. BRAIN. Broad Research in Artificial Intelligence and Neuroscience. Volume 7, Issue 1, ISSN 2067-3957 (online), ISSN 2068 - 0473 (print), 73-78</w:t>
            </w:r>
          </w:p>
          <w:p>
            <w:pPr>
              <w:pStyle w:val="Normal"/>
              <w:widowControl/>
              <w:suppressAutoHyphens w:val="true"/>
              <w:bidi w:val="0"/>
              <w:ind w:left="426" w:right="0" w:hanging="0"/>
              <w:jc w:val="both"/>
              <w:textAlignment w:val="auto"/>
              <w:rPr>
                <w:lang w:val="en-US"/>
              </w:rPr>
            </w:pPr>
            <w:r>
              <w:rPr>
                <w:b/>
                <w:bCs/>
                <w:sz w:val="22"/>
                <w:szCs w:val="22"/>
                <w:lang w:val="en-US"/>
              </w:rPr>
              <w:t xml:space="preserve">Reviste </w:t>
            </w:r>
            <w:r>
              <w:rPr>
                <w:rFonts w:cs="Times New Roman CE" w:ascii="Times New Roman CE" w:hAnsi="Times New Roman CE"/>
                <w:b/>
                <w:bCs/>
                <w:sz w:val="22"/>
                <w:szCs w:val="22"/>
                <w:lang w:val="en-US"/>
              </w:rPr>
              <w:t xml:space="preserve">naţionale </w:t>
            </w:r>
            <w:r>
              <w:rPr>
                <w:b/>
                <w:bCs/>
                <w:sz w:val="22"/>
                <w:szCs w:val="22"/>
                <w:lang w:val="en-US"/>
              </w:rPr>
              <w:t>categoria B+</w:t>
            </w:r>
          </w:p>
          <w:p>
            <w:pPr>
              <w:pStyle w:val="ListParagraph"/>
              <w:widowControl/>
              <w:numPr>
                <w:ilvl w:val="0"/>
                <w:numId w:val="85"/>
              </w:numPr>
              <w:suppressAutoHyphens w:val="true"/>
              <w:bidi w:val="0"/>
              <w:ind w:left="1146" w:right="0" w:hanging="360"/>
              <w:jc w:val="both"/>
              <w:textAlignment w:val="auto"/>
              <w:rPr>
                <w:lang w:val="en-US"/>
              </w:rPr>
            </w:pPr>
            <w:r>
              <w:rPr>
                <w:sz w:val="22"/>
                <w:szCs w:val="22"/>
                <w:lang w:val="en-US"/>
              </w:rPr>
              <w:t xml:space="preserve">TITCHIEV,I. Quantitative analysis of the evacuation system by means of Generalized Stochastic Petri nets, </w:t>
            </w:r>
            <w:r>
              <w:rPr>
                <w:i/>
                <w:iCs/>
                <w:sz w:val="22"/>
                <w:szCs w:val="22"/>
                <w:lang w:val="en-US"/>
              </w:rPr>
              <w:t>Computer Science Journal of  Moldova</w:t>
            </w:r>
            <w:r>
              <w:rPr>
                <w:iCs/>
                <w:sz w:val="22"/>
                <w:szCs w:val="22"/>
                <w:lang w:val="en-US"/>
              </w:rPr>
              <w:t xml:space="preserve">, vol. 24, no. 2(71), Kishinev, 2016, </w:t>
            </w:r>
            <w:r>
              <w:rPr>
                <w:sz w:val="22"/>
                <w:szCs w:val="22"/>
                <w:lang w:val="en-US"/>
              </w:rPr>
              <w:t>184-191. ISSN 1561-4042</w:t>
            </w:r>
          </w:p>
          <w:p>
            <w:pPr>
              <w:pStyle w:val="ListParagraph"/>
              <w:widowControl/>
              <w:numPr>
                <w:ilvl w:val="0"/>
                <w:numId w:val="85"/>
              </w:numPr>
              <w:suppressAutoHyphens w:val="true"/>
              <w:bidi w:val="0"/>
              <w:ind w:left="1146" w:right="0" w:hanging="360"/>
              <w:jc w:val="both"/>
              <w:textAlignment w:val="auto"/>
              <w:rPr>
                <w:lang w:val="en-US"/>
              </w:rPr>
            </w:pPr>
            <w:r>
              <w:rPr>
                <w:sz w:val="22"/>
                <w:szCs w:val="22"/>
                <w:lang w:val="en-US"/>
              </w:rPr>
              <w:t xml:space="preserve">COJOCARU, S.; PETIC, M.; HOROS, G. Tools for texts monitoring and analysis aimed at the field of social disasters. </w:t>
            </w:r>
            <w:r>
              <w:rPr>
                <w:i/>
                <w:iCs/>
                <w:sz w:val="22"/>
                <w:szCs w:val="22"/>
                <w:lang w:val="en-US"/>
              </w:rPr>
              <w:t>Computer Science Journal of Moldova</w:t>
            </w:r>
            <w:r>
              <w:rPr>
                <w:iCs/>
                <w:sz w:val="22"/>
                <w:szCs w:val="22"/>
                <w:lang w:val="en-US"/>
              </w:rPr>
              <w:t xml:space="preserve">, vol. 24, no. 2(71), Kishinev, 2016, </w:t>
            </w:r>
            <w:r>
              <w:rPr>
                <w:sz w:val="22"/>
                <w:szCs w:val="22"/>
                <w:lang w:val="en-US"/>
              </w:rPr>
              <w:t xml:space="preserve"> 157-171. ISSN 1561-4042</w:t>
            </w:r>
          </w:p>
          <w:p>
            <w:pPr>
              <w:pStyle w:val="HTMLPreformatted"/>
              <w:widowContro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bidi w:val="0"/>
              <w:spacing w:lineRule="exact" w:line="276"/>
              <w:ind w:left="1080" w:right="0" w:hanging="0"/>
              <w:jc w:val="both"/>
              <w:textAlignment w:val="auto"/>
              <w:rPr>
                <w:rFonts w:ascii="Times New Roman" w:hAnsi="Times New Roman"/>
                <w:color w:val="000000"/>
                <w:sz w:val="22"/>
                <w:szCs w:val="22"/>
                <w:lang w:val="ro-RO"/>
              </w:rPr>
            </w:pPr>
            <w:r>
              <w:rPr>
                <w:rFonts w:ascii="Times New Roman" w:hAnsi="Times New Roman"/>
                <w:color w:val="000000"/>
                <w:sz w:val="22"/>
                <w:szCs w:val="22"/>
                <w:lang w:val="ro-RO"/>
              </w:rPr>
            </w:r>
          </w:p>
          <w:p>
            <w:pPr>
              <w:pStyle w:val="Normal"/>
              <w:widowControl/>
              <w:suppressAutoHyphens w:val="true"/>
              <w:bidi w:val="0"/>
              <w:ind w:left="0" w:right="0" w:hanging="0"/>
              <w:jc w:val="both"/>
              <w:textAlignment w:val="auto"/>
              <w:rPr>
                <w:lang w:val="ro-RO"/>
              </w:rPr>
            </w:pPr>
            <w:r>
              <w:rPr>
                <w:b/>
                <w:bCs/>
                <w:sz w:val="22"/>
                <w:szCs w:val="22"/>
                <w:lang w:val="ro-RO"/>
              </w:rPr>
              <w:t xml:space="preserve">      </w:t>
            </w:r>
            <w:r>
              <w:rPr>
                <w:b/>
                <w:bCs/>
                <w:sz w:val="22"/>
                <w:szCs w:val="22"/>
                <w:lang w:val="ro-RO"/>
              </w:rPr>
              <w:t>Alte reviste recenzate</w:t>
            </w:r>
          </w:p>
          <w:p>
            <w:pPr>
              <w:pStyle w:val="ListParagraph"/>
              <w:widowControl/>
              <w:numPr>
                <w:ilvl w:val="0"/>
                <w:numId w:val="87"/>
              </w:numPr>
              <w:suppressAutoHyphens w:val="true"/>
              <w:bidi w:val="0"/>
              <w:ind w:left="1146" w:right="0" w:hanging="360"/>
              <w:jc w:val="both"/>
              <w:textAlignment w:val="auto"/>
              <w:rPr>
                <w:lang w:val="en-US"/>
              </w:rPr>
            </w:pPr>
            <w:r>
              <w:rPr>
                <w:sz w:val="22"/>
                <w:szCs w:val="22"/>
                <w:lang w:val="en-US"/>
              </w:rPr>
              <w:t xml:space="preserve">COJOCARU, S.; PETIC, M.; </w:t>
            </w:r>
            <w:r>
              <w:rPr>
                <w:rFonts w:cs="Times New Roman CE" w:ascii="Times New Roman CE" w:hAnsi="Times New Roman CE"/>
                <w:sz w:val="22"/>
                <w:szCs w:val="22"/>
                <w:lang w:val="en-US"/>
              </w:rPr>
              <w:t>ŢIŢCHIEV,</w:t>
            </w:r>
            <w:r>
              <w:rPr>
                <w:sz w:val="22"/>
                <w:szCs w:val="22"/>
                <w:lang w:val="en-US"/>
              </w:rPr>
              <w:t xml:space="preserve"> I. Adapting Tools for Text Monitoring and for Scenario Analysis Related to the Field of Social Disasters. </w:t>
            </w:r>
            <w:r>
              <w:rPr>
                <w:i/>
                <w:sz w:val="22"/>
                <w:szCs w:val="22"/>
                <w:lang w:val="en-US"/>
              </w:rPr>
              <w:t>International Journal of Computer, Electrical, Automation, Control and Information Engineering</w:t>
            </w:r>
            <w:r>
              <w:rPr>
                <w:sz w:val="22"/>
                <w:szCs w:val="22"/>
                <w:lang w:val="en-US"/>
              </w:rPr>
              <w:t xml:space="preserve"> Vol:10, No:10, 2016, pp. 1601-1607.</w:t>
            </w:r>
          </w:p>
          <w:p>
            <w:pPr>
              <w:pStyle w:val="Normal"/>
              <w:widowControl/>
              <w:suppressAutoHyphens w:val="true"/>
              <w:bidi w:val="0"/>
              <w:ind w:left="786" w:right="0" w:hanging="0"/>
              <w:jc w:val="both"/>
              <w:textAlignment w:val="auto"/>
              <w:rPr>
                <w:lang w:val="ro-MD"/>
              </w:rPr>
            </w:pPr>
            <w:r>
              <w:rPr>
                <w:rFonts w:cs="Times New Roman CE" w:ascii="Times New Roman CE" w:hAnsi="Times New Roman CE"/>
                <w:b/>
                <w:sz w:val="22"/>
                <w:szCs w:val="22"/>
                <w:lang w:val="ro-MD"/>
              </w:rPr>
              <w:t>Articole în culegeri internaţionale</w:t>
            </w:r>
          </w:p>
          <w:p>
            <w:pPr>
              <w:pStyle w:val="ListParagraph"/>
              <w:widowControl/>
              <w:numPr>
                <w:ilvl w:val="0"/>
                <w:numId w:val="86"/>
              </w:numPr>
              <w:suppressAutoHyphens w:val="true"/>
              <w:bidi w:val="0"/>
              <w:spacing w:before="0" w:after="0"/>
              <w:ind w:left="1080" w:right="0" w:hanging="360"/>
              <w:contextualSpacing/>
              <w:jc w:val="left"/>
              <w:textAlignment w:val="auto"/>
              <w:rPr>
                <w:lang w:val="en-US"/>
              </w:rPr>
            </w:pPr>
            <w:r>
              <w:rPr>
                <w:bCs/>
                <w:sz w:val="22"/>
                <w:szCs w:val="22"/>
                <w:lang w:val="en-US"/>
              </w:rPr>
              <w:t xml:space="preserve">ALBU, V. Measuring human emotions with modular neural networks. </w:t>
            </w:r>
            <w:r>
              <w:rPr>
                <w:bCs/>
                <w:i/>
                <w:sz w:val="22"/>
                <w:szCs w:val="22"/>
                <w:lang w:val="en-US"/>
              </w:rPr>
              <w:t>In:  Proceedings of the 7th International Multi-Conference on Complexity, Informatics and Cybernetics: I</w:t>
            </w:r>
            <w:r>
              <w:rPr>
                <w:bCs/>
                <w:sz w:val="22"/>
                <w:szCs w:val="22"/>
                <w:lang w:val="en-US"/>
              </w:rPr>
              <w:t xml:space="preserve">MCIC 2016, March 8 - 11, 2016, Orlando, Florida, USA. </w:t>
            </w:r>
          </w:p>
          <w:p>
            <w:pPr>
              <w:pStyle w:val="ListParagraph"/>
              <w:widowControl/>
              <w:numPr>
                <w:ilvl w:val="0"/>
                <w:numId w:val="86"/>
              </w:numPr>
              <w:suppressAutoHyphens w:val="true"/>
              <w:bidi w:val="0"/>
              <w:spacing w:before="0" w:after="0"/>
              <w:ind w:left="1080" w:right="0" w:hanging="360"/>
              <w:contextualSpacing/>
              <w:jc w:val="left"/>
              <w:textAlignment w:val="auto"/>
              <w:rPr>
                <w:lang w:val="en-US"/>
              </w:rPr>
            </w:pPr>
            <w:r>
              <w:rPr>
                <w:sz w:val="22"/>
                <w:szCs w:val="22"/>
                <w:lang w:val="en-US"/>
              </w:rPr>
              <w:t>PETIC, M.; COJOCARU, S.;</w:t>
            </w:r>
            <w:r>
              <w:rPr>
                <w:rFonts w:cs="Times New Roman CE" w:ascii="Times New Roman CE" w:hAnsi="Times New Roman CE"/>
                <w:bCs/>
                <w:sz w:val="22"/>
                <w:szCs w:val="22"/>
                <w:lang w:val="en-US"/>
              </w:rPr>
              <w:t xml:space="preserve"> GÂSCĂ, V. Exploring list of markers in unstructured text automatic processing. </w:t>
            </w:r>
            <w:r>
              <w:rPr>
                <w:bCs/>
                <w:i/>
                <w:sz w:val="22"/>
                <w:szCs w:val="22"/>
                <w:lang w:val="en-US"/>
              </w:rPr>
              <w:t>In: Proceedings of the 11TH International Conference “Linguistic resources and tools for processing the Romanian language</w:t>
            </w:r>
            <w:r>
              <w:rPr>
                <w:bCs/>
                <w:sz w:val="22"/>
                <w:szCs w:val="22"/>
                <w:lang w:val="en-US"/>
              </w:rPr>
              <w:t xml:space="preserve">”, 26-27 November 2015. </w:t>
            </w:r>
            <w:r>
              <w:rPr>
                <w:bCs/>
                <w:sz w:val="22"/>
                <w:szCs w:val="22"/>
              </w:rPr>
              <w:t>Iasi, Romania, 125-136.</w:t>
            </w:r>
          </w:p>
          <w:p>
            <w:pPr>
              <w:pStyle w:val="ListParagraph"/>
              <w:widowControl/>
              <w:numPr>
                <w:ilvl w:val="0"/>
                <w:numId w:val="86"/>
              </w:numPr>
              <w:suppressAutoHyphens w:val="true"/>
              <w:bidi w:val="0"/>
              <w:spacing w:before="0" w:after="0"/>
              <w:ind w:left="1080" w:right="0" w:hanging="360"/>
              <w:contextualSpacing/>
              <w:jc w:val="left"/>
              <w:textAlignment w:val="auto"/>
              <w:rPr>
                <w:lang w:val="en-US"/>
              </w:rPr>
            </w:pPr>
            <w:r>
              <w:rPr>
                <w:rFonts w:cs="Times New Roman CE" w:ascii="Times New Roman CE" w:hAnsi="Times New Roman CE"/>
                <w:sz w:val="22"/>
                <w:szCs w:val="22"/>
                <w:lang w:val="en-US"/>
              </w:rPr>
              <w:t>ŢIŢCHI</w:t>
            </w:r>
            <w:r>
              <w:rPr>
                <w:sz w:val="22"/>
                <w:szCs w:val="22"/>
                <w:lang w:val="en-US"/>
              </w:rPr>
              <w:t xml:space="preserve">EV, I. Performance evaluation of the evacuation system by Generalized Stochastic Petri nets. </w:t>
            </w:r>
            <w:r>
              <w:rPr>
                <w:i/>
                <w:sz w:val="22"/>
                <w:szCs w:val="22"/>
                <w:lang w:val="en-US"/>
              </w:rPr>
              <w:t xml:space="preserve">In: Proceedings of the Workshop on Mathematical Foundations of Informatics </w:t>
            </w:r>
            <w:r>
              <w:rPr>
                <w:sz w:val="22"/>
                <w:szCs w:val="22"/>
                <w:lang w:val="en-US"/>
              </w:rPr>
              <w:t>(MFOI-2016), July 25-31, 2016, Chisinau, Republic of Moldova, 333-338.</w:t>
            </w:r>
          </w:p>
          <w:p>
            <w:pPr>
              <w:pStyle w:val="Normal"/>
              <w:widowControl/>
              <w:bidi w:val="0"/>
              <w:ind w:left="0" w:right="0" w:hanging="0"/>
              <w:jc w:val="both"/>
              <w:textAlignment w:val="auto"/>
              <w:rPr>
                <w:lang w:val="en-US"/>
              </w:rPr>
            </w:pPr>
            <w:r>
              <w:rPr>
                <w:b/>
                <w:lang w:val="en-US"/>
              </w:rPr>
              <w:t xml:space="preserve">          </w:t>
            </w:r>
            <w:r>
              <w:rPr>
                <w:b/>
                <w:sz w:val="22"/>
                <w:szCs w:val="22"/>
                <w:lang w:val="ro-RO"/>
              </w:rPr>
              <w:t>Teze al</w:t>
            </w:r>
            <w:r>
              <w:rPr>
                <w:rFonts w:cs="Times New Roman CE" w:ascii="Times New Roman CE" w:hAnsi="Times New Roman CE"/>
                <w:b/>
                <w:sz w:val="22"/>
                <w:szCs w:val="22"/>
                <w:lang w:val="ro-RO"/>
              </w:rPr>
              <w:t xml:space="preserve">e comunicărilor la congrese, conferinţe, simpozioane, în </w:t>
            </w:r>
            <w:r>
              <w:rPr>
                <w:rFonts w:cs="Times New Roman CE" w:ascii="Times New Roman CE" w:hAnsi="Times New Roman CE"/>
                <w:b/>
                <w:sz w:val="22"/>
                <w:szCs w:val="22"/>
                <w:lang w:val="ro-MD"/>
              </w:rPr>
              <w:t>culegeri (internaţionale):</w:t>
            </w:r>
          </w:p>
          <w:p>
            <w:pPr>
              <w:pStyle w:val="ListParagraph"/>
              <w:widowControl/>
              <w:numPr>
                <w:ilvl w:val="0"/>
                <w:numId w:val="88"/>
              </w:numPr>
              <w:suppressAutoHyphens w:val="true"/>
              <w:bidi w:val="0"/>
              <w:spacing w:before="0" w:after="0"/>
              <w:ind w:left="1080" w:right="0" w:hanging="360"/>
              <w:contextualSpacing/>
              <w:jc w:val="left"/>
              <w:textAlignment w:val="auto"/>
              <w:rPr>
                <w:lang w:val="en-US"/>
              </w:rPr>
            </w:pPr>
            <w:r>
              <w:rPr>
                <w:bCs/>
                <w:sz w:val="22"/>
                <w:szCs w:val="22"/>
                <w:lang w:val="en-US"/>
              </w:rPr>
              <w:t>COJOCARU, S.; PETIC, M.; COMAN, L.; HOROS, G. Determining ”controlled vocabulary” (lexicon of markers) of a text. Book of abstracts.System Analysis and Information Technology 18-th International Conference SAIT 2016, May 30 – June 2, 2016, Kyiv, Ukraine, 28-29.</w:t>
            </w:r>
          </w:p>
          <w:p>
            <w:pPr>
              <w:pStyle w:val="ListParagraph"/>
              <w:widowControl/>
              <w:numPr>
                <w:ilvl w:val="0"/>
                <w:numId w:val="88"/>
              </w:numPr>
              <w:suppressAutoHyphens w:val="true"/>
              <w:bidi w:val="0"/>
              <w:spacing w:before="0" w:after="0"/>
              <w:ind w:left="1080" w:right="0" w:hanging="360"/>
              <w:contextualSpacing/>
              <w:jc w:val="left"/>
              <w:textAlignment w:val="auto"/>
              <w:rPr>
                <w:lang w:val="en-US"/>
              </w:rPr>
            </w:pPr>
            <w:r>
              <w:rPr>
                <w:rFonts w:cs="Times New Roman CE" w:ascii="Times New Roman CE" w:hAnsi="Times New Roman CE"/>
                <w:sz w:val="22"/>
                <w:szCs w:val="22"/>
                <w:lang w:val="en-US"/>
              </w:rPr>
              <w:t>ŢIŢCHIEV,</w:t>
            </w:r>
            <w:r>
              <w:rPr>
                <w:sz w:val="22"/>
                <w:szCs w:val="22"/>
                <w:lang w:val="en-US"/>
              </w:rPr>
              <w:t xml:space="preserve"> I. </w:t>
            </w:r>
            <w:r>
              <w:rPr>
                <w:bCs/>
                <w:sz w:val="22"/>
                <w:szCs w:val="22"/>
                <w:lang w:val="en-US"/>
              </w:rPr>
              <w:t>Modelling and verification of evacuation system using Time Petri nets in case of disaster, Proceedings of the 18-th International Conference System Analysis and Information Technology (SAIT 2016), May 30 – June 2, 2016, Kyiv, Ukraine,  46-47.</w:t>
            </w:r>
          </w:p>
          <w:p>
            <w:pPr>
              <w:pStyle w:val="ListParagraph"/>
              <w:widowControl/>
              <w:numPr>
                <w:ilvl w:val="0"/>
                <w:numId w:val="88"/>
              </w:numPr>
              <w:suppressAutoHyphens w:val="true"/>
              <w:bidi w:val="0"/>
              <w:spacing w:before="0" w:after="0"/>
              <w:ind w:left="1080" w:right="0" w:hanging="360"/>
              <w:contextualSpacing/>
              <w:jc w:val="left"/>
              <w:textAlignment w:val="auto"/>
              <w:rPr>
                <w:lang w:val="en-US"/>
              </w:rPr>
            </w:pPr>
            <w:r>
              <w:rPr>
                <w:bCs/>
                <w:sz w:val="22"/>
                <w:szCs w:val="22"/>
                <w:lang w:val="en-US"/>
              </w:rPr>
              <w:t>PETIC, M.;  HOROS</w:t>
            </w:r>
            <w:r>
              <w:rPr>
                <w:bCs/>
                <w:i/>
                <w:sz w:val="22"/>
                <w:szCs w:val="22"/>
                <w:lang w:val="en-US"/>
              </w:rPr>
              <w:t>, G. Automatic text analysis in the field of social disasters. In</w:t>
            </w:r>
            <w:r>
              <w:rPr>
                <w:bCs/>
                <w:sz w:val="22"/>
                <w:szCs w:val="22"/>
                <w:lang w:val="en-US"/>
              </w:rPr>
              <w:t>: Book of Abstract CAIM 2016, 15th-18th September, 2016, Craiova, Romania,  86.</w:t>
            </w:r>
          </w:p>
          <w:p>
            <w:pPr>
              <w:pStyle w:val="ListParagraph"/>
              <w:widowControl/>
              <w:numPr>
                <w:ilvl w:val="0"/>
                <w:numId w:val="88"/>
              </w:numPr>
              <w:suppressAutoHyphens w:val="true"/>
              <w:bidi w:val="0"/>
              <w:spacing w:before="0" w:after="0"/>
              <w:ind w:left="1080" w:right="0" w:hanging="360"/>
              <w:contextualSpacing/>
              <w:jc w:val="left"/>
              <w:textAlignment w:val="auto"/>
              <w:rPr>
                <w:lang w:val="en-US"/>
              </w:rPr>
            </w:pPr>
            <w:r>
              <w:rPr>
                <w:rFonts w:cs="Times New Roman CE" w:ascii="Times New Roman CE" w:hAnsi="Times New Roman CE"/>
                <w:sz w:val="22"/>
                <w:szCs w:val="22"/>
                <w:lang w:val="en-US"/>
              </w:rPr>
              <w:t>ŢIŢC</w:t>
            </w:r>
            <w:r>
              <w:rPr>
                <w:sz w:val="22"/>
                <w:szCs w:val="22"/>
                <w:lang w:val="en-US"/>
              </w:rPr>
              <w:t xml:space="preserve">HIEV, I. </w:t>
            </w:r>
            <w:r>
              <w:rPr>
                <w:bCs/>
                <w:i/>
                <w:sz w:val="22"/>
                <w:szCs w:val="22"/>
                <w:lang w:val="en-US"/>
              </w:rPr>
              <w:t>Quantitative and qualitative analysis of evacuation system by using GSPNs. In</w:t>
            </w:r>
            <w:r>
              <w:rPr>
                <w:bCs/>
                <w:sz w:val="22"/>
                <w:szCs w:val="22"/>
                <w:lang w:val="en-US"/>
              </w:rPr>
              <w:t>: Book of Abstract CAIM 2016, 15th-18th September, 2016, Craiova, Romania,  87.</w:t>
            </w:r>
          </w:p>
        </w:tc>
      </w:tr>
    </w:tbl>
    <w:p>
      <w:pPr>
        <w:pStyle w:val="Normal"/>
        <w:widowControl/>
        <w:numPr>
          <w:ilvl w:val="0"/>
          <w:numId w:val="24"/>
        </w:numPr>
        <w:tabs>
          <w:tab w:val="left" w:pos="180" w:leader="none"/>
        </w:tabs>
        <w:bidi w:val="0"/>
        <w:ind w:left="180" w:right="0" w:hanging="0"/>
        <w:jc w:val="left"/>
        <w:textAlignment w:val="auto"/>
        <w:rPr>
          <w:lang w:val="ro-MD"/>
        </w:rPr>
      </w:pPr>
      <w:r>
        <w:rPr>
          <w:rFonts w:cs="Times New Roman CE" w:ascii="Times New Roman CE" w:hAnsi="Times New Roman CE"/>
          <w:sz w:val="22"/>
          <w:szCs w:val="22"/>
          <w:lang w:val="ro-MD"/>
        </w:rPr>
        <w:t>Relevanţa r</w:t>
      </w:r>
      <w:r>
        <w:rPr>
          <w:sz w:val="22"/>
          <w:szCs w:val="22"/>
          <w:lang w:val="ro-MD"/>
        </w:rPr>
        <w:t>ezultatelor</w:t>
      </w:r>
      <w:r>
        <w:rPr>
          <w:rFonts w:cs="Times New Roman CE" w:ascii="Times New Roman CE" w:hAnsi="Times New Roman CE"/>
          <w:sz w:val="22"/>
          <w:szCs w:val="22"/>
          <w:lang w:val="ro-MD"/>
        </w:rPr>
        <w:t xml:space="preserve"> ştiinţifice obţinute  în </w:t>
      </w:r>
      <w:r>
        <w:rPr>
          <w:sz w:val="22"/>
          <w:szCs w:val="22"/>
          <w:lang w:val="ro-MD"/>
        </w:rPr>
        <w:t>2016</w:t>
      </w:r>
    </w:p>
    <w:tbl>
      <w:tblPr>
        <w:tblW w:w="9825" w:type="dxa"/>
        <w:jc w:val="left"/>
        <w:tblInd w:w="-142"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825"/>
      </w:tblGrid>
      <w:tr>
        <w:trPr>
          <w:trHeight w:val="1470" w:hRule="atLeast"/>
        </w:trPr>
        <w:tc>
          <w:tcPr>
            <w:tcW w:w="9825"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i/>
                <w:color w:val="000000"/>
                <w:sz w:val="22"/>
                <w:szCs w:val="22"/>
                <w:lang w:val="ro-MD"/>
              </w:rPr>
              <w:t>A fost populată baza de date cu circ</w:t>
            </w:r>
            <w:r>
              <w:rPr>
                <w:i/>
                <w:color w:val="000000"/>
                <w:sz w:val="22"/>
                <w:szCs w:val="22"/>
                <w:lang w:val="ro-MD"/>
              </w:rPr>
              <w:t xml:space="preserve">a </w:t>
            </w:r>
            <w:r>
              <w:rPr>
                <w:rFonts w:cs="Times New Roman CE" w:ascii="Times New Roman CE" w:hAnsi="Times New Roman CE"/>
                <w:i/>
                <w:color w:val="000000"/>
                <w:sz w:val="22"/>
                <w:szCs w:val="22"/>
                <w:lang w:val="ro-MD"/>
              </w:rPr>
              <w:t xml:space="preserve">6000 texte clasificate în 10 categorii. A fost dezvoltat softul pentru extragerea, analiza  şi clasificarea textelor de pe site-urile media. A fost propusă o metodă bazată pe reţele neurale modulare şi tehnici de deep learning pentru clasificarea eficientă a emoţiilor umane. </w:t>
            </w:r>
          </w:p>
          <w:p>
            <w:pPr>
              <w:pStyle w:val="Normal"/>
              <w:widowControl/>
              <w:bidi w:val="0"/>
              <w:ind w:left="0" w:right="0" w:hanging="0"/>
              <w:jc w:val="left"/>
              <w:textAlignment w:val="auto"/>
              <w:rPr>
                <w:lang w:val="ro-MD"/>
              </w:rPr>
            </w:pPr>
            <w:r>
              <w:rPr>
                <w:rFonts w:cs="Times New Roman CE" w:ascii="Times New Roman CE" w:hAnsi="Times New Roman CE"/>
                <w:i/>
                <w:color w:val="000000"/>
                <w:sz w:val="22"/>
                <w:szCs w:val="22"/>
                <w:lang w:val="ro-MD"/>
              </w:rPr>
              <w:t>În baza reţelelor generalizate stocastice Petri a fost propusă o metodă de modelare a procesului de evacuare a persoanelor din clădire luând în considerare  viteza de deplasare ş</w:t>
            </w:r>
            <w:r>
              <w:rPr>
                <w:i/>
                <w:color w:val="000000"/>
                <w:sz w:val="22"/>
                <w:szCs w:val="22"/>
                <w:lang w:val="ro-MD"/>
              </w:rPr>
              <w:t>i al</w:t>
            </w:r>
            <w:r>
              <w:rPr>
                <w:rFonts w:cs="Times New Roman CE" w:ascii="Times New Roman CE" w:hAnsi="Times New Roman CE"/>
                <w:i/>
                <w:color w:val="000000"/>
                <w:sz w:val="22"/>
                <w:szCs w:val="22"/>
                <w:lang w:val="ro-MD"/>
              </w:rPr>
              <w:t>ţ</w:t>
            </w:r>
            <w:r>
              <w:rPr>
                <w:i/>
                <w:color w:val="000000"/>
                <w:sz w:val="22"/>
                <w:szCs w:val="22"/>
                <w:lang w:val="ro-MD"/>
              </w:rPr>
              <w:t xml:space="preserve">i parametri. </w:t>
            </w:r>
          </w:p>
        </w:tc>
      </w:tr>
    </w:tbl>
    <w:p>
      <w:pPr>
        <w:pStyle w:val="Normal"/>
        <w:widowControl/>
        <w:bidi w:val="0"/>
        <w:ind w:left="0" w:right="0" w:hanging="0"/>
        <w:jc w:val="left"/>
        <w:textAlignment w:val="auto"/>
        <w:rPr>
          <w:rFonts w:ascii="Times New Roman" w:hAnsi="Times New Roman"/>
          <w:lang w:val="ro-MD" w:eastAsia="en-US"/>
        </w:rPr>
      </w:pPr>
      <w:r>
        <w:rPr>
          <w:lang w:val="ro-MD" w:eastAsia="en-US"/>
        </w:rPr>
      </w:r>
    </w:p>
    <w:p>
      <w:pPr>
        <w:pStyle w:val="5"/>
        <w:keepNext/>
        <w:widowControl/>
        <w:numPr>
          <w:ilvl w:val="0"/>
          <w:numId w:val="0"/>
        </w:numPr>
        <w:tabs>
          <w:tab w:val="left" w:pos="0" w:leader="none"/>
        </w:tabs>
        <w:suppressAutoHyphens w:val="true"/>
        <w:bidi w:val="0"/>
        <w:ind w:left="0" w:right="0" w:hanging="0"/>
        <w:jc w:val="left"/>
        <w:textAlignment w:val="auto"/>
        <w:outlineLvl w:val="4"/>
        <w:rPr>
          <w:b w:val="false"/>
          <w:b w:val="false"/>
        </w:rPr>
      </w:pPr>
      <w:r>
        <w:rPr>
          <w:rFonts w:cs="Times New Roman CE" w:ascii="Times New Roman CE" w:hAnsi="Times New Roman CE"/>
          <w:b w:val="false"/>
          <w:spacing w:val="0"/>
          <w:sz w:val="24"/>
          <w:szCs w:val="24"/>
        </w:rPr>
        <w:t>Conducătorul proiectului</w:t>
      </w:r>
      <w:r>
        <w:rPr>
          <w:b w:val="false"/>
          <w:bCs w:val="false"/>
          <w:iCs/>
          <w:sz w:val="24"/>
          <w:szCs w:val="24"/>
        </w:rPr>
        <w:t xml:space="preserve">  </w:t>
      </w:r>
      <w:r>
        <w:rPr>
          <w:b w:val="false"/>
          <w:bCs w:val="false"/>
          <w:i/>
          <w:iCs/>
          <w:spacing w:val="0"/>
          <w:sz w:val="24"/>
          <w:szCs w:val="24"/>
          <w:lang w:val="ro-RO"/>
        </w:rPr>
        <w:t xml:space="preserve">______________________________  </w:t>
      </w:r>
      <w:r>
        <w:rPr>
          <w:b w:val="false"/>
          <w:bCs w:val="false"/>
          <w:iCs/>
          <w:sz w:val="24"/>
          <w:szCs w:val="24"/>
        </w:rPr>
        <w:t xml:space="preserve"> dr.h.</w:t>
      </w:r>
      <w:r>
        <w:rPr>
          <w:b w:val="false"/>
          <w:bCs w:val="false"/>
          <w:i/>
          <w:iCs/>
          <w:spacing w:val="0"/>
          <w:sz w:val="24"/>
          <w:szCs w:val="24"/>
          <w:lang w:val="ro-RO"/>
        </w:rPr>
        <w:t xml:space="preserve"> </w:t>
      </w:r>
      <w:r>
        <w:rPr>
          <w:b w:val="false"/>
          <w:bCs w:val="false"/>
          <w:iCs/>
          <w:sz w:val="24"/>
          <w:szCs w:val="24"/>
        </w:rPr>
        <w:t>COJOCARU Svetlana</w:t>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2"/>
        <w:keepNext/>
        <w:widowControl/>
        <w:numPr>
          <w:ilvl w:val="0"/>
          <w:numId w:val="0"/>
        </w:numPr>
        <w:bidi w:val="0"/>
        <w:ind w:left="0" w:right="0" w:hanging="0"/>
        <w:jc w:val="left"/>
        <w:textAlignment w:val="auto"/>
        <w:outlineLvl w:val="1"/>
        <w:rPr/>
      </w:pPr>
      <w:bookmarkStart w:id="80" w:name="_Toc469651887"/>
      <w:r>
        <w:rPr>
          <w:rFonts w:cs="Times New Roman CE" w:ascii="Times New Roman CE" w:hAnsi="Times New Roman CE"/>
          <w:i/>
          <w:sz w:val="26"/>
          <w:szCs w:val="26"/>
        </w:rPr>
        <w:t>Fişa proiectului internaţional</w:t>
      </w:r>
      <w:bookmarkEnd w:id="80"/>
      <w:r>
        <w:rPr>
          <w:i/>
          <w:sz w:val="26"/>
          <w:szCs w:val="26"/>
        </w:rPr>
        <w:t xml:space="preserve"> VI</w:t>
      </w:r>
    </w:p>
    <w:p>
      <w:pPr>
        <w:pStyle w:val="Normal"/>
        <w:widowControl/>
        <w:bidi w:val="0"/>
        <w:ind w:left="0" w:right="0" w:hanging="0"/>
        <w:jc w:val="center"/>
        <w:textAlignment w:val="auto"/>
        <w:rPr>
          <w:rFonts w:ascii="Times New Roman" w:hAnsi="Times New Roman"/>
          <w:sz w:val="22"/>
          <w:szCs w:val="22"/>
          <w:lang w:val="ro-RO"/>
        </w:rPr>
      </w:pPr>
      <w:r>
        <w:rPr>
          <w:sz w:val="22"/>
          <w:szCs w:val="22"/>
          <w:lang w:val="ro-RO"/>
        </w:rPr>
      </w:r>
    </w:p>
    <w:p>
      <w:pPr>
        <w:pStyle w:val="Normal"/>
        <w:widowControl/>
        <w:numPr>
          <w:ilvl w:val="0"/>
          <w:numId w:val="7"/>
        </w:numPr>
        <w:tabs>
          <w:tab w:val="left" w:pos="180" w:leader="none"/>
        </w:tabs>
        <w:bidi w:val="0"/>
        <w:ind w:left="180" w:right="0" w:hanging="0"/>
        <w:jc w:val="left"/>
        <w:textAlignment w:val="auto"/>
        <w:rPr>
          <w:lang w:val="ro-MD"/>
        </w:rPr>
      </w:pPr>
      <w:r>
        <w:rPr>
          <w:bCs/>
          <w:color w:val="000000"/>
          <w:sz w:val="22"/>
          <w:szCs w:val="22"/>
          <w:lang w:val="ro-MD"/>
        </w:rPr>
        <w:t xml:space="preserve">Denumirea </w:t>
      </w:r>
      <w:r>
        <w:rPr>
          <w:color w:val="000000"/>
          <w:sz w:val="22"/>
          <w:szCs w:val="22"/>
          <w:lang w:val="ro-MD"/>
        </w:rPr>
        <w:t>proiectului</w:t>
      </w:r>
      <w:r>
        <w:rPr>
          <w:bCs/>
          <w:color w:val="000000"/>
          <w:sz w:val="22"/>
          <w:szCs w:val="22"/>
          <w:lang w:val="ro-MD"/>
        </w:rPr>
        <w:t xml:space="preserve"> </w:t>
      </w:r>
    </w:p>
    <w:tbl>
      <w:tblPr>
        <w:tblW w:w="9462"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462"/>
      </w:tblGrid>
      <w:tr>
        <w:trPr/>
        <w:tc>
          <w:tcPr>
            <w:tcW w:w="9462"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MD"/>
              </w:rPr>
            </w:pPr>
            <w:r>
              <w:rPr>
                <w:bCs/>
                <w:i/>
                <w:sz w:val="22"/>
                <w:szCs w:val="22"/>
                <w:lang w:val="ro-MD"/>
              </w:rPr>
              <w:t xml:space="preserve">316338  Dynamical Systems and Their Applications </w:t>
            </w:r>
          </w:p>
        </w:tc>
      </w:tr>
    </w:tbl>
    <w:p>
      <w:pPr>
        <w:pStyle w:val="Normal"/>
        <w:widowControl/>
        <w:numPr>
          <w:ilvl w:val="0"/>
          <w:numId w:val="7"/>
        </w:numPr>
        <w:tabs>
          <w:tab w:val="left" w:pos="180" w:leader="none"/>
        </w:tabs>
        <w:bidi w:val="0"/>
        <w:ind w:left="180" w:right="0" w:hanging="0"/>
        <w:jc w:val="left"/>
        <w:textAlignment w:val="auto"/>
        <w:rPr>
          <w:lang w:val="ro-MD"/>
        </w:rPr>
      </w:pPr>
      <w:r>
        <w:rPr>
          <w:rFonts w:cs="Times New Roman CE" w:ascii="Times New Roman CE" w:hAnsi="Times New Roman CE"/>
          <w:bCs/>
          <w:sz w:val="22"/>
          <w:szCs w:val="22"/>
          <w:lang w:val="ro-MD"/>
        </w:rPr>
        <w:t>Denumirea programului /organizaţiei/fondului internaţional</w:t>
      </w:r>
    </w:p>
    <w:tbl>
      <w:tblPr>
        <w:tblW w:w="9462"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462"/>
      </w:tblGrid>
      <w:tr>
        <w:trPr/>
        <w:tc>
          <w:tcPr>
            <w:tcW w:w="9462"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both"/>
              <w:textAlignment w:val="auto"/>
              <w:rPr>
                <w:lang w:val="en-US"/>
              </w:rPr>
            </w:pPr>
            <w:r>
              <w:rPr>
                <w:i/>
                <w:sz w:val="22"/>
                <w:szCs w:val="22"/>
                <w:lang w:val="en-US"/>
              </w:rPr>
              <w:t>FP7-PEOPLE-2012-IRSES-316338</w:t>
            </w:r>
          </w:p>
        </w:tc>
      </w:tr>
    </w:tbl>
    <w:p>
      <w:pPr>
        <w:pStyle w:val="Normal"/>
        <w:widowControl/>
        <w:numPr>
          <w:ilvl w:val="0"/>
          <w:numId w:val="7"/>
        </w:numPr>
        <w:tabs>
          <w:tab w:val="left" w:pos="180" w:leader="none"/>
        </w:tabs>
        <w:bidi w:val="0"/>
        <w:ind w:left="180" w:right="0" w:hanging="0"/>
        <w:jc w:val="left"/>
        <w:textAlignment w:val="auto"/>
        <w:rPr>
          <w:lang w:val="ro-MD"/>
        </w:rPr>
      </w:pPr>
      <w:r>
        <w:rPr>
          <w:bCs/>
          <w:sz w:val="22"/>
          <w:szCs w:val="22"/>
          <w:lang w:val="ro-MD"/>
        </w:rPr>
        <w:t xml:space="preserve">Obiectivele proiectului </w:t>
      </w:r>
    </w:p>
    <w:tbl>
      <w:tblPr>
        <w:tblW w:w="9462"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462"/>
      </w:tblGrid>
      <w:tr>
        <w:trPr/>
        <w:tc>
          <w:tcPr>
            <w:tcW w:w="9462"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both"/>
              <w:textAlignment w:val="auto"/>
              <w:rPr>
                <w:lang w:val="ro-RO"/>
              </w:rPr>
            </w:pPr>
            <w:r>
              <w:rPr>
                <w:rFonts w:cs="Times New Roman CE" w:ascii="Times New Roman CE" w:hAnsi="Times New Roman CE"/>
                <w:color w:val="000000"/>
                <w:lang w:val="ro-RO"/>
              </w:rPr>
              <w:t xml:space="preserve">Obiectivul de bază </w:t>
            </w:r>
            <w:r>
              <w:rPr>
                <w:rStyle w:val="Hps"/>
                <w:color w:val="000000"/>
                <w:lang w:val="ro-RO"/>
              </w:rPr>
              <w:t>al proiectului</w:t>
            </w:r>
            <w:r>
              <w:rPr>
                <w:rFonts w:cs="Times New Roman CE" w:ascii="Times New Roman CE" w:hAnsi="Times New Roman CE"/>
                <w:color w:val="000000"/>
                <w:lang w:val="ro-RO"/>
              </w:rPr>
              <w:t xml:space="preserve"> constă în elaborarea unei abordări</w:t>
            </w:r>
            <w:r>
              <w:rPr>
                <w:rStyle w:val="Hps"/>
                <w:color w:val="000000"/>
                <w:lang w:val="ro-RO"/>
              </w:rPr>
              <w:t xml:space="preserve"> fundamentale</w:t>
            </w:r>
            <w:r>
              <w:rPr>
                <w:color w:val="000000"/>
                <w:lang w:val="ro-RO"/>
              </w:rPr>
              <w:t xml:space="preserve"> a </w:t>
            </w:r>
            <w:r>
              <w:rPr>
                <w:rStyle w:val="Hps"/>
                <w:color w:val="000000"/>
                <w:lang w:val="ro-RO"/>
              </w:rPr>
              <w:t xml:space="preserve">teoriei </w:t>
            </w:r>
            <w:r>
              <w:rPr>
                <w:rStyle w:val="Hps"/>
                <w:rFonts w:cs="Times New Roman CE" w:ascii="Times New Roman CE" w:hAnsi="Times New Roman CE"/>
                <w:color w:val="000000"/>
                <w:lang w:val="ro-RO"/>
              </w:rPr>
              <w:t>sistemelor dinamice şi în aplicarea</w:t>
            </w:r>
            <w:r>
              <w:rPr>
                <w:rStyle w:val="Hps"/>
                <w:color w:val="000000"/>
                <w:lang w:val="ro-RO"/>
              </w:rPr>
              <w:t xml:space="preserve"> teoriei</w:t>
            </w:r>
            <w:r>
              <w:rPr>
                <w:color w:val="000000"/>
                <w:lang w:val="ro-RO"/>
              </w:rPr>
              <w:t xml:space="preserve"> date </w:t>
            </w:r>
            <w:r>
              <w:rPr>
                <w:rFonts w:cs="Times New Roman CE" w:ascii="Times New Roman CE" w:hAnsi="Times New Roman CE"/>
                <w:color w:val="000000"/>
                <w:lang w:val="ro-RO"/>
              </w:rPr>
              <w:t>în studiul</w:t>
            </w:r>
            <w:r>
              <w:rPr>
                <w:color w:val="000000"/>
                <w:lang w:val="ro-RO"/>
              </w:rPr>
              <w:t xml:space="preserve"> </w:t>
            </w:r>
            <w:r>
              <w:rPr>
                <w:rStyle w:val="Hps"/>
                <w:rFonts w:cs="Times New Roman CE" w:ascii="Times New Roman CE" w:hAnsi="Times New Roman CE"/>
                <w:color w:val="000000"/>
                <w:lang w:val="ro-RO"/>
              </w:rPr>
              <w:t>modelelor fenomenelor naturale şi,</w:t>
            </w:r>
            <w:r>
              <w:rPr>
                <w:rStyle w:val="Hps"/>
                <w:color w:val="000000"/>
                <w:lang w:val="ro-RO"/>
              </w:rPr>
              <w:t xml:space="preserve"> </w:t>
            </w:r>
            <w:r>
              <w:rPr>
                <w:rStyle w:val="Hps"/>
                <w:rFonts w:cs="Times New Roman CE" w:ascii="Times New Roman CE" w:hAnsi="Times New Roman CE"/>
                <w:color w:val="000000"/>
                <w:lang w:val="ro-RO"/>
              </w:rPr>
              <w:t>în special, acelor ce ţin de</w:t>
            </w:r>
            <w:r>
              <w:rPr>
                <w:rStyle w:val="Hps"/>
                <w:color w:val="000000"/>
                <w:lang w:val="ro-RO"/>
              </w:rPr>
              <w:t xml:space="preserve"> neurologie</w:t>
            </w:r>
            <w:r>
              <w:rPr>
                <w:color w:val="000000"/>
                <w:lang w:val="ro-RO"/>
              </w:rPr>
              <w:t>, f</w:t>
            </w:r>
            <w:r>
              <w:rPr>
                <w:rStyle w:val="Hps"/>
                <w:color w:val="000000"/>
                <w:lang w:val="ro-RO"/>
              </w:rPr>
              <w:t>izica</w:t>
            </w:r>
            <w:r>
              <w:rPr>
                <w:color w:val="000000"/>
                <w:lang w:val="ro-RO"/>
              </w:rPr>
              <w:t xml:space="preserve"> p</w:t>
            </w:r>
            <w:r>
              <w:rPr>
                <w:rStyle w:val="Hps"/>
                <w:color w:val="000000"/>
                <w:lang w:val="ro-RO"/>
              </w:rPr>
              <w:t xml:space="preserve">lasmei </w:t>
            </w:r>
            <w:r>
              <w:rPr>
                <w:rStyle w:val="Hps"/>
                <w:rFonts w:cs="Times New Roman CE" w:ascii="Times New Roman CE" w:hAnsi="Times New Roman CE"/>
                <w:color w:val="000000"/>
                <w:lang w:val="ro-RO"/>
              </w:rPr>
              <w:t>şi medicină</w:t>
            </w:r>
            <w:r>
              <w:rPr>
                <w:color w:val="000000"/>
                <w:lang w:val="ro-RO"/>
              </w:rPr>
              <w:t>.</w:t>
            </w:r>
          </w:p>
        </w:tc>
      </w:tr>
    </w:tbl>
    <w:p>
      <w:pPr>
        <w:pStyle w:val="Normal"/>
        <w:widowControl/>
        <w:numPr>
          <w:ilvl w:val="0"/>
          <w:numId w:val="7"/>
        </w:numPr>
        <w:tabs>
          <w:tab w:val="left" w:pos="180" w:leader="none"/>
        </w:tabs>
        <w:bidi w:val="0"/>
        <w:ind w:left="180" w:right="0" w:hanging="0"/>
        <w:jc w:val="left"/>
        <w:textAlignment w:val="auto"/>
        <w:rPr>
          <w:lang w:val="ro-MD"/>
        </w:rPr>
      </w:pPr>
      <w:r>
        <w:rPr>
          <w:rFonts w:cs="Times New Roman CE" w:ascii="Times New Roman CE" w:hAnsi="Times New Roman CE"/>
          <w:bCs/>
          <w:sz w:val="22"/>
          <w:szCs w:val="22"/>
          <w:lang w:val="ro-MD"/>
        </w:rPr>
        <w:t>Termenul executării</w:t>
      </w:r>
      <w:r>
        <w:rPr>
          <w:color w:val="800000"/>
          <w:sz w:val="22"/>
          <w:szCs w:val="22"/>
          <w:lang w:val="ro-MD"/>
        </w:rPr>
        <w:t xml:space="preserve"> </w:t>
      </w:r>
    </w:p>
    <w:tbl>
      <w:tblPr>
        <w:tblW w:w="9462"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462"/>
      </w:tblGrid>
      <w:tr>
        <w:trPr/>
        <w:tc>
          <w:tcPr>
            <w:tcW w:w="9462"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01.10.2012 – 30.09.2016</w:t>
            </w:r>
          </w:p>
        </w:tc>
      </w:tr>
    </w:tbl>
    <w:p>
      <w:pPr>
        <w:pStyle w:val="Normal"/>
        <w:widowControl/>
        <w:numPr>
          <w:ilvl w:val="0"/>
          <w:numId w:val="7"/>
        </w:numPr>
        <w:tabs>
          <w:tab w:val="left" w:pos="180" w:leader="none"/>
        </w:tabs>
        <w:bidi w:val="0"/>
        <w:ind w:left="180" w:right="0" w:hanging="0"/>
        <w:jc w:val="left"/>
        <w:textAlignment w:val="auto"/>
        <w:rPr>
          <w:lang w:val="ro-MD"/>
        </w:rPr>
      </w:pPr>
      <w:r>
        <w:rPr>
          <w:sz w:val="22"/>
          <w:szCs w:val="22"/>
          <w:lang w:val="ro-MD"/>
        </w:rPr>
        <w:t xml:space="preserve">Costul total al proiectului  </w:t>
      </w:r>
    </w:p>
    <w:tbl>
      <w:tblPr>
        <w:tblW w:w="9462"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462"/>
      </w:tblGrid>
      <w:tr>
        <w:trPr/>
        <w:tc>
          <w:tcPr>
            <w:tcW w:w="9462"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MD"/>
              </w:rPr>
            </w:pPr>
            <w:r>
              <w:rPr>
                <w:bCs/>
                <w:sz w:val="22"/>
                <w:szCs w:val="22"/>
                <w:lang w:val="ro-MD"/>
              </w:rPr>
              <w:t>600 mii euro</w:t>
            </w:r>
          </w:p>
        </w:tc>
      </w:tr>
    </w:tbl>
    <w:p>
      <w:pPr>
        <w:pStyle w:val="Normal"/>
        <w:widowControl/>
        <w:numPr>
          <w:ilvl w:val="0"/>
          <w:numId w:val="7"/>
        </w:numPr>
        <w:tabs>
          <w:tab w:val="left" w:pos="180" w:leader="none"/>
        </w:tabs>
        <w:bidi w:val="0"/>
        <w:ind w:left="180" w:right="0" w:hanging="0"/>
        <w:jc w:val="left"/>
        <w:textAlignment w:val="auto"/>
        <w:rPr>
          <w:lang w:val="ro-RO"/>
        </w:rPr>
      </w:pPr>
      <w:r>
        <w:rPr>
          <w:rFonts w:cs="Times New Roman CE" w:ascii="Times New Roman CE" w:hAnsi="Times New Roman CE"/>
          <w:bCs/>
          <w:sz w:val="22"/>
          <w:szCs w:val="22"/>
          <w:lang w:val="ro-RO"/>
        </w:rPr>
        <w:t xml:space="preserve">Cofinanţarea </w:t>
      </w:r>
      <w:r>
        <w:rPr>
          <w:sz w:val="22"/>
          <w:szCs w:val="22"/>
          <w:lang w:val="ro-MD"/>
        </w:rPr>
        <w:t>din partea Republicii Moldova (</w:t>
      </w:r>
      <w:r>
        <w:rPr>
          <w:rFonts w:cs="Times New Roman CE" w:ascii="Times New Roman CE" w:hAnsi="Times New Roman CE"/>
          <w:sz w:val="22"/>
          <w:szCs w:val="22"/>
          <w:lang w:val="ro-RO"/>
        </w:rPr>
        <w:t>în cazul cofinanţării</w:t>
      </w:r>
      <w:r>
        <w:rPr>
          <w:sz w:val="22"/>
          <w:szCs w:val="22"/>
          <w:lang w:val="ro-RO"/>
        </w:rPr>
        <w:t>)</w:t>
      </w:r>
    </w:p>
    <w:tbl>
      <w:tblPr>
        <w:tblW w:w="9464" w:type="dxa"/>
        <w:jc w:val="left"/>
        <w:tblInd w:w="567"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5014"/>
        <w:gridCol w:w="4449"/>
      </w:tblGrid>
      <w:tr>
        <w:trPr>
          <w:trHeight w:val="330" w:hRule="atLeast"/>
        </w:trPr>
        <w:tc>
          <w:tcPr>
            <w:tcW w:w="5014"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vAlign w:val="center"/>
          </w:tcPr>
          <w:p>
            <w:pPr>
              <w:pStyle w:val="Normal"/>
              <w:widowControl/>
              <w:bidi w:val="0"/>
              <w:ind w:left="0" w:right="0" w:hanging="0"/>
              <w:jc w:val="left"/>
              <w:textAlignment w:val="auto"/>
              <w:rPr>
                <w:lang w:val="ro-MD"/>
              </w:rPr>
            </w:pPr>
            <w:r>
              <w:rPr>
                <w:rStyle w:val="Style6"/>
                <w:rFonts w:cs="Times New Roman CE" w:ascii="Times New Roman CE" w:hAnsi="Times New Roman CE"/>
                <w:i/>
                <w:iCs/>
                <w:lang w:val="ro-MD"/>
              </w:rPr>
              <w:t>Nu există</w:t>
            </w:r>
          </w:p>
        </w:tc>
        <w:tc>
          <w:tcPr>
            <w:tcW w:w="4449"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vAlign w:val="center"/>
          </w:tcPr>
          <w:p>
            <w:pPr>
              <w:pStyle w:val="Normal"/>
              <w:widowControl/>
              <w:bidi w:val="0"/>
              <w:ind w:left="0" w:right="0" w:hanging="0"/>
              <w:jc w:val="center"/>
              <w:textAlignment w:val="auto"/>
              <w:rPr>
                <w:lang w:val="ro-MD"/>
              </w:rPr>
            </w:pPr>
            <w:r>
              <w:rPr>
                <w:rFonts w:cs="Times New Roman CE" w:ascii="Times New Roman CE" w:hAnsi="Times New Roman CE"/>
                <w:bCs/>
                <w:i/>
                <w:sz w:val="22"/>
                <w:szCs w:val="22"/>
                <w:lang w:val="ro-MD"/>
              </w:rPr>
              <w:t>Nu există</w:t>
            </w:r>
            <w:r>
              <w:rPr>
                <w:bCs/>
                <w:i/>
                <w:sz w:val="22"/>
                <w:szCs w:val="22"/>
                <w:lang w:val="ro-MD"/>
              </w:rPr>
              <w:t xml:space="preserve"> </w:t>
            </w:r>
          </w:p>
        </w:tc>
      </w:tr>
    </w:tbl>
    <w:p>
      <w:pPr>
        <w:pStyle w:val="Normal"/>
        <w:widowControl/>
        <w:numPr>
          <w:ilvl w:val="0"/>
          <w:numId w:val="7"/>
        </w:numPr>
        <w:tabs>
          <w:tab w:val="left" w:pos="180" w:leader="none"/>
        </w:tabs>
        <w:bidi w:val="0"/>
        <w:ind w:left="180" w:right="0" w:hanging="0"/>
        <w:jc w:val="left"/>
        <w:textAlignment w:val="auto"/>
        <w:rPr>
          <w:lang w:val="ro-MD"/>
        </w:rPr>
      </w:pPr>
      <w:r>
        <w:rPr>
          <w:rFonts w:cs="Times New Roman CE" w:ascii="Times New Roman CE" w:hAnsi="Times New Roman CE"/>
          <w:sz w:val="22"/>
          <w:szCs w:val="22"/>
          <w:lang w:val="ro-MD"/>
        </w:rPr>
        <w:t>Subdiviziunile organizaţiei executoare (laborator, secţ</w:t>
      </w:r>
      <w:r>
        <w:rPr>
          <w:sz w:val="22"/>
          <w:szCs w:val="22"/>
          <w:lang w:val="ro-MD"/>
        </w:rPr>
        <w:t>ie, sector etc.)</w:t>
      </w:r>
    </w:p>
    <w:tbl>
      <w:tblPr>
        <w:tblW w:w="9498" w:type="dxa"/>
        <w:jc w:val="left"/>
        <w:tblInd w:w="568"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498"/>
      </w:tblGrid>
      <w:tr>
        <w:trPr>
          <w:trHeight w:val="318" w:hRule="atLeast"/>
        </w:trPr>
        <w:tc>
          <w:tcPr>
            <w:tcW w:w="9498"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MD"/>
              </w:rPr>
            </w:pPr>
            <w:r>
              <w:rPr>
                <w:bCs/>
                <w:i/>
                <w:sz w:val="22"/>
                <w:szCs w:val="22"/>
                <w:lang w:val="ro-MD"/>
              </w:rPr>
              <w:t xml:space="preserve">Laboratorul </w:t>
            </w:r>
            <w:r>
              <w:rPr>
                <w:rFonts w:cs="Times New Roman CE" w:ascii="Times New Roman CE" w:hAnsi="Times New Roman CE"/>
                <w:bCs/>
                <w:i/>
                <w:sz w:val="22"/>
                <w:szCs w:val="22"/>
                <w:lang w:val="ro-RO"/>
              </w:rPr>
              <w:t>„Ecuaţii Diferenţiale”</w:t>
            </w:r>
          </w:p>
        </w:tc>
      </w:tr>
    </w:tbl>
    <w:p>
      <w:pPr>
        <w:pStyle w:val="Normal"/>
        <w:widowControl/>
        <w:numPr>
          <w:ilvl w:val="0"/>
          <w:numId w:val="7"/>
        </w:numPr>
        <w:tabs>
          <w:tab w:val="left" w:pos="180" w:leader="none"/>
        </w:tabs>
        <w:bidi w:val="0"/>
        <w:spacing w:lineRule="exact" w:line="360"/>
        <w:ind w:left="180" w:right="0" w:hanging="0"/>
        <w:jc w:val="left"/>
        <w:textAlignment w:val="auto"/>
        <w:rPr>
          <w:lang w:val="ro-MD"/>
        </w:rPr>
      </w:pPr>
      <w:r>
        <w:rPr>
          <w:sz w:val="22"/>
          <w:szCs w:val="22"/>
          <w:lang w:val="ro-MD"/>
        </w:rPr>
        <w:t xml:space="preserve">Executorii  </w:t>
      </w:r>
    </w:p>
    <w:tbl>
      <w:tblPr>
        <w:tblW w:w="9571" w:type="dxa"/>
        <w:jc w:val="left"/>
        <w:tblInd w:w="-10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3" w:type="dxa"/>
          <w:bottom w:w="0" w:type="dxa"/>
          <w:right w:w="108" w:type="dxa"/>
        </w:tblCellMar>
      </w:tblPr>
      <w:tblGrid>
        <w:gridCol w:w="425"/>
        <w:gridCol w:w="1809"/>
        <w:gridCol w:w="4253"/>
        <w:gridCol w:w="3083"/>
      </w:tblGrid>
      <w:tr>
        <w:trPr/>
        <w:tc>
          <w:tcPr>
            <w:tcW w:w="4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rFonts w:ascii="Times New Roman" w:hAnsi="Times New Roman"/>
                <w:bCs/>
                <w:i/>
                <w:i/>
                <w:sz w:val="22"/>
                <w:szCs w:val="22"/>
                <w:lang w:val="ro-MD"/>
              </w:rPr>
            </w:pPr>
            <w:r>
              <w:rPr>
                <w:bCs/>
                <w:i/>
                <w:sz w:val="22"/>
                <w:szCs w:val="22"/>
                <w:lang w:val="ro-MD"/>
              </w:rPr>
            </w:r>
          </w:p>
        </w:tc>
        <w:tc>
          <w:tcPr>
            <w:tcW w:w="180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sz w:val="22"/>
                <w:szCs w:val="22"/>
                <w:lang w:val="ro-MD"/>
              </w:rPr>
              <w:t>Nume, prenume</w:t>
            </w:r>
          </w:p>
        </w:tc>
        <w:tc>
          <w:tcPr>
            <w:tcW w:w="733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sz w:val="22"/>
                <w:szCs w:val="22"/>
                <w:lang w:val="ro-MD"/>
              </w:rPr>
              <w:t>F</w:t>
            </w:r>
            <w:r>
              <w:rPr>
                <w:rFonts w:cs="Times New Roman CE" w:ascii="Times New Roman CE" w:hAnsi="Times New Roman CE"/>
                <w:bCs/>
                <w:i/>
                <w:sz w:val="22"/>
                <w:szCs w:val="22"/>
                <w:lang w:val="ro-MD"/>
              </w:rPr>
              <w:t>funcţia în cadrul proiectului</w:t>
            </w:r>
          </w:p>
        </w:tc>
      </w:tr>
      <w:tr>
        <w:trPr/>
        <w:tc>
          <w:tcPr>
            <w:tcW w:w="4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MD"/>
              </w:rPr>
            </w:pPr>
            <w:r>
              <w:rPr>
                <w:bCs/>
                <w:i/>
                <w:sz w:val="22"/>
                <w:szCs w:val="22"/>
                <w:lang w:val="ro-MD"/>
              </w:rPr>
              <w:t>1.</w:t>
            </w:r>
          </w:p>
        </w:tc>
        <w:tc>
          <w:tcPr>
            <w:tcW w:w="180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bCs/>
                <w:i/>
                <w:sz w:val="22"/>
                <w:szCs w:val="22"/>
                <w:lang w:val="ro-MD"/>
              </w:rPr>
              <w:t>ŞUBĂ Alexandru</w:t>
            </w:r>
          </w:p>
        </w:tc>
        <w:tc>
          <w:tcPr>
            <w:tcW w:w="42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sz w:val="22"/>
                <w:szCs w:val="22"/>
                <w:lang w:val="ro-MD"/>
              </w:rPr>
              <w:t>coordonator al pachetului de lucru WP2    (ER)</w:t>
            </w:r>
          </w:p>
        </w:tc>
        <w:tc>
          <w:tcPr>
            <w:tcW w:w="308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bCs/>
                <w:i/>
                <w:sz w:val="22"/>
                <w:szCs w:val="22"/>
                <w:lang w:val="ro-MD"/>
              </w:rPr>
              <w:t>cercetător ştiinţific principal, dr.hab.</w:t>
            </w:r>
          </w:p>
        </w:tc>
      </w:tr>
      <w:tr>
        <w:trPr/>
        <w:tc>
          <w:tcPr>
            <w:tcW w:w="4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MD"/>
              </w:rPr>
            </w:pPr>
            <w:r>
              <w:rPr>
                <w:bCs/>
                <w:i/>
                <w:sz w:val="22"/>
                <w:szCs w:val="22"/>
                <w:lang w:val="ro-MD"/>
              </w:rPr>
              <w:t>2.</w:t>
            </w:r>
          </w:p>
        </w:tc>
        <w:tc>
          <w:tcPr>
            <w:tcW w:w="180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sz w:val="22"/>
                <w:szCs w:val="22"/>
                <w:lang w:val="ro-MD"/>
              </w:rPr>
              <w:t xml:space="preserve">VULPE Nicolae </w:t>
            </w:r>
          </w:p>
        </w:tc>
        <w:tc>
          <w:tcPr>
            <w:tcW w:w="42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sz w:val="22"/>
                <w:szCs w:val="22"/>
                <w:lang w:val="ro-MD"/>
              </w:rPr>
              <w:t>membru al Comitetului de coordonare decizional  (ER)</w:t>
            </w:r>
          </w:p>
        </w:tc>
        <w:tc>
          <w:tcPr>
            <w:tcW w:w="308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bCs/>
                <w:i/>
                <w:sz w:val="22"/>
                <w:szCs w:val="22"/>
                <w:lang w:val="ro-MD"/>
              </w:rPr>
              <w:t>cercetător ştiinţific principal, dr.hab.</w:t>
            </w:r>
          </w:p>
        </w:tc>
      </w:tr>
      <w:tr>
        <w:trPr/>
        <w:tc>
          <w:tcPr>
            <w:tcW w:w="4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MD"/>
              </w:rPr>
            </w:pPr>
            <w:r>
              <w:rPr>
                <w:bCs/>
                <w:i/>
                <w:sz w:val="22"/>
                <w:szCs w:val="22"/>
                <w:lang w:val="ro-MD"/>
              </w:rPr>
              <w:t>3.</w:t>
            </w:r>
          </w:p>
        </w:tc>
        <w:tc>
          <w:tcPr>
            <w:tcW w:w="180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bCs/>
                <w:i/>
                <w:sz w:val="22"/>
                <w:szCs w:val="22"/>
                <w:lang w:val="ro-MD"/>
              </w:rPr>
              <w:t xml:space="preserve">VACARAŞ Olga </w:t>
            </w:r>
          </w:p>
        </w:tc>
        <w:tc>
          <w:tcPr>
            <w:tcW w:w="42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sz w:val="22"/>
                <w:szCs w:val="22"/>
                <w:lang w:val="ro-MD"/>
              </w:rPr>
              <w:t>executor   (ESR)</w:t>
            </w:r>
          </w:p>
        </w:tc>
        <w:tc>
          <w:tcPr>
            <w:tcW w:w="308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bCs/>
                <w:i/>
                <w:sz w:val="22"/>
                <w:szCs w:val="22"/>
                <w:lang w:val="ro-MD"/>
              </w:rPr>
              <w:t>cercetător ştiinţific stagiar</w:t>
            </w:r>
          </w:p>
        </w:tc>
      </w:tr>
      <w:tr>
        <w:trPr/>
        <w:tc>
          <w:tcPr>
            <w:tcW w:w="4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MD"/>
              </w:rPr>
            </w:pPr>
            <w:r>
              <w:rPr>
                <w:bCs/>
                <w:i/>
                <w:sz w:val="22"/>
                <w:szCs w:val="22"/>
                <w:lang w:val="ro-MD"/>
              </w:rPr>
              <w:t>4.</w:t>
            </w:r>
          </w:p>
        </w:tc>
        <w:tc>
          <w:tcPr>
            <w:tcW w:w="180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sz w:val="22"/>
                <w:szCs w:val="22"/>
                <w:lang w:val="ro-MD"/>
              </w:rPr>
              <w:t xml:space="preserve">BUJAC Cristina </w:t>
            </w:r>
          </w:p>
        </w:tc>
        <w:tc>
          <w:tcPr>
            <w:tcW w:w="42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sz w:val="22"/>
                <w:szCs w:val="22"/>
                <w:lang w:val="ro-MD"/>
              </w:rPr>
              <w:t>executor  (ESR)</w:t>
            </w:r>
          </w:p>
        </w:tc>
        <w:tc>
          <w:tcPr>
            <w:tcW w:w="308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bCs/>
                <w:i/>
                <w:sz w:val="22"/>
                <w:szCs w:val="22"/>
                <w:lang w:val="ro-MD"/>
              </w:rPr>
              <w:t>cercetător ştiinţific stagiar</w:t>
            </w:r>
          </w:p>
        </w:tc>
      </w:tr>
      <w:tr>
        <w:trPr/>
        <w:tc>
          <w:tcPr>
            <w:tcW w:w="42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MD"/>
              </w:rPr>
            </w:pPr>
            <w:r>
              <w:rPr>
                <w:bCs/>
                <w:i/>
                <w:sz w:val="22"/>
                <w:szCs w:val="22"/>
                <w:lang w:val="ro-MD"/>
              </w:rPr>
              <w:t>5.</w:t>
            </w:r>
          </w:p>
        </w:tc>
        <w:tc>
          <w:tcPr>
            <w:tcW w:w="180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bCs/>
                <w:i/>
                <w:sz w:val="22"/>
                <w:szCs w:val="22"/>
                <w:lang w:val="ro-MD"/>
              </w:rPr>
              <w:t>TURUTA Silvia</w:t>
            </w:r>
          </w:p>
        </w:tc>
        <w:tc>
          <w:tcPr>
            <w:tcW w:w="42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bCs/>
                <w:i/>
                <w:sz w:val="22"/>
                <w:szCs w:val="22"/>
                <w:lang w:val="ro-MD"/>
              </w:rPr>
              <w:t>executor  (ESR)</w:t>
            </w:r>
          </w:p>
        </w:tc>
        <w:tc>
          <w:tcPr>
            <w:tcW w:w="308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bCs/>
                <w:i/>
                <w:sz w:val="22"/>
                <w:szCs w:val="22"/>
                <w:lang w:val="ro-MD"/>
              </w:rPr>
              <w:t>cercetător ştiinţific stagiar</w:t>
            </w:r>
          </w:p>
        </w:tc>
      </w:tr>
    </w:tbl>
    <w:p>
      <w:pPr>
        <w:pStyle w:val="Normal"/>
        <w:widowControl/>
        <w:bidi w:val="0"/>
        <w:ind w:left="0" w:right="0" w:hanging="0"/>
        <w:jc w:val="left"/>
        <w:textAlignment w:val="auto"/>
        <w:rPr>
          <w:rFonts w:ascii="Times New Roman" w:hAnsi="Times New Roman"/>
          <w:bCs/>
          <w:sz w:val="22"/>
          <w:szCs w:val="22"/>
          <w:lang w:val="ro-MD"/>
        </w:rPr>
      </w:pPr>
      <w:r>
        <w:rPr>
          <w:bCs/>
          <w:sz w:val="22"/>
          <w:szCs w:val="22"/>
          <w:lang w:val="ro-MD"/>
        </w:rPr>
      </w:r>
    </w:p>
    <w:p>
      <w:pPr>
        <w:pStyle w:val="Normal"/>
        <w:widowControl/>
        <w:numPr>
          <w:ilvl w:val="0"/>
          <w:numId w:val="21"/>
        </w:numPr>
        <w:tabs>
          <w:tab w:val="left" w:pos="180" w:leader="none"/>
        </w:tabs>
        <w:bidi w:val="0"/>
        <w:ind w:left="180" w:right="0" w:hanging="0"/>
        <w:jc w:val="left"/>
        <w:textAlignment w:val="auto"/>
        <w:rPr>
          <w:lang w:val="ro-MD"/>
        </w:rPr>
      </w:pPr>
      <w:r>
        <w:rPr>
          <w:sz w:val="22"/>
          <w:szCs w:val="22"/>
          <w:lang w:val="ro-MD"/>
        </w:rPr>
        <w:t xml:space="preserve">Sumarul </w:t>
      </w:r>
      <w:r>
        <w:rPr>
          <w:rFonts w:cs="Times New Roman CE" w:ascii="Times New Roman CE" w:hAnsi="Times New Roman CE"/>
          <w:sz w:val="22"/>
          <w:szCs w:val="22"/>
          <w:lang w:val="ro-RO"/>
        </w:rPr>
        <w:t>activităţilor proiectului realizate în perioada evaluată</w:t>
      </w:r>
    </w:p>
    <w:tbl>
      <w:tblPr>
        <w:tblW w:w="9639" w:type="dxa"/>
        <w:jc w:val="left"/>
        <w:tblInd w:w="425"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06"/>
        <w:gridCol w:w="4116"/>
        <w:gridCol w:w="4617"/>
      </w:tblGrid>
      <w:tr>
        <w:trPr/>
        <w:tc>
          <w:tcPr>
            <w:tcW w:w="906"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rFonts w:ascii="Times New Roman" w:hAnsi="Times New Roman"/>
                <w:bCs/>
                <w:color w:val="000000"/>
                <w:sz w:val="22"/>
                <w:szCs w:val="22"/>
                <w:lang w:val="ro-MD"/>
              </w:rPr>
            </w:pPr>
            <w:r>
              <w:rPr>
                <w:bCs/>
                <w:color w:val="000000"/>
                <w:sz w:val="22"/>
                <w:szCs w:val="22"/>
                <w:lang w:val="ro-MD"/>
              </w:rPr>
            </w:r>
          </w:p>
        </w:tc>
        <w:tc>
          <w:tcPr>
            <w:tcW w:w="4116"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bCs/>
                <w:i/>
                <w:color w:val="000000"/>
                <w:sz w:val="22"/>
                <w:szCs w:val="22"/>
                <w:lang w:val="ro-MD"/>
              </w:rPr>
              <w:t>Activităţi planificate</w:t>
            </w:r>
          </w:p>
        </w:tc>
        <w:tc>
          <w:tcPr>
            <w:tcW w:w="4617"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bCs/>
                <w:i/>
                <w:color w:val="000000"/>
                <w:sz w:val="22"/>
                <w:szCs w:val="22"/>
                <w:lang w:val="ro-MD"/>
              </w:rPr>
              <w:t xml:space="preserve">Activităţi realizate şi rezultate noi obţinute în cadrul proiectului </w:t>
            </w:r>
          </w:p>
          <w:p>
            <w:pPr>
              <w:pStyle w:val="Normal"/>
              <w:widowControl/>
              <w:bidi w:val="0"/>
              <w:ind w:left="0" w:right="0" w:hanging="0"/>
              <w:jc w:val="left"/>
              <w:textAlignment w:val="auto"/>
              <w:rPr>
                <w:rFonts w:ascii="Times New Roman" w:hAnsi="Times New Roman"/>
                <w:bCs/>
                <w:i/>
                <w:i/>
                <w:color w:val="000000"/>
                <w:sz w:val="22"/>
                <w:szCs w:val="22"/>
                <w:lang w:val="ro-MD"/>
              </w:rPr>
            </w:pPr>
            <w:r>
              <w:rPr>
                <w:bCs/>
                <w:i/>
                <w:color w:val="000000"/>
                <w:sz w:val="22"/>
                <w:szCs w:val="22"/>
                <w:lang w:val="ro-MD"/>
              </w:rPr>
            </w:r>
          </w:p>
        </w:tc>
      </w:tr>
      <w:tr>
        <w:trPr/>
        <w:tc>
          <w:tcPr>
            <w:tcW w:w="906"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MD"/>
              </w:rPr>
            </w:pPr>
            <w:r>
              <w:rPr>
                <w:i/>
                <w:color w:val="000000"/>
                <w:sz w:val="22"/>
                <w:szCs w:val="22"/>
                <w:lang w:val="ro-MD"/>
              </w:rPr>
              <w:t>1.</w:t>
            </w:r>
          </w:p>
        </w:tc>
        <w:tc>
          <w:tcPr>
            <w:tcW w:w="4116"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both"/>
              <w:textAlignment w:val="auto"/>
              <w:rPr>
                <w:lang w:val="ro-MD"/>
              </w:rPr>
            </w:pPr>
            <w:r>
              <w:rPr>
                <w:i/>
                <w:sz w:val="22"/>
                <w:szCs w:val="22"/>
                <w:lang w:val="ro-MD" w:eastAsia="ro-RO"/>
              </w:rPr>
              <w:t xml:space="preserve">Clasificarea </w:t>
            </w:r>
            <w:r>
              <w:rPr>
                <w:rFonts w:cs="Times New Roman CE" w:ascii="Times New Roman CE" w:hAnsi="Times New Roman CE"/>
                <w:i/>
                <w:sz w:val="22"/>
                <w:szCs w:val="22"/>
                <w:lang w:val="ro-MD" w:eastAsia="ro-RO"/>
              </w:rPr>
              <w:t>şi</w:t>
            </w:r>
            <w:r>
              <w:rPr>
                <w:i/>
                <w:sz w:val="22"/>
                <w:szCs w:val="22"/>
                <w:lang w:val="ro-MD" w:eastAsia="ro-RO"/>
              </w:rPr>
              <w:t xml:space="preserve"> studiul calitativ al </w:t>
            </w:r>
            <w:r>
              <w:rPr>
                <w:rFonts w:cs="Times New Roman CE" w:ascii="Times New Roman CE" w:hAnsi="Times New Roman CE"/>
                <w:i/>
                <w:sz w:val="22"/>
                <w:szCs w:val="22"/>
                <w:lang w:val="ro-MD"/>
              </w:rPr>
              <w:t>câmpurilor</w:t>
            </w:r>
            <w:r>
              <w:rPr>
                <w:i/>
                <w:sz w:val="22"/>
                <w:szCs w:val="22"/>
                <w:lang w:val="ro-MD"/>
              </w:rPr>
              <w:t xml:space="preserve"> vectoriale polinomiale cu s</w:t>
            </w:r>
            <w:r>
              <w:rPr>
                <w:rFonts w:cs="Times New Roman CE" w:ascii="Times New Roman CE" w:hAnsi="Times New Roman CE"/>
                <w:i/>
                <w:sz w:val="22"/>
                <w:szCs w:val="22"/>
                <w:lang w:val="ro-MD"/>
              </w:rPr>
              <w:t>ingularităţi</w:t>
            </w:r>
            <w:r>
              <w:rPr>
                <w:i/>
                <w:sz w:val="22"/>
                <w:szCs w:val="22"/>
                <w:lang w:val="ro-MD"/>
              </w:rPr>
              <w:t xml:space="preserve"> </w:t>
            </w:r>
            <w:r>
              <w:rPr>
                <w:rFonts w:cs="Times New Roman CE" w:ascii="Times New Roman CE" w:hAnsi="Times New Roman CE"/>
                <w:i/>
                <w:sz w:val="22"/>
                <w:szCs w:val="22"/>
                <w:lang w:val="ro-MD"/>
              </w:rPr>
              <w:t>şi care posedă</w:t>
            </w:r>
            <w:r>
              <w:rPr>
                <w:i/>
                <w:sz w:val="22"/>
                <w:szCs w:val="22"/>
                <w:lang w:val="ro-MD"/>
              </w:rPr>
              <w:t xml:space="preserve"> curbe algebrice invariante. Investigarea problemei centrului pentru sistemele </w:t>
            </w:r>
            <w:r>
              <w:rPr>
                <w:rFonts w:cs="Times New Roman CE" w:ascii="Times New Roman CE" w:hAnsi="Times New Roman CE"/>
                <w:i/>
                <w:sz w:val="22"/>
                <w:szCs w:val="22"/>
                <w:lang w:val="ro-MD"/>
              </w:rPr>
              <w:t>diferenţiale ale oscilaţiilor</w:t>
            </w:r>
            <w:r>
              <w:rPr>
                <w:i/>
                <w:sz w:val="22"/>
                <w:szCs w:val="22"/>
                <w:lang w:val="ro-MD"/>
              </w:rPr>
              <w:t xml:space="preserve"> neliniare.</w:t>
            </w:r>
          </w:p>
          <w:p>
            <w:pPr>
              <w:pStyle w:val="Normal"/>
              <w:widowControl/>
              <w:bidi w:val="0"/>
              <w:ind w:left="0" w:right="0" w:hanging="0"/>
              <w:jc w:val="both"/>
              <w:textAlignment w:val="auto"/>
              <w:rPr>
                <w:lang w:val="ro-MD"/>
              </w:rPr>
            </w:pPr>
            <w:r>
              <w:rPr>
                <w:i/>
                <w:sz w:val="22"/>
                <w:szCs w:val="22"/>
                <w:lang w:val="ro-MD"/>
              </w:rPr>
              <w:t>.</w:t>
            </w:r>
          </w:p>
          <w:p>
            <w:pPr>
              <w:pStyle w:val="Normal"/>
              <w:widowControl/>
              <w:bidi w:val="0"/>
              <w:ind w:left="0" w:right="0" w:hanging="0"/>
              <w:jc w:val="left"/>
              <w:textAlignment w:val="auto"/>
              <w:rPr>
                <w:rFonts w:ascii="Times New Roman" w:hAnsi="Times New Roman"/>
                <w:b/>
                <w:b/>
                <w:i/>
                <w:i/>
                <w:sz w:val="22"/>
                <w:szCs w:val="22"/>
                <w:lang w:val="ro-MD" w:eastAsia="ro-RO"/>
              </w:rPr>
            </w:pPr>
            <w:r>
              <w:rPr>
                <w:b/>
                <w:i/>
                <w:sz w:val="22"/>
                <w:szCs w:val="22"/>
                <w:lang w:val="ro-MD" w:eastAsia="ro-RO"/>
              </w:rPr>
            </w:r>
          </w:p>
          <w:p>
            <w:pPr>
              <w:pStyle w:val="Normal"/>
              <w:widowControl/>
              <w:bidi w:val="0"/>
              <w:ind w:left="0" w:right="0" w:hanging="0"/>
              <w:jc w:val="left"/>
              <w:textAlignment w:val="auto"/>
              <w:rPr>
                <w:rFonts w:ascii="Times New Roman" w:hAnsi="Times New Roman"/>
                <w:i/>
                <w:i/>
                <w:color w:val="000000"/>
                <w:sz w:val="22"/>
                <w:szCs w:val="22"/>
                <w:lang w:val="ro-MD"/>
              </w:rPr>
            </w:pPr>
            <w:r>
              <w:rPr>
                <w:i/>
                <w:color w:val="000000"/>
                <w:sz w:val="22"/>
                <w:szCs w:val="22"/>
                <w:lang w:val="ro-MD"/>
              </w:rPr>
            </w:r>
          </w:p>
        </w:tc>
        <w:tc>
          <w:tcPr>
            <w:tcW w:w="4617"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both"/>
              <w:textAlignment w:val="auto"/>
              <w:rPr>
                <w:lang w:val="fr-FR"/>
              </w:rPr>
            </w:pPr>
            <w:r>
              <w:rPr>
                <w:rFonts w:cs="Times New Roman CE" w:ascii="Times New Roman CE" w:hAnsi="Times New Roman CE"/>
                <w:i/>
                <w:sz w:val="22"/>
                <w:szCs w:val="22"/>
                <w:lang w:val="fr-FR" w:eastAsia="en-US"/>
              </w:rPr>
              <w:t>Pentru sistemele diferenţiale cubice au fost construite toate confoguraţiile pos</w:t>
            </w:r>
            <w:r>
              <w:rPr>
                <w:i/>
                <w:sz w:val="22"/>
                <w:szCs w:val="22"/>
                <w:lang w:val="fr-FR" w:eastAsia="en-US"/>
              </w:rPr>
              <w:t>ibile de drepte invariant</w:t>
            </w:r>
            <w:r>
              <w:rPr>
                <w:rFonts w:cs="Times New Roman CE" w:ascii="Times New Roman CE" w:hAnsi="Times New Roman CE"/>
                <w:i/>
                <w:sz w:val="22"/>
                <w:szCs w:val="22"/>
                <w:lang w:val="fr-FR" w:eastAsia="en-US"/>
              </w:rPr>
              <w:t>e de multiplicitate totală opt (incluzându-se şi</w:t>
            </w:r>
            <w:r>
              <w:rPr>
                <w:i/>
                <w:sz w:val="22"/>
                <w:szCs w:val="22"/>
                <w:lang w:val="fr-FR" w:eastAsia="en-US"/>
              </w:rPr>
              <w:t xml:space="preserve"> </w:t>
            </w:r>
            <w:r>
              <w:rPr>
                <w:rFonts w:cs="Times New Roman CE" w:ascii="Times New Roman CE" w:hAnsi="Times New Roman CE"/>
                <w:i/>
                <w:sz w:val="22"/>
                <w:szCs w:val="22"/>
                <w:lang w:val="fr-FR" w:eastAsia="en-US"/>
              </w:rPr>
              <w:t>dreapta de la infinit). Adiţional, au fost obţinute condiţiile invariante de realizare a fiecărei din cele 51 de configuraţii detectate (C.Bujac, N.Vulpe)</w:t>
            </w:r>
            <w:r>
              <w:rPr>
                <w:i/>
                <w:sz w:val="22"/>
                <w:szCs w:val="22"/>
                <w:lang w:val="fr-FR" w:eastAsia="en-US"/>
              </w:rPr>
              <w:t>.</w:t>
            </w:r>
          </w:p>
          <w:p>
            <w:pPr>
              <w:pStyle w:val="Normal"/>
              <w:widowControl/>
              <w:bidi w:val="0"/>
              <w:ind w:left="0" w:right="0" w:hanging="0"/>
              <w:jc w:val="both"/>
              <w:textAlignment w:val="auto"/>
              <w:rPr>
                <w:lang w:val="fr-FR"/>
              </w:rPr>
            </w:pPr>
            <w:r>
              <w:rPr>
                <w:rFonts w:cs="Times New Roman CE" w:ascii="Times New Roman CE" w:hAnsi="Times New Roman CE"/>
                <w:i/>
                <w:sz w:val="22"/>
                <w:szCs w:val="22"/>
                <w:lang w:val="fr-FR" w:eastAsia="en-US"/>
              </w:rPr>
              <w:t xml:space="preserve">Au fost clasificate sistemele cubice de ecuaţii diferenţiale ce posedă trei drepte invariante (enumerând şi dreapta de la infinit) de multiplicitate geometrică (algebrică, integrabilă, </w:t>
            </w:r>
            <w:r>
              <w:rPr>
                <w:i/>
                <w:sz w:val="22"/>
                <w:szCs w:val="22"/>
                <w:lang w:val="fr-FR" w:eastAsia="en-US"/>
              </w:rPr>
              <w:t>infinit estimat</w:t>
            </w:r>
            <w:r>
              <w:rPr>
                <w:rFonts w:cs="Times New Roman CE" w:ascii="Times New Roman CE" w:hAnsi="Times New Roman CE"/>
                <w:i/>
                <w:sz w:val="22"/>
                <w:szCs w:val="22"/>
                <w:lang w:val="fr-FR" w:eastAsia="en-US"/>
              </w:rPr>
              <w:t>ă) maximală. Pentru fiecare clasă sunt construite formele canonice şi sunt aduse perturbările corespunzătoa</w:t>
            </w:r>
            <w:r>
              <w:rPr>
                <w:i/>
                <w:sz w:val="22"/>
                <w:szCs w:val="22"/>
                <w:lang w:val="fr-FR" w:eastAsia="en-US"/>
              </w:rPr>
              <w:t xml:space="preserve">re </w:t>
            </w:r>
            <w:r>
              <w:rPr>
                <w:rFonts w:cs="Times New Roman CE" w:ascii="Times New Roman CE" w:hAnsi="Times New Roman CE"/>
                <w:i/>
                <w:sz w:val="22"/>
                <w:szCs w:val="22"/>
                <w:lang w:val="ro-RO" w:eastAsia="ro-RO"/>
              </w:rPr>
              <w:t>(A. Şubă, O.Vacaraş).</w:t>
            </w:r>
          </w:p>
          <w:p>
            <w:pPr>
              <w:pStyle w:val="Normal"/>
              <w:widowControl/>
              <w:bidi w:val="0"/>
              <w:ind w:left="0" w:right="0" w:hanging="0"/>
              <w:jc w:val="both"/>
              <w:textAlignment w:val="auto"/>
              <w:rPr/>
            </w:pPr>
            <w:r>
              <w:rPr>
                <w:rFonts w:cs="Times New Roman CE" w:ascii="Times New Roman CE" w:hAnsi="Times New Roman CE"/>
                <w:i/>
                <w:sz w:val="22"/>
                <w:szCs w:val="22"/>
                <w:lang w:val="ro-RO" w:eastAsia="ro-RO"/>
              </w:rPr>
              <w:t>Au fost clasificate sistemele diferenţiale cubice reale cu singularităţi (</w:t>
            </w:r>
            <w:r>
              <w:fldChar w:fldCharType="begin"/>
            </w:r>
            <w:r>
              <w:instrText>QUOTE</w:instrText>
            </w:r>
            <w:r>
              <w:fldChar w:fldCharType="separate"/>
            </w:r>
            <w:bookmarkStart w:id="81" w:name="__Fieldmark__9089_991447895"/>
            <w:r>
              <w:rPr>
                <w:rFonts w:cs="Times New Roman CE" w:ascii="Times New Roman CE" w:hAnsi="Times New Roman CE"/>
                <w:i/>
                <w:sz w:val="22"/>
                <w:szCs w:val="22"/>
                <w:lang w:val="ro-RO" w:eastAsia="ro-RO"/>
              </w:rPr>
            </w:r>
            <w:r>
              <w:rPr>
                <w:rFonts w:cs="Times New Roman CE" w:ascii="Times New Roman CE" w:hAnsi="Times New Roman CE"/>
                <w:i/>
                <w:sz w:val="22"/>
                <w:szCs w:val="22"/>
                <w:lang w:val="ro-RO" w:eastAsia="ro-RO"/>
              </w:rPr>
            </w:r>
            <w:r>
              <w:fldChar w:fldCharType="end"/>
            </w:r>
            <w:bookmarkEnd w:id="81"/>
            <w:r>
              <w:rPr>
                <w:rFonts w:cs="Times New Roman CE" w:ascii="Times New Roman CE" w:hAnsi="Times New Roman CE"/>
                <w:i/>
                <w:sz w:val="22"/>
                <w:szCs w:val="22"/>
                <w:lang w:val="ro-RO" w:eastAsia="ro-RO"/>
              </w:rPr>
              <w:drawing>
                <wp:inline distT="0" distB="0" distL="0" distR="0">
                  <wp:extent cx="285750" cy="152400"/>
                  <wp:effectExtent l="0" t="0" r="0" b="0"/>
                  <wp:docPr id="5"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4" descr=""/>
                          <pic:cNvPicPr>
                            <a:picLocks noChangeAspect="1" noChangeArrowheads="1"/>
                          </pic:cNvPicPr>
                        </pic:nvPicPr>
                        <pic:blipFill>
                          <a:blip r:embed="rId34"/>
                          <a:stretch>
                            <a:fillRect/>
                          </a:stretch>
                        </pic:blipFill>
                        <pic:spPr bwMode="auto">
                          <a:xfrm>
                            <a:off x="0" y="0"/>
                            <a:ext cx="285750" cy="152400"/>
                          </a:xfrm>
                          <a:prstGeom prst="rect">
                            <a:avLst/>
                          </a:prstGeom>
                        </pic:spPr>
                      </pic:pic>
                    </a:graphicData>
                  </a:graphic>
                </wp:inline>
              </w:drawing>
            </w:r>
            <w:r>
              <w:rPr>
                <w:rFonts w:cs="Times New Roman CE" w:ascii="Times New Roman CE" w:hAnsi="Times New Roman CE"/>
                <w:i/>
                <w:sz w:val="22"/>
                <w:szCs w:val="22"/>
                <w:lang w:val="ro-RO" w:eastAsia="ro-RO"/>
              </w:rPr>
              <w:drawing>
                <wp:inline distT="0" distB="0" distL="0" distR="0">
                  <wp:extent cx="285750" cy="152400"/>
                  <wp:effectExtent l="0" t="0" r="0" b="0"/>
                  <wp:docPr id="6"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5" descr=""/>
                          <pic:cNvPicPr>
                            <a:picLocks noChangeAspect="1" noChangeArrowheads="1"/>
                          </pic:cNvPicPr>
                        </pic:nvPicPr>
                        <pic:blipFill>
                          <a:blip r:embed="rId35"/>
                          <a:stretch>
                            <a:fillRect/>
                          </a:stretch>
                        </pic:blipFill>
                        <pic:spPr bwMode="auto">
                          <a:xfrm>
                            <a:off x="0" y="0"/>
                            <a:ext cx="285750" cy="152400"/>
                          </a:xfrm>
                          <a:prstGeom prst="rect">
                            <a:avLst/>
                          </a:prstGeom>
                        </pic:spPr>
                      </pic:pic>
                    </a:graphicData>
                  </a:graphic>
                </wp:inline>
              </w:drawing>
            </w:r>
            <w:r>
              <w:rPr>
                <w:rFonts w:cs="Times New Roman CE" w:ascii="Times New Roman CE" w:hAnsi="Times New Roman CE"/>
                <w:i/>
                <w:sz w:val="22"/>
                <w:szCs w:val="22"/>
                <w:lang w:val="ro-RO" w:eastAsia="ro-RO"/>
              </w:rPr>
              <w:t>)-rezonante şi cu şase drepte invariante de două (trei) direcţii şi pentru fiecare clasă a fost rezolvată problema de integrabilitate (A.Şubă,S.</w:t>
            </w:r>
            <w:r>
              <w:rPr>
                <w:i/>
                <w:sz w:val="22"/>
                <w:szCs w:val="22"/>
                <w:lang w:val="ro-RO" w:eastAsia="ro-RO"/>
              </w:rPr>
              <w:t>Turuta).</w:t>
            </w:r>
          </w:p>
          <w:p>
            <w:pPr>
              <w:pStyle w:val="Normal"/>
              <w:widowControl/>
              <w:bidi w:val="0"/>
              <w:ind w:left="0" w:right="0" w:hanging="0"/>
              <w:jc w:val="both"/>
              <w:textAlignment w:val="auto"/>
              <w:rPr>
                <w:lang w:val="fr-FR"/>
              </w:rPr>
            </w:pPr>
            <w:r>
              <w:rPr>
                <w:rFonts w:cs="Times New Roman CE" w:ascii="Times New Roman CE" w:hAnsi="Times New Roman CE"/>
                <w:i/>
                <w:sz w:val="22"/>
                <w:szCs w:val="22"/>
                <w:lang w:val="fr-FR" w:eastAsia="en-US"/>
              </w:rPr>
              <w:t>Pentru sistemele diferenţiale ale oscilaţiilor neliniare au fost obţinute condiţiile necesare şi suficiente de existenţă</w:t>
            </w:r>
            <w:r>
              <w:rPr>
                <w:i/>
                <w:sz w:val="22"/>
                <w:szCs w:val="22"/>
                <w:lang w:val="fr-FR" w:eastAsia="en-US"/>
              </w:rPr>
              <w:t xml:space="preserve"> a punctului singular de tip centru. (A.Roudenok, A</w:t>
            </w:r>
            <w:r>
              <w:rPr>
                <w:rFonts w:cs="Times New Roman CE" w:ascii="Times New Roman CE" w:hAnsi="Times New Roman CE"/>
                <w:i/>
                <w:sz w:val="22"/>
                <w:szCs w:val="22"/>
                <w:lang w:val="fr-FR" w:eastAsia="en-US"/>
              </w:rPr>
              <w:t>. Şubă)</w:t>
            </w:r>
          </w:p>
        </w:tc>
      </w:tr>
    </w:tbl>
    <w:p>
      <w:pPr>
        <w:pStyle w:val="ListParagraph"/>
        <w:widowControl/>
        <w:numPr>
          <w:ilvl w:val="0"/>
          <w:numId w:val="21"/>
        </w:numPr>
        <w:tabs>
          <w:tab w:val="left" w:pos="180" w:leader="none"/>
        </w:tabs>
        <w:bidi w:val="0"/>
        <w:spacing w:before="0" w:after="0"/>
        <w:ind w:left="180" w:right="0" w:hanging="0"/>
        <w:contextualSpacing/>
        <w:jc w:val="left"/>
        <w:textAlignment w:val="auto"/>
        <w:rPr>
          <w:lang w:val="ro-MD"/>
        </w:rPr>
      </w:pPr>
      <w:r>
        <w:rPr>
          <w:rFonts w:cs="Times New Roman CE" w:ascii="Times New Roman CE" w:hAnsi="Times New Roman CE"/>
          <w:bCs/>
          <w:sz w:val="22"/>
          <w:szCs w:val="22"/>
          <w:lang w:val="ro-MD"/>
        </w:rPr>
        <w:t xml:space="preserve">Lista lucrărilor ştiinţifice (monografii, articole, obiecte de proprietate intelectuală) cu referinţă la proiectul dat  </w:t>
      </w:r>
      <w:r>
        <w:rPr>
          <w:bCs/>
          <w:sz w:val="22"/>
          <w:szCs w:val="22"/>
          <w:lang w:val="ro-MD"/>
        </w:rPr>
        <w:t>2016</w:t>
      </w:r>
    </w:p>
    <w:tbl>
      <w:tblPr>
        <w:tblW w:w="9639" w:type="dxa"/>
        <w:jc w:val="left"/>
        <w:tblInd w:w="425" w:type="dxa"/>
        <w:tblBorders>
          <w:top w:val="dotted" w:sz="4" w:space="0" w:color="000001"/>
          <w:left w:val="dotted" w:sz="4" w:space="0" w:color="000001"/>
          <w:bottom w:val="dotted" w:sz="4" w:space="0" w:color="000001"/>
          <w:right w:val="dotted" w:sz="4" w:space="0" w:color="000001"/>
          <w:insideH w:val="dotted" w:sz="4" w:space="0" w:color="000001"/>
          <w:insideV w:val="dotted" w:sz="4" w:space="0" w:color="000001"/>
        </w:tblBorders>
        <w:tblCellMar>
          <w:top w:w="0" w:type="dxa"/>
          <w:left w:w="103" w:type="dxa"/>
          <w:bottom w:w="0" w:type="dxa"/>
          <w:right w:w="108" w:type="dxa"/>
        </w:tblCellMar>
      </w:tblPr>
      <w:tblGrid>
        <w:gridCol w:w="9639"/>
      </w:tblGrid>
      <w:tr>
        <w:trPr/>
        <w:tc>
          <w:tcPr>
            <w:tcW w:w="9639" w:type="dxa"/>
            <w:tcBorders>
              <w:top w:val="dotted" w:sz="4" w:space="0" w:color="000001"/>
              <w:left w:val="dotted" w:sz="4" w:space="0" w:color="000001"/>
              <w:bottom w:val="dotted" w:sz="4" w:space="0" w:color="000001"/>
              <w:right w:val="dotted" w:sz="4" w:space="0" w:color="000001"/>
              <w:insideH w:val="dotted" w:sz="4" w:space="0" w:color="000001"/>
              <w:insideV w:val="dotted" w:sz="4" w:space="0" w:color="000001"/>
            </w:tcBorders>
            <w:shd w:fill="auto" w:val="clear"/>
            <w:tcMar>
              <w:left w:w="103" w:type="dxa"/>
            </w:tcMar>
          </w:tcPr>
          <w:p>
            <w:pPr>
              <w:pStyle w:val="Normal"/>
              <w:widowControl/>
              <w:bidi w:val="0"/>
              <w:spacing w:before="0" w:after="80"/>
              <w:ind w:left="0" w:right="0" w:hanging="0"/>
              <w:jc w:val="both"/>
              <w:textAlignment w:val="auto"/>
              <w:rPr>
                <w:lang w:val="ro-RO"/>
              </w:rPr>
            </w:pPr>
            <w:r>
              <w:rPr>
                <w:b/>
                <w:i/>
                <w:color w:val="000000"/>
                <w:sz w:val="22"/>
                <w:szCs w:val="22"/>
                <w:lang w:val="ro-RO"/>
              </w:rPr>
              <w:t>articole din reviste cu factor de impact    0,1-0,9</w:t>
            </w:r>
          </w:p>
          <w:p>
            <w:pPr>
              <w:pStyle w:val="Normal"/>
              <w:widowControl/>
              <w:numPr>
                <w:ilvl w:val="0"/>
                <w:numId w:val="33"/>
              </w:numPr>
              <w:tabs>
                <w:tab w:val="left" w:pos="720" w:leader="none"/>
              </w:tabs>
              <w:bidi w:val="0"/>
              <w:ind w:left="720" w:right="0" w:hanging="360"/>
              <w:jc w:val="both"/>
              <w:textAlignment w:val="auto"/>
              <w:rPr>
                <w:lang w:val="en-CA"/>
              </w:rPr>
            </w:pPr>
            <w:r>
              <w:rPr>
                <w:sz w:val="22"/>
                <w:szCs w:val="22"/>
                <w:lang w:val="en-CA"/>
              </w:rPr>
              <w:t xml:space="preserve">OLIVEIRA, R. D. S., REZENDE, A. C.; VULPE, N. Family of quadratic differential </w:t>
            </w:r>
          </w:p>
          <w:p>
            <w:pPr>
              <w:pStyle w:val="Normal"/>
              <w:widowControl/>
              <w:bidi w:val="0"/>
              <w:ind w:left="720" w:right="0" w:hanging="0"/>
              <w:jc w:val="both"/>
              <w:textAlignment w:val="auto"/>
              <w:rPr/>
            </w:pPr>
            <w:r>
              <w:rPr>
                <w:sz w:val="22"/>
                <w:szCs w:val="22"/>
                <w:lang w:val="en-CA"/>
              </w:rPr>
              <w:t xml:space="preserve">systems with   invariant hyperbolas: a complete classification in the space </w:t>
            </w:r>
            <w:r>
              <w:fldChar w:fldCharType="begin"/>
            </w:r>
            <w:r>
              <w:instrText>QUOTE</w:instrText>
            </w:r>
            <w:r>
              <w:fldChar w:fldCharType="separate"/>
            </w:r>
            <w:bookmarkStart w:id="82" w:name="__Fieldmark__9142_991447895"/>
            <w:r>
              <w:rPr>
                <w:sz w:val="22"/>
                <w:szCs w:val="22"/>
                <w:lang w:val="en-CA"/>
              </w:rPr>
            </w:r>
            <w:r>
              <w:rPr>
                <w:sz w:val="22"/>
                <w:szCs w:val="22"/>
                <w:lang w:val="en-CA"/>
              </w:rPr>
            </w:r>
            <w:r>
              <w:fldChar w:fldCharType="end"/>
            </w:r>
            <w:bookmarkEnd w:id="82"/>
            <w:r>
              <w:rPr>
                <w:sz w:val="22"/>
                <w:szCs w:val="22"/>
                <w:lang w:val="en-CA"/>
              </w:rPr>
              <w:drawing>
                <wp:inline distT="0" distB="0" distL="0" distR="0">
                  <wp:extent cx="228600" cy="180975"/>
                  <wp:effectExtent l="0" t="0" r="0" b="0"/>
                  <wp:docPr id="7"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6" descr=""/>
                          <pic:cNvPicPr>
                            <a:picLocks noChangeAspect="1" noChangeArrowheads="1"/>
                          </pic:cNvPicPr>
                        </pic:nvPicPr>
                        <pic:blipFill>
                          <a:blip r:embed="rId36"/>
                          <a:stretch>
                            <a:fillRect/>
                          </a:stretch>
                        </pic:blipFill>
                        <pic:spPr bwMode="auto">
                          <a:xfrm>
                            <a:off x="0" y="0"/>
                            <a:ext cx="228600" cy="180975"/>
                          </a:xfrm>
                          <a:prstGeom prst="rect">
                            <a:avLst/>
                          </a:prstGeom>
                        </pic:spPr>
                      </pic:pic>
                    </a:graphicData>
                  </a:graphic>
                </wp:inline>
              </w:drawing>
            </w:r>
            <w:r>
              <w:rPr>
                <w:sz w:val="22"/>
                <w:szCs w:val="22"/>
                <w:lang w:val="en-CA"/>
              </w:rPr>
              <w:drawing>
                <wp:inline distT="0" distB="0" distL="0" distR="0">
                  <wp:extent cx="228600" cy="180975"/>
                  <wp:effectExtent l="0" t="0" r="0" b="0"/>
                  <wp:docPr id="8"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7" descr=""/>
                          <pic:cNvPicPr>
                            <a:picLocks noChangeAspect="1" noChangeArrowheads="1"/>
                          </pic:cNvPicPr>
                        </pic:nvPicPr>
                        <pic:blipFill>
                          <a:blip r:embed="rId37"/>
                          <a:stretch>
                            <a:fillRect/>
                          </a:stretch>
                        </pic:blipFill>
                        <pic:spPr bwMode="auto">
                          <a:xfrm>
                            <a:off x="0" y="0"/>
                            <a:ext cx="228600" cy="180975"/>
                          </a:xfrm>
                          <a:prstGeom prst="rect">
                            <a:avLst/>
                          </a:prstGeom>
                        </pic:spPr>
                      </pic:pic>
                    </a:graphicData>
                  </a:graphic>
                </wp:inline>
              </w:drawing>
            </w:r>
            <w:r>
              <w:rPr>
                <w:sz w:val="22"/>
                <w:szCs w:val="22"/>
                <w:lang w:val="en-CA"/>
              </w:rPr>
              <w:t xml:space="preserve">, </w:t>
            </w:r>
          </w:p>
          <w:p>
            <w:pPr>
              <w:pStyle w:val="Normal"/>
              <w:widowControl/>
              <w:bidi w:val="0"/>
              <w:ind w:left="720" w:right="0" w:hanging="0"/>
              <w:jc w:val="both"/>
              <w:textAlignment w:val="auto"/>
              <w:rPr>
                <w:lang w:val="en-US"/>
              </w:rPr>
            </w:pPr>
            <w:r>
              <w:rPr>
                <w:i/>
                <w:sz w:val="22"/>
                <w:szCs w:val="22"/>
                <w:lang w:val="en-US" w:eastAsia="en-US"/>
              </w:rPr>
              <w:t xml:space="preserve">Electron. J. Differential Equations, </w:t>
            </w:r>
            <w:r>
              <w:rPr>
                <w:sz w:val="22"/>
                <w:szCs w:val="22"/>
                <w:lang w:val="en-US" w:eastAsia="en-US"/>
              </w:rPr>
              <w:t xml:space="preserve">Vol. 2016 (2016), No.162, 1-50. </w:t>
            </w:r>
            <w:r>
              <w:rPr>
                <w:b/>
                <w:i/>
                <w:sz w:val="22"/>
                <w:szCs w:val="22"/>
                <w:lang w:val="en-US" w:eastAsia="en-US"/>
              </w:rPr>
              <w:t xml:space="preserve">(IF </w:t>
            </w:r>
            <w:r>
              <w:rPr>
                <w:b/>
                <w:i/>
                <w:color w:val="333333"/>
                <w:sz w:val="22"/>
                <w:szCs w:val="22"/>
                <w:lang w:val="en-US"/>
              </w:rPr>
              <w:t>0,64</w:t>
            </w:r>
            <w:r>
              <w:rPr>
                <w:b/>
                <w:i/>
                <w:sz w:val="22"/>
                <w:szCs w:val="22"/>
                <w:lang w:val="en-US" w:eastAsia="en-US"/>
              </w:rPr>
              <w:t>)</w:t>
            </w:r>
          </w:p>
          <w:p>
            <w:pPr>
              <w:pStyle w:val="Normal"/>
              <w:widowControl/>
              <w:bidi w:val="0"/>
              <w:ind w:left="0" w:right="0" w:hanging="0"/>
              <w:jc w:val="both"/>
              <w:textAlignment w:val="auto"/>
              <w:rPr>
                <w:lang w:val="ro-RO"/>
              </w:rPr>
            </w:pPr>
            <w:r>
              <w:rPr>
                <w:rFonts w:cs="Times New Roman CE" w:ascii="Times New Roman CE" w:hAnsi="Times New Roman CE"/>
                <w:b/>
                <w:i/>
                <w:color w:val="000000"/>
                <w:sz w:val="22"/>
                <w:szCs w:val="22"/>
                <w:lang w:val="ro-RO"/>
              </w:rPr>
              <w:t>articole din reviste internaţionale</w:t>
            </w:r>
          </w:p>
          <w:p>
            <w:pPr>
              <w:pStyle w:val="Normal"/>
              <w:widowControl/>
              <w:numPr>
                <w:ilvl w:val="0"/>
                <w:numId w:val="66"/>
              </w:numPr>
              <w:tabs>
                <w:tab w:val="left" w:pos="720" w:leader="none"/>
              </w:tabs>
              <w:bidi w:val="0"/>
              <w:ind w:left="720" w:right="0" w:hanging="360"/>
              <w:jc w:val="both"/>
              <w:textAlignment w:val="auto"/>
              <w:rPr>
                <w:lang w:val="en-US"/>
              </w:rPr>
            </w:pPr>
            <w:r>
              <w:rPr>
                <w:color w:val="222222"/>
                <w:sz w:val="22"/>
                <w:szCs w:val="22"/>
                <w:shd w:fill="FFFFFF" w:val="clear"/>
                <w:lang w:val="en-US"/>
              </w:rPr>
              <w:t xml:space="preserve">OLIVERA R.D.S., REZENDE A.C., SCHLOMIUK and VULPE N. Classification of </w:t>
            </w:r>
          </w:p>
          <w:p>
            <w:pPr>
              <w:pStyle w:val="Normal"/>
              <w:widowControl/>
              <w:bidi w:val="0"/>
              <w:ind w:left="720" w:right="0" w:hanging="0"/>
              <w:jc w:val="both"/>
              <w:textAlignment w:val="auto"/>
              <w:rPr>
                <w:lang w:val="en-US"/>
              </w:rPr>
            </w:pPr>
            <w:r>
              <w:rPr>
                <w:color w:val="222222"/>
                <w:sz w:val="22"/>
                <w:szCs w:val="22"/>
                <w:shd w:fill="FFFFFF" w:val="clear"/>
                <w:lang w:val="en-US"/>
              </w:rPr>
              <w:t>quadratic differential systems with invariant hyperbolas according to their configurations</w:t>
            </w:r>
          </w:p>
          <w:p>
            <w:pPr>
              <w:pStyle w:val="Normal"/>
              <w:widowControl/>
              <w:bidi w:val="0"/>
              <w:ind w:left="720" w:right="0" w:hanging="0"/>
              <w:jc w:val="both"/>
              <w:textAlignment w:val="auto"/>
              <w:rPr>
                <w:lang w:val="en-US"/>
              </w:rPr>
            </w:pPr>
            <w:r>
              <w:rPr>
                <w:color w:val="222222"/>
                <w:sz w:val="22"/>
                <w:szCs w:val="22"/>
                <w:shd w:fill="FFFFFF" w:val="clear"/>
                <w:lang w:val="en-US"/>
              </w:rPr>
              <w:t>of invariant hyperbolas and invarian</w:t>
            </w:r>
            <w:r>
              <w:rPr>
                <w:color w:val="000000"/>
                <w:sz w:val="22"/>
                <w:szCs w:val="22"/>
                <w:shd w:fill="FFFFFF" w:val="clear"/>
                <w:lang w:val="en-US"/>
              </w:rPr>
              <w:t xml:space="preserve">t lines (Part II).  </w:t>
            </w:r>
            <w:r>
              <w:rPr>
                <w:i/>
                <w:color w:val="000000"/>
                <w:sz w:val="22"/>
                <w:szCs w:val="22"/>
                <w:shd w:fill="FFFFFF" w:val="clear"/>
                <w:lang w:val="en-US"/>
              </w:rPr>
              <w:t>Notas do ICMC - SérieMatemática,</w:t>
            </w:r>
            <w:r>
              <w:rPr>
                <w:b/>
                <w:color w:val="000000"/>
                <w:sz w:val="22"/>
                <w:szCs w:val="22"/>
                <w:shd w:fill="FFFFFF" w:val="clear"/>
                <w:lang w:val="en-US"/>
              </w:rPr>
              <w:t>420</w:t>
            </w:r>
            <w:r>
              <w:rPr>
                <w:color w:val="000000"/>
                <w:sz w:val="22"/>
                <w:szCs w:val="22"/>
                <w:shd w:fill="FFFFFF" w:val="clear"/>
                <w:lang w:val="en-US"/>
              </w:rPr>
              <w:t>(2016), 1-98. Available at</w:t>
            </w:r>
          </w:p>
          <w:p>
            <w:pPr>
              <w:pStyle w:val="Normal"/>
              <w:widowControl/>
              <w:tabs>
                <w:tab w:val="left" w:pos="284" w:leader="none"/>
              </w:tabs>
              <w:bidi w:val="0"/>
              <w:ind w:left="720" w:right="0" w:hanging="0"/>
              <w:jc w:val="both"/>
              <w:textAlignment w:val="auto"/>
              <w:rPr/>
            </w:pPr>
            <w:r>
              <w:rPr>
                <w:color w:val="000000"/>
                <w:sz w:val="22"/>
                <w:szCs w:val="22"/>
                <w:shd w:fill="FFFFFF" w:val="clear"/>
                <w:lang w:val="fr-FR"/>
              </w:rPr>
              <w:t>\url{</w:t>
            </w:r>
            <w:hyperlink r:id="rId38">
              <w:r>
                <w:rPr>
                  <w:webHidden/>
                  <w:rStyle w:val="Style5"/>
                  <w:color w:val="0000FF"/>
                  <w:sz w:val="22"/>
                  <w:szCs w:val="22"/>
                  <w:highlight w:val="white"/>
                  <w:u w:val="single"/>
                  <w:lang w:val="fr-FR"/>
                </w:rPr>
                <w:t>http://www.icmc.usp.br/CMS/Arquivos/arquivos_enviados /BIBLIOTECA_158_Nota%20Serie%20Mat%20420.pdf</w:t>
              </w:r>
            </w:hyperlink>
            <w:r>
              <w:rPr>
                <w:color w:val="000000"/>
                <w:sz w:val="22"/>
                <w:szCs w:val="22"/>
                <w:shd w:fill="FFFFFF" w:val="clear"/>
                <w:lang w:val="fr-FR"/>
              </w:rPr>
              <w:t>}</w:t>
            </w:r>
          </w:p>
          <w:p>
            <w:pPr>
              <w:pStyle w:val="ListParagraph"/>
              <w:widowControl/>
              <w:bidi w:val="0"/>
              <w:spacing w:before="0" w:after="0"/>
              <w:ind w:left="0" w:right="0" w:hanging="0"/>
              <w:contextualSpacing/>
              <w:jc w:val="both"/>
              <w:textAlignment w:val="auto"/>
              <w:rPr>
                <w:lang w:val="ro-RO"/>
              </w:rPr>
            </w:pPr>
            <w:r>
              <w:rPr>
                <w:b/>
                <w:i/>
                <w:color w:val="000000"/>
                <w:sz w:val="22"/>
                <w:szCs w:val="22"/>
                <w:lang w:val="ro-RO"/>
              </w:rPr>
              <w:t xml:space="preserve">articole din reviste </w:t>
            </w:r>
            <w:r>
              <w:rPr>
                <w:rFonts w:cs="Times New Roman CE" w:ascii="Times New Roman CE" w:hAnsi="Times New Roman CE"/>
                <w:b/>
                <w:i/>
                <w:color w:val="000000"/>
                <w:sz w:val="22"/>
                <w:szCs w:val="22"/>
                <w:lang w:val="ro-RO"/>
              </w:rPr>
              <w:t>naţional</w:t>
            </w:r>
            <w:r>
              <w:rPr>
                <w:b/>
                <w:i/>
                <w:color w:val="000000"/>
                <w:sz w:val="22"/>
                <w:szCs w:val="22"/>
                <w:lang w:val="ro-RO"/>
              </w:rPr>
              <w:t>e</w:t>
            </w:r>
          </w:p>
          <w:p>
            <w:pPr>
              <w:pStyle w:val="ListParagraph"/>
              <w:widowControl/>
              <w:bidi w:val="0"/>
              <w:spacing w:before="0" w:after="0"/>
              <w:ind w:left="0" w:right="0" w:hanging="0"/>
              <w:contextualSpacing/>
              <w:jc w:val="both"/>
              <w:textAlignment w:val="auto"/>
              <w:rPr>
                <w:lang w:val="ro-RO"/>
              </w:rPr>
            </w:pPr>
            <w:r>
              <w:rPr>
                <w:b/>
                <w:i/>
                <w:color w:val="000000"/>
                <w:sz w:val="22"/>
                <w:szCs w:val="22"/>
                <w:lang w:val="ro-RO"/>
              </w:rPr>
              <w:t>categoria A</w:t>
            </w:r>
          </w:p>
          <w:p>
            <w:pPr>
              <w:pStyle w:val="Normal"/>
              <w:widowControl/>
              <w:numPr>
                <w:ilvl w:val="0"/>
                <w:numId w:val="65"/>
              </w:numPr>
              <w:tabs>
                <w:tab w:val="left" w:pos="720" w:leader="none"/>
              </w:tabs>
              <w:bidi w:val="0"/>
              <w:ind w:left="720" w:right="0" w:hanging="360"/>
              <w:jc w:val="both"/>
              <w:textAlignment w:val="auto"/>
              <w:rPr/>
            </w:pPr>
            <w:r>
              <w:rPr>
                <w:sz w:val="22"/>
                <w:szCs w:val="22"/>
                <w:lang w:val="en-CA"/>
              </w:rPr>
              <w:t>VACARA</w:t>
            </w:r>
            <w:r>
              <w:rPr>
                <w:rFonts w:cs="Cambria Math" w:ascii="Cambria Math" w:hAnsi="Cambria Math"/>
                <w:sz w:val="22"/>
                <w:szCs w:val="22"/>
                <w:lang w:val="en-CA"/>
              </w:rPr>
              <w:t>Ș,</w:t>
            </w:r>
            <w:r>
              <w:rPr>
                <w:sz w:val="22"/>
                <w:szCs w:val="22"/>
                <w:lang w:val="en-CA"/>
              </w:rPr>
              <w:t xml:space="preserve"> O. </w:t>
            </w:r>
            <w:hyperlink r:id="rId39">
              <w:r>
                <w:rPr>
                  <w:webHidden/>
                  <w:rStyle w:val="Style5"/>
                  <w:sz w:val="22"/>
                  <w:szCs w:val="22"/>
                  <w:lang w:val="en-CA"/>
                </w:rPr>
                <w:t>Cubic differential systems with two affine real non-parallel</w:t>
              </w:r>
            </w:hyperlink>
          </w:p>
          <w:p>
            <w:pPr>
              <w:pStyle w:val="Normal"/>
              <w:widowControl/>
              <w:bidi w:val="0"/>
              <w:ind w:left="720" w:right="0" w:hanging="0"/>
              <w:jc w:val="both"/>
              <w:textAlignment w:val="auto"/>
              <w:rPr>
                <w:lang w:val="en-CA"/>
              </w:rPr>
            </w:pPr>
            <w:hyperlink r:id="rId40">
              <w:r>
                <w:rPr>
                  <w:webHidden/>
                  <w:rStyle w:val="Style5"/>
                  <w:sz w:val="22"/>
                  <w:szCs w:val="22"/>
                  <w:lang w:val="en-CA"/>
                </w:rPr>
                <w:t>invariant straight lines of maximal multiplicity</w:t>
              </w:r>
            </w:hyperlink>
            <w:r>
              <w:rPr>
                <w:sz w:val="22"/>
                <w:szCs w:val="22"/>
                <w:lang w:val="en-CA"/>
              </w:rPr>
              <w:t xml:space="preserve">. </w:t>
            </w:r>
            <w:r>
              <w:rPr>
                <w:i/>
                <w:sz w:val="22"/>
                <w:szCs w:val="22"/>
                <w:lang w:val="en-CA"/>
              </w:rPr>
              <w:t>Buletinul Academiei de</w:t>
            </w:r>
            <w:r>
              <w:rPr>
                <w:rFonts w:cs="Times New Roman CE" w:ascii="Times New Roman CE" w:hAnsi="Times New Roman CE"/>
                <w:i/>
                <w:sz w:val="22"/>
                <w:szCs w:val="22"/>
                <w:lang w:val="en-CA"/>
              </w:rPr>
              <w:t xml:space="preserve"> Ştiin</w:t>
            </w:r>
            <w:r>
              <w:rPr>
                <w:rFonts w:cs="Cambria Math" w:ascii="Cambria Math" w:hAnsi="Cambria Math"/>
                <w:i/>
                <w:sz w:val="22"/>
                <w:szCs w:val="22"/>
                <w:lang w:val="en-CA"/>
              </w:rPr>
              <w:t>ț</w:t>
            </w:r>
            <w:r>
              <w:rPr>
                <w:i/>
                <w:sz w:val="22"/>
                <w:szCs w:val="22"/>
                <w:lang w:val="en-CA"/>
              </w:rPr>
              <w:t>e a Moldovei. Matematica,</w:t>
            </w:r>
            <w:r>
              <w:rPr>
                <w:sz w:val="22"/>
                <w:szCs w:val="22"/>
                <w:lang w:val="en-CA"/>
              </w:rPr>
              <w:t xml:space="preserve"> nr. 3(79), 2015, 79-101.</w:t>
            </w:r>
          </w:p>
          <w:p>
            <w:pPr>
              <w:pStyle w:val="ListParagraph"/>
              <w:widowControl/>
              <w:bidi w:val="0"/>
              <w:spacing w:before="0" w:after="0"/>
              <w:ind w:left="0" w:right="0" w:hanging="0"/>
              <w:contextualSpacing/>
              <w:jc w:val="both"/>
              <w:textAlignment w:val="auto"/>
              <w:rPr>
                <w:lang w:val="en-CA"/>
              </w:rPr>
            </w:pPr>
            <w:r>
              <w:rPr>
                <w:rFonts w:cs="Times New Roman CE" w:ascii="Times New Roman CE" w:hAnsi="Times New Roman CE"/>
                <w:b/>
                <w:i/>
                <w:sz w:val="22"/>
                <w:szCs w:val="22"/>
                <w:lang w:val="en-CA"/>
              </w:rPr>
              <w:t>rapoarte publicate / Teze ale comunicărilor la congrese, conferinţe, simpozioane, în culegeri (naţionale / internaţionale)</w:t>
            </w:r>
          </w:p>
          <w:p>
            <w:pPr>
              <w:pStyle w:val="Normal"/>
              <w:widowControl/>
              <w:numPr>
                <w:ilvl w:val="0"/>
                <w:numId w:val="67"/>
              </w:numPr>
              <w:tabs>
                <w:tab w:val="left" w:pos="720" w:leader="none"/>
              </w:tabs>
              <w:bidi w:val="0"/>
              <w:ind w:left="720" w:right="0" w:hanging="360"/>
              <w:jc w:val="both"/>
              <w:textAlignment w:val="auto"/>
              <w:rPr>
                <w:lang w:val="en-US"/>
              </w:rPr>
            </w:pPr>
            <w:r>
              <w:rPr>
                <w:sz w:val="22"/>
                <w:szCs w:val="22"/>
                <w:lang w:val="en-US" w:eastAsia="en-US"/>
              </w:rPr>
              <w:t>ROUDENOK, A.E.;</w:t>
            </w:r>
            <w:r>
              <w:rPr>
                <w:rFonts w:cs="Times New Roman CE" w:ascii="Times New Roman CE" w:hAnsi="Times New Roman CE"/>
                <w:sz w:val="22"/>
                <w:szCs w:val="22"/>
                <w:lang w:val="en-US" w:eastAsia="en-US"/>
              </w:rPr>
              <w:t xml:space="preserve"> ŞUBĂ A.S., Necessary and sufficient center conditions for </w:t>
            </w:r>
          </w:p>
          <w:p>
            <w:pPr>
              <w:pStyle w:val="Normal"/>
              <w:widowControl/>
              <w:bidi w:val="0"/>
              <w:ind w:left="720" w:right="0" w:hanging="0"/>
              <w:jc w:val="both"/>
              <w:textAlignment w:val="auto"/>
              <w:rPr>
                <w:lang w:val="en-US"/>
              </w:rPr>
            </w:pPr>
            <w:r>
              <w:rPr>
                <w:sz w:val="22"/>
                <w:szCs w:val="22"/>
                <w:lang w:val="en-US" w:eastAsia="en-US"/>
              </w:rPr>
              <w:t xml:space="preserve">differential systems of non-linear oscillations. </w:t>
            </w:r>
            <w:r>
              <w:rPr>
                <w:i/>
                <w:sz w:val="22"/>
                <w:szCs w:val="22"/>
                <w:lang w:val="en-US"/>
              </w:rPr>
              <w:t>XII </w:t>
            </w:r>
            <w:r>
              <w:rPr>
                <w:i/>
                <w:sz w:val="22"/>
                <w:szCs w:val="22"/>
              </w:rPr>
              <w:t>Белорусская</w:t>
            </w:r>
            <w:r>
              <w:rPr>
                <w:i/>
                <w:sz w:val="22"/>
                <w:szCs w:val="22"/>
                <w:lang w:val="en-US"/>
              </w:rPr>
              <w:t> </w:t>
            </w:r>
            <w:r>
              <w:rPr>
                <w:i/>
                <w:sz w:val="22"/>
                <w:szCs w:val="22"/>
              </w:rPr>
              <w:t>математическая</w:t>
            </w:r>
            <w:r>
              <w:rPr>
                <w:i/>
                <w:sz w:val="22"/>
                <w:szCs w:val="22"/>
                <w:lang w:val="en-US"/>
              </w:rPr>
              <w:t> </w:t>
            </w:r>
          </w:p>
          <w:p>
            <w:pPr>
              <w:pStyle w:val="Normal"/>
              <w:widowControl/>
              <w:bidi w:val="0"/>
              <w:ind w:left="0" w:right="0" w:hanging="0"/>
              <w:jc w:val="both"/>
              <w:textAlignment w:val="auto"/>
              <w:rPr/>
            </w:pPr>
            <w:r>
              <w:rPr>
                <w:i/>
                <w:sz w:val="22"/>
                <w:szCs w:val="22"/>
              </w:rPr>
              <w:t xml:space="preserve">           </w:t>
            </w:r>
            <w:r>
              <w:rPr>
                <w:i/>
                <w:sz w:val="22"/>
                <w:szCs w:val="22"/>
                <w:lang w:val="en-US"/>
              </w:rPr>
              <w:t> </w:t>
            </w:r>
            <w:r>
              <w:rPr>
                <w:i/>
                <w:sz w:val="22"/>
                <w:szCs w:val="22"/>
              </w:rPr>
              <w:t>конференция</w:t>
            </w:r>
            <w:r>
              <w:rPr>
                <w:i/>
                <w:sz w:val="22"/>
                <w:szCs w:val="22"/>
                <w:lang w:val="en-US"/>
              </w:rPr>
              <w:t> </w:t>
            </w:r>
            <w:r>
              <w:rPr>
                <w:i/>
                <w:sz w:val="22"/>
                <w:szCs w:val="22"/>
                <w:lang w:val="ro-RO"/>
              </w:rPr>
              <w:t>(</w:t>
            </w:r>
            <w:r>
              <w:rPr>
                <w:rStyle w:val="Nowrap"/>
                <w:sz w:val="22"/>
                <w:szCs w:val="22"/>
              </w:rPr>
              <w:t>БМК-2016</w:t>
            </w:r>
            <w:r>
              <w:rPr>
                <w:rStyle w:val="Nowrap"/>
                <w:sz w:val="22"/>
                <w:szCs w:val="22"/>
                <w:lang w:val="ro-RO"/>
              </w:rPr>
              <w:t xml:space="preserve">), </w:t>
            </w:r>
            <w:r>
              <w:rPr>
                <w:sz w:val="22"/>
                <w:szCs w:val="22"/>
              </w:rPr>
              <w:t>5–10</w:t>
            </w:r>
            <w:r>
              <w:rPr>
                <w:sz w:val="22"/>
                <w:szCs w:val="22"/>
                <w:lang w:val="en-US"/>
              </w:rPr>
              <w:t> </w:t>
            </w:r>
            <w:r>
              <w:rPr>
                <w:sz w:val="22"/>
                <w:szCs w:val="22"/>
              </w:rPr>
              <w:t>сентября 2016 года, Минск</w:t>
            </w:r>
            <w:r>
              <w:rPr>
                <w:sz w:val="22"/>
                <w:szCs w:val="22"/>
                <w:lang w:val="ro-RO"/>
              </w:rPr>
              <w:t>, 58.</w:t>
            </w:r>
          </w:p>
          <w:p>
            <w:pPr>
              <w:pStyle w:val="Normal"/>
              <w:widowControl/>
              <w:numPr>
                <w:ilvl w:val="0"/>
                <w:numId w:val="67"/>
              </w:numPr>
              <w:tabs>
                <w:tab w:val="left" w:pos="720" w:leader="none"/>
              </w:tabs>
              <w:bidi w:val="0"/>
              <w:ind w:left="720" w:right="0" w:hanging="360"/>
              <w:jc w:val="both"/>
              <w:textAlignment w:val="auto"/>
              <w:rPr>
                <w:lang w:val="en-US"/>
              </w:rPr>
            </w:pPr>
            <w:r>
              <w:rPr>
                <w:sz w:val="22"/>
                <w:szCs w:val="22"/>
                <w:lang w:val="en-US" w:eastAsia="en-US"/>
              </w:rPr>
              <w:t xml:space="preserve">TURUTA, S. </w:t>
            </w:r>
            <w:r>
              <w:rPr>
                <w:sz w:val="22"/>
                <w:szCs w:val="22"/>
                <w:lang w:val="en-US"/>
              </w:rPr>
              <w:t>Dabouxintegrability of Lotka-Volterra cubic di</w:t>
            </w:r>
            <w:r>
              <w:rPr>
                <w:rFonts w:cs="Cambria Math" w:ascii="Cambria Math" w:hAnsi="Cambria Math"/>
                <w:sz w:val="22"/>
                <w:szCs w:val="22"/>
              </w:rPr>
              <w:t>ﬀ</w:t>
            </w:r>
            <w:r>
              <w:rPr>
                <w:sz w:val="22"/>
                <w:szCs w:val="22"/>
                <w:lang w:val="en-US"/>
              </w:rPr>
              <w:t xml:space="preserve">erential systems </w:t>
            </w:r>
          </w:p>
          <w:p>
            <w:pPr>
              <w:pStyle w:val="Normal"/>
              <w:widowControl/>
              <w:bidi w:val="0"/>
              <w:ind w:left="720" w:right="0" w:hanging="0"/>
              <w:jc w:val="both"/>
              <w:textAlignment w:val="auto"/>
              <w:rPr>
                <w:lang w:val="en-US"/>
              </w:rPr>
            </w:pPr>
            <w:r>
              <w:rPr>
                <w:sz w:val="22"/>
                <w:szCs w:val="22"/>
                <w:lang w:val="en-US"/>
              </w:rPr>
              <w:t xml:space="preserve">with 1:-2 resonant singularity and six straight lines of three directions. </w:t>
            </w:r>
          </w:p>
          <w:p>
            <w:pPr>
              <w:pStyle w:val="Normal"/>
              <w:widowControl/>
              <w:bidi w:val="0"/>
              <w:ind w:left="720" w:right="0" w:hanging="0"/>
              <w:jc w:val="both"/>
              <w:textAlignment w:val="auto"/>
              <w:rPr>
                <w:lang w:val="en-US"/>
              </w:rPr>
            </w:pPr>
            <w:r>
              <w:rPr>
                <w:i/>
                <w:sz w:val="22"/>
                <w:szCs w:val="22"/>
                <w:lang w:val="en-US" w:eastAsia="en-US"/>
              </w:rPr>
              <w:t>The 24</w:t>
            </w:r>
            <w:r>
              <w:rPr>
                <w:i/>
                <w:sz w:val="22"/>
                <w:szCs w:val="22"/>
                <w:vertAlign w:val="superscript"/>
                <w:lang w:val="en-US" w:eastAsia="en-US"/>
              </w:rPr>
              <w:t>th</w:t>
            </w:r>
            <w:r>
              <w:rPr>
                <w:i/>
                <w:sz w:val="22"/>
                <w:szCs w:val="22"/>
                <w:lang w:val="en-US" w:eastAsia="en-US"/>
              </w:rPr>
              <w:t xml:space="preserve"> Conference on Applied and Industrial Mathematics (CAIM-2016)</w:t>
            </w:r>
            <w:r>
              <w:rPr>
                <w:sz w:val="22"/>
                <w:szCs w:val="22"/>
                <w:lang w:val="en-US" w:eastAsia="en-US"/>
              </w:rPr>
              <w:t xml:space="preserve">, </w:t>
            </w:r>
          </w:p>
          <w:p>
            <w:pPr>
              <w:pStyle w:val="Normal"/>
              <w:widowControl/>
              <w:bidi w:val="0"/>
              <w:ind w:left="720" w:right="0" w:hanging="0"/>
              <w:jc w:val="both"/>
              <w:textAlignment w:val="auto"/>
              <w:rPr>
                <w:lang w:val="en-US"/>
              </w:rPr>
            </w:pPr>
            <w:r>
              <w:rPr>
                <w:sz w:val="22"/>
                <w:szCs w:val="22"/>
                <w:lang w:val="en-US" w:eastAsia="en-US"/>
              </w:rPr>
              <w:t xml:space="preserve">September 15-18, 2016, Craiova, România, 43-44. </w:t>
            </w:r>
          </w:p>
          <w:p>
            <w:pPr>
              <w:pStyle w:val="Normal"/>
              <w:widowControl/>
              <w:numPr>
                <w:ilvl w:val="0"/>
                <w:numId w:val="67"/>
              </w:numPr>
              <w:tabs>
                <w:tab w:val="left" w:pos="720" w:leader="none"/>
              </w:tabs>
              <w:bidi w:val="0"/>
              <w:ind w:left="720" w:right="0" w:hanging="360"/>
              <w:jc w:val="both"/>
              <w:textAlignment w:val="auto"/>
              <w:rPr>
                <w:lang w:val="en-US"/>
              </w:rPr>
            </w:pPr>
            <w:r>
              <w:rPr>
                <w:sz w:val="22"/>
                <w:szCs w:val="22"/>
                <w:lang w:val="en-US" w:eastAsia="en-US"/>
              </w:rPr>
              <w:t xml:space="preserve"> </w:t>
            </w:r>
            <w:r>
              <w:rPr>
                <w:sz w:val="22"/>
                <w:szCs w:val="22"/>
                <w:lang w:val="en-US" w:eastAsia="en-US"/>
              </w:rPr>
              <w:t xml:space="preserve">TURUTA, S., </w:t>
            </w:r>
            <w:r>
              <w:rPr>
                <w:sz w:val="22"/>
                <w:szCs w:val="22"/>
                <w:lang w:val="en-US"/>
              </w:rPr>
              <w:t>Classi</w:t>
            </w:r>
            <w:r>
              <w:rPr>
                <w:sz w:val="22"/>
                <w:szCs w:val="22"/>
              </w:rPr>
              <w:t>ﬁ</w:t>
            </w:r>
            <w:r>
              <w:rPr>
                <w:sz w:val="22"/>
                <w:szCs w:val="22"/>
                <w:lang w:val="en-US"/>
              </w:rPr>
              <w:t xml:space="preserve">cation of Lotka-Volterra cubic systems with 1:-2 singularity </w:t>
            </w:r>
          </w:p>
          <w:p>
            <w:pPr>
              <w:pStyle w:val="Normal"/>
              <w:widowControl/>
              <w:bidi w:val="0"/>
              <w:ind w:left="720" w:right="0" w:hanging="0"/>
              <w:jc w:val="both"/>
              <w:textAlignment w:val="auto"/>
              <w:rPr>
                <w:lang w:val="en-US"/>
              </w:rPr>
            </w:pPr>
            <w:r>
              <w:rPr>
                <w:sz w:val="22"/>
                <w:szCs w:val="22"/>
                <w:lang w:val="en-US"/>
              </w:rPr>
              <w:t xml:space="preserve">and straight lines of three directions and total multiplicity six, </w:t>
            </w:r>
          </w:p>
          <w:p>
            <w:pPr>
              <w:pStyle w:val="Normal"/>
              <w:widowControl/>
              <w:bidi w:val="0"/>
              <w:ind w:left="720" w:right="0" w:hanging="0"/>
              <w:jc w:val="both"/>
              <w:textAlignment w:val="auto"/>
              <w:rPr>
                <w:lang w:val="en-US"/>
              </w:rPr>
            </w:pPr>
            <w:r>
              <w:rPr>
                <w:i/>
                <w:sz w:val="22"/>
                <w:szCs w:val="22"/>
                <w:lang w:val="en-US" w:eastAsia="en-US"/>
              </w:rPr>
              <w:t xml:space="preserve">The International Scientific Conference Differential-Functional Equations and their </w:t>
            </w:r>
          </w:p>
          <w:p>
            <w:pPr>
              <w:pStyle w:val="Normal"/>
              <w:widowControl/>
              <w:bidi w:val="0"/>
              <w:ind w:left="720" w:right="0" w:hanging="0"/>
              <w:jc w:val="both"/>
              <w:textAlignment w:val="auto"/>
              <w:rPr>
                <w:lang w:val="en-US"/>
              </w:rPr>
            </w:pPr>
            <w:r>
              <w:rPr>
                <w:i/>
                <w:sz w:val="22"/>
                <w:szCs w:val="22"/>
                <w:lang w:val="en-US" w:eastAsia="en-US"/>
              </w:rPr>
              <w:t>Application</w:t>
            </w:r>
            <w:r>
              <w:rPr>
                <w:sz w:val="22"/>
                <w:szCs w:val="22"/>
                <w:lang w:val="en-US" w:eastAsia="en-US"/>
              </w:rPr>
              <w:t>, September 28-30, 2016, Chernivtsi, Ukraine, 138.</w:t>
            </w:r>
          </w:p>
        </w:tc>
      </w:tr>
    </w:tbl>
    <w:p>
      <w:pPr>
        <w:pStyle w:val="Normal"/>
        <w:widowControl/>
        <w:numPr>
          <w:ilvl w:val="0"/>
          <w:numId w:val="21"/>
        </w:numPr>
        <w:tabs>
          <w:tab w:val="left" w:pos="180" w:leader="none"/>
        </w:tabs>
        <w:bidi w:val="0"/>
        <w:ind w:left="180" w:right="0" w:hanging="0"/>
        <w:jc w:val="left"/>
        <w:textAlignment w:val="auto"/>
        <w:rPr>
          <w:lang w:val="ro-MD"/>
        </w:rPr>
      </w:pPr>
      <w:r>
        <w:rPr>
          <w:rFonts w:cs="Times New Roman CE" w:ascii="Times New Roman CE" w:hAnsi="Times New Roman CE"/>
          <w:sz w:val="22"/>
          <w:szCs w:val="22"/>
          <w:lang w:val="ro-MD"/>
        </w:rPr>
        <w:t>Relevanţa rezultatelor ştiinţifice obţinute (până la 200 de cuvinte), 201</w:t>
      </w:r>
      <w:r>
        <w:rPr>
          <w:sz w:val="22"/>
          <w:szCs w:val="22"/>
          <w:lang w:val="ro-MD"/>
        </w:rPr>
        <w:t>5</w:t>
      </w:r>
    </w:p>
    <w:tbl>
      <w:tblPr>
        <w:tblW w:w="9639" w:type="dxa"/>
        <w:jc w:val="left"/>
        <w:tblInd w:w="425"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639"/>
      </w:tblGrid>
      <w:tr>
        <w:trPr/>
        <w:tc>
          <w:tcPr>
            <w:tcW w:w="9639"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both"/>
              <w:textAlignment w:val="auto"/>
              <w:rPr>
                <w:lang w:val="es-ES"/>
              </w:rPr>
            </w:pPr>
            <w:r>
              <w:rPr>
                <w:rFonts w:cs="Times New Roman CE" w:ascii="Times New Roman CE" w:hAnsi="Times New Roman CE"/>
                <w:sz w:val="22"/>
                <w:szCs w:val="22"/>
                <w:lang w:val="es-ES"/>
              </w:rPr>
              <w:t>Privitor la studiul global al singularităţilor</w:t>
            </w:r>
            <w:r>
              <w:rPr>
                <w:sz w:val="22"/>
                <w:szCs w:val="22"/>
                <w:lang w:val="es-ES"/>
              </w:rPr>
              <w:t xml:space="preserve"> </w:t>
            </w:r>
            <w:r>
              <w:rPr>
                <w:rFonts w:cs="Times New Roman CE" w:ascii="Times New Roman CE" w:hAnsi="Times New Roman CE"/>
                <w:sz w:val="22"/>
                <w:szCs w:val="22"/>
                <w:lang w:val="es-ES"/>
              </w:rPr>
              <w:t>şi</w:t>
            </w:r>
            <w:r>
              <w:rPr>
                <w:sz w:val="22"/>
                <w:szCs w:val="22"/>
                <w:lang w:val="es-ES"/>
              </w:rPr>
              <w:t xml:space="preserve"> clasificarea </w:t>
            </w:r>
            <w:r>
              <w:rPr>
                <w:rFonts w:cs="Times New Roman CE" w:ascii="Times New Roman CE" w:hAnsi="Times New Roman CE"/>
                <w:sz w:val="22"/>
                <w:szCs w:val="22"/>
                <w:lang w:val="es-ES"/>
              </w:rPr>
              <w:t>geometrică a lor este iniţiat un vast</w:t>
            </w:r>
            <w:r>
              <w:rPr>
                <w:sz w:val="22"/>
                <w:szCs w:val="22"/>
                <w:lang w:val="es-ES"/>
              </w:rPr>
              <w:t xml:space="preserve"> program de cercetare cu caracter global al sistemelor </w:t>
            </w:r>
            <w:r>
              <w:rPr>
                <w:rFonts w:cs="Times New Roman CE" w:ascii="Times New Roman CE" w:hAnsi="Times New Roman CE"/>
                <w:sz w:val="22"/>
                <w:szCs w:val="22"/>
                <w:lang w:val="es-ES"/>
              </w:rPr>
              <w:t>pătratice</w:t>
            </w:r>
            <w:r>
              <w:rPr>
                <w:sz w:val="22"/>
                <w:szCs w:val="22"/>
                <w:lang w:val="es-ES"/>
              </w:rPr>
              <w:t xml:space="preserve"> cu </w:t>
            </w:r>
            <w:r>
              <w:rPr>
                <w:rFonts w:cs="Times New Roman CE" w:ascii="Times New Roman CE" w:hAnsi="Times New Roman CE"/>
                <w:sz w:val="22"/>
                <w:szCs w:val="22"/>
                <w:lang w:val="es-ES"/>
              </w:rPr>
              <w:t>participanţi</w:t>
            </w:r>
            <w:r>
              <w:rPr>
                <w:sz w:val="22"/>
                <w:szCs w:val="22"/>
                <w:lang w:val="es-ES"/>
              </w:rPr>
              <w:t xml:space="preserve"> din Canada, Spania, Moldova.  Programul comp</w:t>
            </w:r>
            <w:r>
              <w:rPr>
                <w:rFonts w:cs="Times New Roman CE" w:ascii="Times New Roman CE" w:hAnsi="Times New Roman CE"/>
                <w:sz w:val="22"/>
                <w:szCs w:val="22"/>
                <w:lang w:val="es-ES"/>
              </w:rPr>
              <w:t>let se va extinde pe o perioadă</w:t>
            </w:r>
            <w:r>
              <w:rPr>
                <w:sz w:val="22"/>
                <w:szCs w:val="22"/>
                <w:lang w:val="es-ES"/>
              </w:rPr>
              <w:t xml:space="preserve"> mai l</w:t>
            </w:r>
            <w:r>
              <w:rPr>
                <w:rFonts w:cs="Times New Roman CE" w:ascii="Times New Roman CE" w:hAnsi="Times New Roman CE"/>
                <w:sz w:val="22"/>
                <w:szCs w:val="22"/>
                <w:lang w:val="es-ES"/>
              </w:rPr>
              <w:t>ungă de timp, deoarece</w:t>
            </w:r>
            <w:r>
              <w:rPr>
                <w:sz w:val="22"/>
                <w:szCs w:val="22"/>
                <w:lang w:val="es-ES"/>
              </w:rPr>
              <w:t xml:space="preserve"> </w:t>
            </w:r>
            <w:r>
              <w:rPr>
                <w:rFonts w:cs="Times New Roman CE" w:ascii="Times New Roman CE" w:hAnsi="Times New Roman CE"/>
                <w:sz w:val="22"/>
                <w:szCs w:val="22"/>
                <w:lang w:val="es-ES"/>
              </w:rPr>
              <w:t>o primă</w:t>
            </w:r>
            <w:r>
              <w:rPr>
                <w:sz w:val="22"/>
                <w:szCs w:val="22"/>
                <w:lang w:val="es-ES"/>
              </w:rPr>
              <w:t xml:space="preserve"> </w:t>
            </w:r>
            <w:r>
              <w:rPr>
                <w:rFonts w:cs="Times New Roman CE" w:ascii="Times New Roman CE" w:hAnsi="Times New Roman CE"/>
                <w:sz w:val="22"/>
                <w:szCs w:val="22"/>
                <w:lang w:val="es-ES"/>
              </w:rPr>
              <w:t>estimaţie</w:t>
            </w:r>
            <w:r>
              <w:rPr>
                <w:sz w:val="22"/>
                <w:szCs w:val="22"/>
                <w:lang w:val="es-ES"/>
              </w:rPr>
              <w:t xml:space="preserve"> ne conduce la peste 6</w:t>
            </w:r>
            <w:r>
              <w:rPr>
                <w:rFonts w:cs="Times New Roman CE" w:ascii="Times New Roman CE" w:hAnsi="Times New Roman CE"/>
                <w:sz w:val="22"/>
                <w:szCs w:val="22"/>
                <w:lang w:val="es-ES"/>
              </w:rPr>
              <w:t>00 de configuraţii</w:t>
            </w:r>
            <w:r>
              <w:rPr>
                <w:sz w:val="22"/>
                <w:szCs w:val="22"/>
                <w:lang w:val="es-ES"/>
              </w:rPr>
              <w:t xml:space="preserve"> </w:t>
            </w:r>
            <w:r>
              <w:rPr>
                <w:rFonts w:cs="Times New Roman CE" w:ascii="Times New Roman CE" w:hAnsi="Times New Roman CE"/>
                <w:sz w:val="22"/>
                <w:szCs w:val="22"/>
                <w:lang w:val="es-ES"/>
              </w:rPr>
              <w:t>globale de singularităţi. Pentru prima dată</w:t>
            </w:r>
            <w:r>
              <w:rPr>
                <w:sz w:val="22"/>
                <w:szCs w:val="22"/>
                <w:lang w:val="es-ES"/>
              </w:rPr>
              <w:t xml:space="preserve">,sistemele cubice cu un anumit </w:t>
            </w:r>
            <w:r>
              <w:rPr>
                <w:rFonts w:cs="Times New Roman CE" w:ascii="Times New Roman CE" w:hAnsi="Times New Roman CE"/>
                <w:sz w:val="22"/>
                <w:szCs w:val="22"/>
                <w:lang w:val="es-ES"/>
              </w:rPr>
              <w:t xml:space="preserve">număr de </w:t>
            </w:r>
            <w:r>
              <w:rPr>
                <w:sz w:val="22"/>
                <w:szCs w:val="22"/>
                <w:lang w:val="es-ES"/>
              </w:rPr>
              <w:t xml:space="preserve">drepte invariante, au fost clasificate </w:t>
            </w:r>
            <w:r>
              <w:rPr>
                <w:rFonts w:cs="Times New Roman CE" w:ascii="Times New Roman CE" w:hAnsi="Times New Roman CE"/>
                <w:sz w:val="22"/>
                <w:szCs w:val="22"/>
                <w:lang w:val="es-ES"/>
              </w:rPr>
              <w:t>şi</w:t>
            </w:r>
            <w:r>
              <w:rPr>
                <w:sz w:val="22"/>
                <w:szCs w:val="22"/>
                <w:lang w:val="es-ES"/>
              </w:rPr>
              <w:t xml:space="preserve"> fiecare </w:t>
            </w:r>
            <w:r>
              <w:rPr>
                <w:rFonts w:cs="Times New Roman CE" w:ascii="Times New Roman CE" w:hAnsi="Times New Roman CE"/>
                <w:sz w:val="22"/>
                <w:szCs w:val="22"/>
                <w:lang w:val="es-ES"/>
              </w:rPr>
              <w:t>clasă</w:t>
            </w:r>
            <w:r>
              <w:rPr>
                <w:sz w:val="22"/>
                <w:szCs w:val="22"/>
                <w:lang w:val="es-ES"/>
              </w:rPr>
              <w:t xml:space="preserve"> a fost </w:t>
            </w:r>
            <w:r>
              <w:rPr>
                <w:rFonts w:cs="Times New Roman CE" w:ascii="Times New Roman CE" w:hAnsi="Times New Roman CE"/>
                <w:sz w:val="22"/>
                <w:szCs w:val="22"/>
                <w:lang w:val="es-ES"/>
              </w:rPr>
              <w:t>cercetată</w:t>
            </w:r>
            <w:r>
              <w:rPr>
                <w:sz w:val="22"/>
                <w:szCs w:val="22"/>
                <w:lang w:val="es-ES"/>
              </w:rPr>
              <w:t xml:space="preserve"> din punct de vedere al teoriei </w:t>
            </w:r>
            <w:r>
              <w:rPr>
                <w:rFonts w:cs="Times New Roman CE" w:ascii="Times New Roman CE" w:hAnsi="Times New Roman CE"/>
                <w:sz w:val="22"/>
                <w:szCs w:val="22"/>
                <w:lang w:val="es-ES"/>
              </w:rPr>
              <w:t>calitative al ecuaţiilo</w:t>
            </w:r>
            <w:r>
              <w:rPr>
                <w:sz w:val="22"/>
                <w:szCs w:val="22"/>
                <w:lang w:val="es-ES"/>
              </w:rPr>
              <w:t xml:space="preserve">r </w:t>
            </w:r>
            <w:r>
              <w:rPr>
                <w:rFonts w:cs="Times New Roman CE" w:ascii="Times New Roman CE" w:hAnsi="Times New Roman CE"/>
                <w:sz w:val="22"/>
                <w:szCs w:val="22"/>
                <w:lang w:val="es-ES"/>
              </w:rPr>
              <w:t>diferenţiale.</w:t>
            </w:r>
            <w:r>
              <w:rPr>
                <w:sz w:val="22"/>
                <w:szCs w:val="22"/>
                <w:lang w:val="es-ES"/>
              </w:rPr>
              <w:t xml:space="preserve">Prin </w:t>
            </w:r>
            <w:r>
              <w:rPr>
                <w:rFonts w:cs="Times New Roman CE" w:ascii="Times New Roman CE" w:hAnsi="Times New Roman CE"/>
                <w:sz w:val="22"/>
                <w:szCs w:val="22"/>
                <w:lang w:val="es-ES"/>
              </w:rPr>
              <w:t>acestea se explică</w:t>
            </w:r>
            <w:r>
              <w:rPr>
                <w:sz w:val="22"/>
                <w:szCs w:val="22"/>
                <w:lang w:val="es-ES"/>
              </w:rPr>
              <w:t xml:space="preserve"> valoarea </w:t>
            </w:r>
            <w:r>
              <w:rPr>
                <w:rFonts w:cs="Times New Roman CE" w:ascii="Times New Roman CE" w:hAnsi="Times New Roman CE"/>
                <w:sz w:val="22"/>
                <w:szCs w:val="22"/>
                <w:lang w:val="es-ES"/>
              </w:rPr>
              <w:t>teoretică a cercetărilor</w:t>
            </w:r>
            <w:r>
              <w:rPr>
                <w:sz w:val="22"/>
                <w:szCs w:val="22"/>
                <w:lang w:val="es-ES"/>
              </w:rPr>
              <w:t xml:space="preserve"> efectuate </w:t>
            </w:r>
            <w:r>
              <w:rPr>
                <w:rFonts w:cs="Times New Roman CE" w:ascii="Times New Roman CE" w:hAnsi="Times New Roman CE"/>
                <w:sz w:val="22"/>
                <w:szCs w:val="22"/>
                <w:lang w:val="es-ES"/>
              </w:rPr>
              <w:t>şi a rezultatelor</w:t>
            </w:r>
            <w:r>
              <w:rPr>
                <w:sz w:val="22"/>
                <w:szCs w:val="22"/>
                <w:lang w:val="es-ES"/>
              </w:rPr>
              <w:t xml:space="preserve"> </w:t>
            </w:r>
            <w:r>
              <w:rPr>
                <w:rFonts w:cs="Times New Roman CE" w:ascii="Times New Roman CE" w:hAnsi="Times New Roman CE"/>
                <w:sz w:val="22"/>
                <w:szCs w:val="22"/>
                <w:lang w:val="es-ES"/>
              </w:rPr>
              <w:t>ştiinţifice</w:t>
            </w:r>
            <w:r>
              <w:rPr>
                <w:sz w:val="22"/>
                <w:szCs w:val="22"/>
                <w:lang w:val="es-ES"/>
              </w:rPr>
              <w:t xml:space="preserve"> </w:t>
            </w:r>
            <w:r>
              <w:rPr>
                <w:rFonts w:cs="Times New Roman CE" w:ascii="Times New Roman CE" w:hAnsi="Times New Roman CE"/>
                <w:sz w:val="22"/>
                <w:szCs w:val="22"/>
                <w:lang w:val="es-ES"/>
              </w:rPr>
              <w:t>obţinute</w:t>
            </w:r>
            <w:r>
              <w:rPr>
                <w:sz w:val="22"/>
                <w:szCs w:val="22"/>
                <w:lang w:val="es-ES"/>
              </w:rPr>
              <w:t xml:space="preserve"> în proiect.</w:t>
            </w:r>
          </w:p>
        </w:tc>
      </w:tr>
    </w:tbl>
    <w:p>
      <w:pPr>
        <w:pStyle w:val="5"/>
        <w:keepNext/>
        <w:widowControl/>
        <w:numPr>
          <w:ilvl w:val="0"/>
          <w:numId w:val="0"/>
        </w:numPr>
        <w:bidi w:val="0"/>
        <w:ind w:left="0" w:right="0" w:hanging="0"/>
        <w:jc w:val="right"/>
        <w:textAlignment w:val="auto"/>
        <w:outlineLvl w:val="4"/>
        <w:rPr>
          <w:rFonts w:ascii="Times New Roman" w:hAnsi="Times New Roman"/>
          <w:b w:val="false"/>
          <w:b w:val="false"/>
          <w:bCs w:val="false"/>
          <w:i/>
          <w:i/>
          <w:iCs/>
          <w:sz w:val="20"/>
        </w:rPr>
      </w:pPr>
      <w:r>
        <w:rPr>
          <w:b w:val="false"/>
          <w:bCs w:val="false"/>
          <w:i/>
          <w:iCs/>
          <w:sz w:val="20"/>
        </w:rPr>
      </w:r>
    </w:p>
    <w:p>
      <w:pPr>
        <w:pStyle w:val="5"/>
        <w:keepNext/>
        <w:widowControl/>
        <w:numPr>
          <w:ilvl w:val="0"/>
          <w:numId w:val="0"/>
        </w:numPr>
        <w:bidi w:val="0"/>
        <w:ind w:left="0" w:right="0" w:hanging="0"/>
        <w:jc w:val="left"/>
        <w:textAlignment w:val="auto"/>
        <w:outlineLvl w:val="4"/>
        <w:rPr>
          <w:rFonts w:ascii="Times New Roman" w:hAnsi="Times New Roman"/>
          <w:b w:val="false"/>
          <w:b w:val="false"/>
          <w:bCs w:val="false"/>
          <w:iCs/>
          <w:sz w:val="20"/>
        </w:rPr>
      </w:pPr>
      <w:r>
        <w:rPr>
          <w:b w:val="false"/>
          <w:bCs w:val="false"/>
          <w:iCs/>
          <w:sz w:val="20"/>
        </w:rPr>
      </w:r>
    </w:p>
    <w:p>
      <w:pPr>
        <w:pStyle w:val="5"/>
        <w:keepNext/>
        <w:widowControl/>
        <w:numPr>
          <w:ilvl w:val="0"/>
          <w:numId w:val="0"/>
        </w:numPr>
        <w:tabs>
          <w:tab w:val="left" w:pos="0" w:leader="none"/>
        </w:tabs>
        <w:suppressAutoHyphens w:val="true"/>
        <w:bidi w:val="0"/>
        <w:ind w:left="1008" w:right="0" w:hanging="1008"/>
        <w:jc w:val="left"/>
        <w:textAlignment w:val="auto"/>
        <w:outlineLvl w:val="4"/>
        <w:rPr>
          <w:rFonts w:ascii="Times New Roman" w:hAnsi="Times New Roman"/>
          <w:b w:val="false"/>
          <w:b w:val="false"/>
          <w:bCs w:val="false"/>
          <w:iCs/>
          <w:sz w:val="24"/>
          <w:szCs w:val="24"/>
          <w:lang w:val="es-ES"/>
        </w:rPr>
      </w:pPr>
      <w:r>
        <w:rPr>
          <w:b w:val="false"/>
          <w:bCs w:val="false"/>
          <w:iCs/>
          <w:sz w:val="24"/>
          <w:szCs w:val="24"/>
          <w:lang w:val="es-ES"/>
        </w:rPr>
      </w:r>
    </w:p>
    <w:p>
      <w:pPr>
        <w:pStyle w:val="5"/>
        <w:keepNext/>
        <w:widowControl/>
        <w:numPr>
          <w:ilvl w:val="0"/>
          <w:numId w:val="0"/>
        </w:numPr>
        <w:tabs>
          <w:tab w:val="left" w:pos="0" w:leader="none"/>
        </w:tabs>
        <w:suppressAutoHyphens w:val="true"/>
        <w:bidi w:val="0"/>
        <w:ind w:left="1008" w:right="0" w:hanging="1008"/>
        <w:jc w:val="left"/>
        <w:textAlignment w:val="auto"/>
        <w:outlineLvl w:val="4"/>
        <w:rPr>
          <w:b w:val="false"/>
          <w:b w:val="false"/>
          <w:lang w:val="es-ES"/>
        </w:rPr>
      </w:pPr>
      <w:r>
        <w:rPr>
          <w:rFonts w:cs="Times New Roman CE" w:ascii="Times New Roman CE" w:hAnsi="Times New Roman CE"/>
          <w:b w:val="false"/>
          <w:bCs w:val="false"/>
          <w:spacing w:val="0"/>
          <w:sz w:val="24"/>
          <w:szCs w:val="24"/>
          <w:lang w:val="es-ES"/>
        </w:rPr>
        <w:t>Conducătorul proiectului</w:t>
      </w:r>
      <w:r>
        <w:rPr>
          <w:b w:val="false"/>
          <w:bCs w:val="false"/>
          <w:iCs/>
          <w:sz w:val="24"/>
          <w:szCs w:val="24"/>
        </w:rPr>
        <w:t xml:space="preserve"> </w:t>
      </w:r>
      <w:r>
        <w:rPr>
          <w:b w:val="false"/>
          <w:bCs w:val="false"/>
          <w:i/>
          <w:iCs/>
          <w:spacing w:val="0"/>
          <w:sz w:val="24"/>
          <w:szCs w:val="24"/>
          <w:lang w:val="ro-RO"/>
        </w:rPr>
        <w:t>________________________________________</w:t>
      </w:r>
      <w:r>
        <w:rPr>
          <w:bCs w:val="false"/>
          <w:iCs/>
          <w:sz w:val="20"/>
          <w:vertAlign w:val="superscript"/>
          <w:lang w:val="ro-RO"/>
        </w:rPr>
        <w:t xml:space="preserve"> </w:t>
      </w:r>
      <w:r>
        <w:rPr>
          <w:b w:val="false"/>
          <w:sz w:val="24"/>
          <w:szCs w:val="24"/>
          <w:lang w:eastAsia="ro-RO"/>
        </w:rPr>
        <w:t>dr.h.</w:t>
      </w:r>
      <w:r>
        <w:rPr>
          <w:rFonts w:cs="Times New Roman CE" w:ascii="Times New Roman CE" w:hAnsi="Times New Roman CE"/>
          <w:b w:val="false"/>
          <w:sz w:val="24"/>
          <w:szCs w:val="24"/>
          <w:lang w:eastAsia="ro-RO"/>
        </w:rPr>
        <w:t>ŞUBĂ Alexandru</w:t>
      </w:r>
      <w:r>
        <w:rPr>
          <w:b w:val="false"/>
          <w:bCs w:val="false"/>
          <w:iCs/>
          <w:sz w:val="20"/>
        </w:rPr>
        <w:t xml:space="preserve"> </w:t>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1"/>
        <w:keepNext/>
        <w:widowControl/>
        <w:numPr>
          <w:ilvl w:val="0"/>
          <w:numId w:val="0"/>
        </w:numPr>
        <w:bidi w:val="0"/>
        <w:spacing w:before="240" w:after="60"/>
        <w:ind w:left="0" w:right="0" w:hanging="0"/>
        <w:jc w:val="left"/>
        <w:textAlignment w:val="auto"/>
        <w:outlineLvl w:val="0"/>
        <w:rPr>
          <w:b w:val="false"/>
          <w:b w:val="false"/>
          <w:lang w:val="ro-MD"/>
        </w:rPr>
      </w:pPr>
      <w:bookmarkStart w:id="83" w:name="_Toc469651888"/>
      <w:r>
        <w:rPr>
          <w:rFonts w:cs="Times New Roman CE" w:ascii="Times New Roman CE" w:hAnsi="Times New Roman CE"/>
          <w:b w:val="false"/>
          <w:bCs w:val="false"/>
          <w:sz w:val="28"/>
          <w:szCs w:val="28"/>
          <w:lang w:val="ro-MD"/>
        </w:rPr>
        <w:t>Fişele rapoartelor de activitate în anul 201</w:t>
      </w:r>
      <w:r>
        <w:rPr>
          <w:rFonts w:cs="Times New Roman" w:ascii="Times New Roman" w:hAnsi="Times New Roman"/>
          <w:b w:val="false"/>
          <w:bCs w:val="false"/>
          <w:sz w:val="28"/>
          <w:szCs w:val="28"/>
          <w:lang w:val="ro-MD"/>
        </w:rPr>
        <w:t xml:space="preserve">6 </w:t>
      </w:r>
      <w:bookmarkEnd w:id="83"/>
      <w:r>
        <w:rPr>
          <w:rFonts w:cs="Times New Roman CE" w:ascii="Times New Roman CE" w:hAnsi="Times New Roman CE"/>
          <w:b w:val="false"/>
          <w:bCs w:val="false"/>
          <w:sz w:val="28"/>
          <w:szCs w:val="28"/>
          <w:lang w:val="ro-MD"/>
        </w:rPr>
        <w:t>pentru membrii titulari şi membrii corespondenţi ai A.Ş.M.</w:t>
      </w:r>
    </w:p>
    <w:p>
      <w:pPr>
        <w:pStyle w:val="2"/>
        <w:keepNext/>
        <w:widowControl/>
        <w:numPr>
          <w:ilvl w:val="0"/>
          <w:numId w:val="0"/>
        </w:numPr>
        <w:bidi w:val="0"/>
        <w:ind w:left="0" w:right="0" w:hanging="0"/>
        <w:jc w:val="left"/>
        <w:textAlignment w:val="auto"/>
        <w:outlineLvl w:val="1"/>
        <w:rPr/>
      </w:pPr>
      <w:bookmarkStart w:id="84" w:name="_Toc469651889"/>
      <w:bookmarkEnd w:id="84"/>
      <w:r>
        <w:rPr>
          <w:i/>
          <w:sz w:val="26"/>
          <w:szCs w:val="26"/>
        </w:rPr>
        <w:t>Academicianul REABUHIN Iurii</w:t>
      </w:r>
    </w:p>
    <w:p>
      <w:pPr>
        <w:pStyle w:val="Normal"/>
        <w:widowControl/>
        <w:shd w:fill="FFFFFF"/>
        <w:bidi w:val="0"/>
        <w:spacing w:lineRule="exact" w:line="266"/>
        <w:ind w:left="164" w:right="0" w:hanging="0"/>
        <w:jc w:val="center"/>
        <w:textAlignment w:val="auto"/>
        <w:rPr>
          <w:lang w:val="ro-MD"/>
        </w:rPr>
      </w:pPr>
      <w:r>
        <w:rPr>
          <w:rFonts w:cs="Times New Roman CE" w:ascii="Times New Roman CE" w:hAnsi="Times New Roman CE"/>
          <w:spacing w:val="40"/>
          <w:sz w:val="22"/>
          <w:szCs w:val="22"/>
          <w:lang w:val="ro-MD"/>
        </w:rPr>
        <w:t>FIŞA</w:t>
      </w:r>
    </w:p>
    <w:p>
      <w:pPr>
        <w:pStyle w:val="Normal"/>
        <w:widowControl/>
        <w:shd w:fill="FFFFFF"/>
        <w:bidi w:val="0"/>
        <w:spacing w:lineRule="exact" w:line="266"/>
        <w:ind w:left="0" w:right="58" w:hanging="0"/>
        <w:jc w:val="center"/>
        <w:textAlignment w:val="auto"/>
        <w:rPr>
          <w:lang w:val="ro-MD"/>
        </w:rPr>
      </w:pPr>
      <w:r>
        <w:rPr>
          <w:rFonts w:cs="Times New Roman CE" w:ascii="Times New Roman CE" w:hAnsi="Times New Roman CE"/>
          <w:sz w:val="22"/>
          <w:szCs w:val="22"/>
          <w:lang w:val="ro-MD"/>
        </w:rPr>
        <w:t>raportului de activitate în anul</w:t>
      </w:r>
      <w:r>
        <w:rPr>
          <w:spacing w:val="4"/>
          <w:sz w:val="22"/>
          <w:szCs w:val="22"/>
          <w:lang w:val="ro-MD"/>
        </w:rPr>
        <w:t xml:space="preserve"> 2016</w:t>
      </w:r>
    </w:p>
    <w:p>
      <w:pPr>
        <w:pStyle w:val="Normal"/>
        <w:widowControl w:val="false"/>
        <w:numPr>
          <w:ilvl w:val="0"/>
          <w:numId w:val="2"/>
        </w:numPr>
        <w:shd w:fill="FFFFFF"/>
        <w:tabs>
          <w:tab w:val="left" w:pos="180" w:leader="none"/>
        </w:tabs>
        <w:bidi w:val="0"/>
        <w:ind w:left="180" w:right="0" w:hanging="0"/>
        <w:jc w:val="left"/>
        <w:textAlignment w:val="auto"/>
        <w:rPr>
          <w:lang w:val="ro-MD"/>
        </w:rPr>
      </w:pPr>
      <w:r>
        <w:rPr>
          <w:rFonts w:cs="Times New Roman CE" w:ascii="Times New Roman CE" w:hAnsi="Times New Roman CE"/>
          <w:spacing w:val="-1"/>
          <w:sz w:val="22"/>
          <w:szCs w:val="22"/>
          <w:lang w:val="ro-MD"/>
        </w:rPr>
        <w:t>Titlul, numele şi prenumele</w:t>
      </w:r>
      <w:r>
        <w:rPr>
          <w:spacing w:val="-1"/>
          <w:sz w:val="22"/>
          <w:szCs w:val="22"/>
          <w:lang w:val="ro-MD"/>
        </w:rPr>
        <w:t xml:space="preserve">  </w:t>
      </w:r>
      <w:r>
        <w:rPr>
          <w:b/>
          <w:i/>
          <w:spacing w:val="-1"/>
          <w:sz w:val="22"/>
          <w:szCs w:val="22"/>
          <w:lang w:val="ro-MD"/>
        </w:rPr>
        <w:t>acad.</w:t>
      </w:r>
      <w:r>
        <w:rPr>
          <w:i/>
          <w:spacing w:val="-1"/>
          <w:sz w:val="22"/>
          <w:szCs w:val="22"/>
          <w:lang w:val="ro-MD"/>
        </w:rPr>
        <w:t xml:space="preserve"> </w:t>
      </w:r>
      <w:r>
        <w:rPr>
          <w:b/>
          <w:i/>
          <w:spacing w:val="-1"/>
          <w:sz w:val="22"/>
          <w:szCs w:val="22"/>
          <w:lang w:val="ro-MD"/>
        </w:rPr>
        <w:t>Reabuhin Iurii</w:t>
      </w:r>
    </w:p>
    <w:p>
      <w:pPr>
        <w:pStyle w:val="Normal"/>
        <w:widowControl w:val="false"/>
        <w:numPr>
          <w:ilvl w:val="0"/>
          <w:numId w:val="2"/>
        </w:numPr>
        <w:shd w:fill="FFFFFF"/>
        <w:tabs>
          <w:tab w:val="left" w:pos="180" w:leader="none"/>
        </w:tabs>
        <w:bidi w:val="0"/>
        <w:ind w:left="180" w:right="0" w:hanging="0"/>
        <w:jc w:val="left"/>
        <w:textAlignment w:val="auto"/>
        <w:rPr>
          <w:lang w:val="ro-MD"/>
        </w:rPr>
      </w:pPr>
      <w:r>
        <w:rPr>
          <w:rFonts w:cs="Times New Roman CE" w:ascii="Times New Roman CE" w:hAnsi="Times New Roman CE"/>
          <w:iCs/>
          <w:spacing w:val="1"/>
          <w:sz w:val="22"/>
          <w:szCs w:val="22"/>
          <w:lang w:val="ro-MD"/>
        </w:rPr>
        <w:t>Activitatea ştiinţifică</w:t>
      </w:r>
    </w:p>
    <w:tbl>
      <w:tblPr>
        <w:tblW w:w="10029" w:type="dxa"/>
        <w:jc w:val="left"/>
        <w:tblInd w:w="601" w:type="dxa"/>
        <w:tblBorders>
          <w:top w:val="dashed" w:sz="4" w:space="0" w:color="000001"/>
          <w:left w:val="dashed" w:sz="4" w:space="0" w:color="000001"/>
          <w:bottom w:val="dashed" w:sz="4" w:space="0" w:color="000001"/>
          <w:right w:val="dashed" w:sz="4" w:space="0" w:color="000001"/>
          <w:insideH w:val="dashed" w:sz="4" w:space="0" w:color="000001"/>
          <w:insideV w:val="dashed" w:sz="4" w:space="0" w:color="000001"/>
        </w:tblBorders>
        <w:tblCellMar>
          <w:top w:w="0" w:type="dxa"/>
          <w:left w:w="103" w:type="dxa"/>
          <w:bottom w:w="0" w:type="dxa"/>
          <w:right w:w="108" w:type="dxa"/>
        </w:tblCellMar>
      </w:tblPr>
      <w:tblGrid>
        <w:gridCol w:w="10029"/>
      </w:tblGrid>
      <w:tr>
        <w:trPr>
          <w:trHeight w:val="519" w:hRule="atLeast"/>
        </w:trPr>
        <w:tc>
          <w:tcPr>
            <w:tcW w:w="10029"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bidi w:val="0"/>
              <w:spacing w:lineRule="exact" w:line="266"/>
              <w:ind w:left="0" w:right="58" w:hanging="0"/>
              <w:jc w:val="left"/>
              <w:textAlignment w:val="auto"/>
              <w:rPr>
                <w:lang w:val="ro-MD"/>
              </w:rPr>
            </w:pPr>
            <w:r>
              <w:rPr>
                <w:rFonts w:cs="Times New Roman CE" w:ascii="Times New Roman CE" w:hAnsi="Times New Roman CE"/>
                <w:sz w:val="22"/>
                <w:szCs w:val="22"/>
                <w:lang w:val="ro-MD"/>
              </w:rPr>
              <w:t>Executor al proiectelui instituţional: 15.817.02.04F „Tendin</w:t>
            </w:r>
            <w:r>
              <w:rPr>
                <w:rFonts w:cs="Cambria Math" w:ascii="Cambria Math" w:hAnsi="Cambria Math"/>
                <w:sz w:val="22"/>
                <w:szCs w:val="22"/>
                <w:lang w:val="ro-MD"/>
              </w:rPr>
              <w:t>ț</w:t>
            </w:r>
            <w:r>
              <w:rPr>
                <w:rFonts w:cs="Times New Roman CE" w:ascii="Times New Roman CE" w:hAnsi="Times New Roman CE"/>
                <w:sz w:val="22"/>
                <w:szCs w:val="22"/>
                <w:lang w:val="ro-MD"/>
              </w:rPr>
              <w:t xml:space="preserve">e moderne în algebră, topologie </w:t>
            </w:r>
            <w:r>
              <w:rPr>
                <w:rFonts w:cs="Cambria Math" w:ascii="Cambria Math" w:hAnsi="Cambria Math"/>
                <w:sz w:val="22"/>
                <w:szCs w:val="22"/>
                <w:lang w:val="ro-MD"/>
              </w:rPr>
              <w:t>ș</w:t>
            </w:r>
            <w:r>
              <w:rPr>
                <w:rFonts w:cs="Times New Roman CE" w:ascii="Times New Roman CE" w:hAnsi="Times New Roman CE"/>
                <w:sz w:val="22"/>
                <w:szCs w:val="22"/>
                <w:lang w:val="ro-MD"/>
              </w:rPr>
              <w:t>i geometrie: cercetări fundamentale ş</w:t>
            </w:r>
            <w:r>
              <w:rPr>
                <w:sz w:val="22"/>
                <w:szCs w:val="22"/>
                <w:lang w:val="ro-MD"/>
              </w:rPr>
              <w:t>i aplica</w:t>
            </w:r>
            <w:r>
              <w:rPr>
                <w:rFonts w:cs="Cambria Math" w:ascii="Cambria Math" w:hAnsi="Cambria Math"/>
                <w:sz w:val="22"/>
                <w:szCs w:val="22"/>
                <w:lang w:val="ro-MD"/>
              </w:rPr>
              <w:t>ț</w:t>
            </w:r>
            <w:r>
              <w:rPr>
                <w:sz w:val="22"/>
                <w:szCs w:val="22"/>
                <w:lang w:val="ro-MD"/>
              </w:rPr>
              <w:t xml:space="preserve">ii”  </w:t>
            </w:r>
          </w:p>
        </w:tc>
      </w:tr>
    </w:tbl>
    <w:p>
      <w:pPr>
        <w:pStyle w:val="Normal"/>
        <w:widowControl/>
        <w:numPr>
          <w:ilvl w:val="0"/>
          <w:numId w:val="2"/>
        </w:numPr>
        <w:shd w:fill="FFFFFF"/>
        <w:tabs>
          <w:tab w:val="left" w:pos="180" w:leader="none"/>
          <w:tab w:val="left" w:pos="709" w:leader="none"/>
          <w:tab w:val="left" w:pos="1134" w:leader="none"/>
        </w:tabs>
        <w:bidi w:val="0"/>
        <w:spacing w:before="120" w:after="0"/>
        <w:ind w:left="180" w:right="0" w:hanging="0"/>
        <w:jc w:val="left"/>
        <w:textAlignment w:val="auto"/>
        <w:rPr>
          <w:lang w:val="ro-MD"/>
        </w:rPr>
      </w:pPr>
      <w:r>
        <w:rPr>
          <w:rFonts w:cs="Times New Roman CE" w:ascii="Times New Roman CE" w:hAnsi="Times New Roman CE"/>
          <w:i/>
          <w:spacing w:val="-1"/>
          <w:sz w:val="22"/>
          <w:szCs w:val="22"/>
          <w:lang w:val="ro-MD"/>
        </w:rPr>
        <w:t>Rezultatele ştiinţifice principale</w:t>
      </w:r>
    </w:p>
    <w:tbl>
      <w:tblPr>
        <w:tblW w:w="7921" w:type="dxa"/>
        <w:jc w:val="left"/>
        <w:tblInd w:w="601" w:type="dxa"/>
        <w:tblBorders>
          <w:top w:val="dashed" w:sz="4" w:space="0" w:color="000001"/>
          <w:left w:val="dashed" w:sz="4" w:space="0" w:color="000001"/>
          <w:bottom w:val="dashed" w:sz="4" w:space="0" w:color="000001"/>
          <w:right w:val="dashed" w:sz="4" w:space="0" w:color="000001"/>
          <w:insideH w:val="dashed" w:sz="4" w:space="0" w:color="000001"/>
          <w:insideV w:val="dashed" w:sz="4" w:space="0" w:color="000001"/>
        </w:tblBorders>
        <w:tblCellMar>
          <w:top w:w="0" w:type="dxa"/>
          <w:left w:w="103" w:type="dxa"/>
          <w:bottom w:w="0" w:type="dxa"/>
          <w:right w:w="108" w:type="dxa"/>
        </w:tblCellMar>
      </w:tblPr>
      <w:tblGrid>
        <w:gridCol w:w="5940"/>
        <w:gridCol w:w="1980"/>
      </w:tblGrid>
      <w:tr>
        <w:trPr/>
        <w:tc>
          <w:tcPr>
            <w:tcW w:w="594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lang w:val="ro-RO"/>
              </w:rPr>
            </w:pPr>
            <w:r>
              <w:rPr>
                <w:rFonts w:cs="Times New Roman CE" w:ascii="Times New Roman CE" w:hAnsi="Times New Roman CE"/>
                <w:sz w:val="22"/>
                <w:szCs w:val="22"/>
                <w:lang w:val="ro-RO"/>
              </w:rPr>
              <w:t>Monografii în ediţii internaţionale</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rFonts w:ascii="Times New Roman" w:hAnsi="Times New Roman"/>
                <w:spacing w:val="-1"/>
                <w:sz w:val="22"/>
                <w:szCs w:val="22"/>
                <w:lang w:val="ro-MD"/>
              </w:rPr>
            </w:pPr>
            <w:r>
              <w:rPr>
                <w:spacing w:val="-1"/>
                <w:sz w:val="22"/>
                <w:szCs w:val="22"/>
                <w:lang w:val="ro-MD"/>
              </w:rPr>
            </w:r>
          </w:p>
        </w:tc>
      </w:tr>
      <w:tr>
        <w:trPr/>
        <w:tc>
          <w:tcPr>
            <w:tcW w:w="594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lang w:val="ro-RO"/>
              </w:rPr>
            </w:pPr>
            <w:r>
              <w:rPr>
                <w:rFonts w:cs="Times New Roman CE" w:ascii="Times New Roman CE" w:hAnsi="Times New Roman CE"/>
                <w:sz w:val="22"/>
                <w:szCs w:val="22"/>
                <w:lang w:val="ro-RO"/>
              </w:rPr>
              <w:t>Monografii în alte ediţii din străinătate</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rFonts w:ascii="Times New Roman" w:hAnsi="Times New Roman"/>
                <w:spacing w:val="-1"/>
                <w:sz w:val="22"/>
                <w:szCs w:val="22"/>
                <w:lang w:val="ro-MD"/>
              </w:rPr>
            </w:pPr>
            <w:r>
              <w:rPr>
                <w:spacing w:val="-1"/>
                <w:sz w:val="22"/>
                <w:szCs w:val="22"/>
                <w:lang w:val="ro-MD"/>
              </w:rPr>
            </w:r>
          </w:p>
        </w:tc>
      </w:tr>
      <w:tr>
        <w:trPr/>
        <w:tc>
          <w:tcPr>
            <w:tcW w:w="594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vAlign w:val="bottom"/>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Articole în reviste cu factor de impact mai mare de 1</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rFonts w:ascii="Times New Roman" w:hAnsi="Times New Roman"/>
                <w:spacing w:val="-1"/>
                <w:sz w:val="22"/>
                <w:szCs w:val="22"/>
                <w:lang w:val="ro-MD"/>
              </w:rPr>
            </w:pPr>
            <w:r>
              <w:rPr>
                <w:spacing w:val="-1"/>
                <w:sz w:val="22"/>
                <w:szCs w:val="22"/>
                <w:lang w:val="ro-MD"/>
              </w:rPr>
            </w:r>
          </w:p>
        </w:tc>
      </w:tr>
      <w:tr>
        <w:trPr/>
        <w:tc>
          <w:tcPr>
            <w:tcW w:w="594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vAlign w:val="bottom"/>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Articole în reviste cu factor de impact 0,1-1.0</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rFonts w:ascii="Times New Roman" w:hAnsi="Times New Roman"/>
                <w:spacing w:val="-1"/>
                <w:sz w:val="22"/>
                <w:szCs w:val="22"/>
                <w:lang w:val="ro-MD"/>
              </w:rPr>
            </w:pPr>
            <w:r>
              <w:rPr>
                <w:spacing w:val="-1"/>
                <w:sz w:val="22"/>
                <w:szCs w:val="22"/>
                <w:lang w:val="ro-MD"/>
              </w:rPr>
            </w:r>
          </w:p>
        </w:tc>
      </w:tr>
      <w:tr>
        <w:trPr/>
        <w:tc>
          <w:tcPr>
            <w:tcW w:w="594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vAlign w:val="bottom"/>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Articole în reviste cu factor de impact 0,01- 0,1</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rFonts w:ascii="Times New Roman" w:hAnsi="Times New Roman"/>
                <w:spacing w:val="-1"/>
                <w:sz w:val="22"/>
                <w:szCs w:val="22"/>
                <w:lang w:val="ro-MD"/>
              </w:rPr>
            </w:pPr>
            <w:r>
              <w:rPr>
                <w:spacing w:val="-1"/>
                <w:sz w:val="22"/>
                <w:szCs w:val="22"/>
                <w:lang w:val="ro-MD"/>
              </w:rPr>
            </w:r>
          </w:p>
        </w:tc>
      </w:tr>
      <w:tr>
        <w:trPr/>
        <w:tc>
          <w:tcPr>
            <w:tcW w:w="594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lang w:val="ro-RO"/>
              </w:rPr>
            </w:pPr>
            <w:r>
              <w:rPr>
                <w:rFonts w:cs="Times New Roman CE" w:ascii="Times New Roman CE" w:hAnsi="Times New Roman CE"/>
                <w:sz w:val="22"/>
                <w:szCs w:val="22"/>
                <w:lang w:val="ro-RO"/>
              </w:rPr>
              <w:t>Articole în alte reviste editate în străinătate</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rFonts w:ascii="Times New Roman" w:hAnsi="Times New Roman"/>
                <w:spacing w:val="-2"/>
                <w:sz w:val="22"/>
                <w:szCs w:val="22"/>
                <w:lang w:val="ro-MD"/>
              </w:rPr>
            </w:pPr>
            <w:r>
              <w:rPr>
                <w:spacing w:val="-2"/>
                <w:sz w:val="22"/>
                <w:szCs w:val="22"/>
                <w:lang w:val="ro-MD"/>
              </w:rPr>
            </w:r>
          </w:p>
        </w:tc>
      </w:tr>
      <w:tr>
        <w:trPr/>
        <w:tc>
          <w:tcPr>
            <w:tcW w:w="594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lang w:val="ro-RO"/>
              </w:rPr>
            </w:pPr>
            <w:r>
              <w:rPr>
                <w:sz w:val="22"/>
                <w:szCs w:val="22"/>
                <w:lang w:val="ro-RO"/>
              </w:rPr>
              <w:t>Mo</w:t>
            </w:r>
            <w:r>
              <w:rPr>
                <w:rFonts w:cs="Times New Roman CE" w:ascii="Times New Roman CE" w:hAnsi="Times New Roman CE"/>
                <w:sz w:val="22"/>
                <w:szCs w:val="22"/>
                <w:lang w:val="ro-RO"/>
              </w:rPr>
              <w:t>nografii editate în ţara</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rFonts w:ascii="Times New Roman" w:hAnsi="Times New Roman"/>
                <w:spacing w:val="-2"/>
                <w:sz w:val="22"/>
                <w:szCs w:val="22"/>
                <w:lang w:val="ro-MD"/>
              </w:rPr>
            </w:pPr>
            <w:r>
              <w:rPr>
                <w:spacing w:val="-2"/>
                <w:sz w:val="22"/>
                <w:szCs w:val="22"/>
                <w:lang w:val="ro-MD"/>
              </w:rPr>
            </w:r>
          </w:p>
        </w:tc>
      </w:tr>
      <w:tr>
        <w:trPr/>
        <w:tc>
          <w:tcPr>
            <w:tcW w:w="594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vAlign w:val="bottom"/>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Articole în reviste naţionale, categoria A</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rFonts w:ascii="Times New Roman" w:hAnsi="Times New Roman"/>
                <w:spacing w:val="-3"/>
                <w:sz w:val="22"/>
                <w:szCs w:val="22"/>
                <w:lang w:val="ro-MD"/>
              </w:rPr>
            </w:pPr>
            <w:r>
              <w:rPr>
                <w:spacing w:val="-3"/>
                <w:sz w:val="22"/>
                <w:szCs w:val="22"/>
                <w:lang w:val="ro-MD"/>
              </w:rPr>
            </w:r>
          </w:p>
        </w:tc>
      </w:tr>
      <w:tr>
        <w:trPr/>
        <w:tc>
          <w:tcPr>
            <w:tcW w:w="594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vAlign w:val="bottom"/>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Articole în reviste naţionale, categoria B</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rFonts w:ascii="Times New Roman" w:hAnsi="Times New Roman"/>
                <w:spacing w:val="-3"/>
                <w:sz w:val="22"/>
                <w:szCs w:val="22"/>
                <w:lang w:val="ro-MD"/>
              </w:rPr>
            </w:pPr>
            <w:r>
              <w:rPr>
                <w:spacing w:val="-3"/>
                <w:sz w:val="22"/>
                <w:szCs w:val="22"/>
                <w:lang w:val="ro-MD"/>
              </w:rPr>
            </w:r>
          </w:p>
        </w:tc>
      </w:tr>
      <w:tr>
        <w:trPr/>
        <w:tc>
          <w:tcPr>
            <w:tcW w:w="594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vAlign w:val="bottom"/>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Articole în reviste naţionale, categoria C</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rFonts w:ascii="Times New Roman" w:hAnsi="Times New Roman"/>
                <w:spacing w:val="-2"/>
                <w:sz w:val="22"/>
                <w:szCs w:val="22"/>
                <w:lang w:val="ro-MD"/>
              </w:rPr>
            </w:pPr>
            <w:r>
              <w:rPr>
                <w:spacing w:val="-2"/>
                <w:sz w:val="22"/>
                <w:szCs w:val="22"/>
                <w:lang w:val="ro-MD"/>
              </w:rPr>
            </w:r>
          </w:p>
        </w:tc>
      </w:tr>
      <w:tr>
        <w:trPr/>
        <w:tc>
          <w:tcPr>
            <w:tcW w:w="594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vAlign w:val="bottom"/>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Articole în culegeri</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rFonts w:ascii="Times New Roman" w:hAnsi="Times New Roman"/>
                <w:spacing w:val="-2"/>
                <w:sz w:val="22"/>
                <w:szCs w:val="22"/>
                <w:lang w:val="ro-MD"/>
              </w:rPr>
            </w:pPr>
            <w:r>
              <w:rPr>
                <w:spacing w:val="-2"/>
                <w:sz w:val="22"/>
                <w:szCs w:val="22"/>
                <w:lang w:val="ro-MD"/>
              </w:rPr>
            </w:r>
          </w:p>
        </w:tc>
      </w:tr>
      <w:tr>
        <w:trPr/>
        <w:tc>
          <w:tcPr>
            <w:tcW w:w="594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lang w:val="ro-MD"/>
              </w:rPr>
            </w:pPr>
            <w:r>
              <w:rPr>
                <w:rFonts w:cs="Times New Roman CE" w:ascii="Times New Roman CE" w:hAnsi="Times New Roman CE"/>
                <w:sz w:val="22"/>
                <w:szCs w:val="22"/>
                <w:lang w:val="ro-MD"/>
              </w:rPr>
              <w:t>Participarea la foruri ştiinţifice</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center"/>
              <w:textAlignment w:val="auto"/>
              <w:rPr>
                <w:lang w:val="en-US"/>
              </w:rPr>
            </w:pPr>
            <w:r>
              <w:rPr>
                <w:spacing w:val="-2"/>
                <w:sz w:val="22"/>
                <w:szCs w:val="22"/>
                <w:lang w:val="en-US"/>
              </w:rPr>
              <w:t>1</w:t>
            </w:r>
          </w:p>
        </w:tc>
      </w:tr>
    </w:tbl>
    <w:p>
      <w:pPr>
        <w:pStyle w:val="Normal"/>
        <w:widowControl/>
        <w:bidi w:val="0"/>
        <w:ind w:left="709" w:right="0" w:hanging="0"/>
        <w:jc w:val="left"/>
        <w:textAlignment w:val="auto"/>
        <w:rPr>
          <w:lang w:val="ro-MD"/>
        </w:rPr>
      </w:pPr>
      <w:r>
        <w:rPr>
          <w:rFonts w:cs="Times New Roman CE" w:ascii="Times New Roman CE" w:hAnsi="Times New Roman CE"/>
          <w:bCs/>
          <w:i/>
          <w:sz w:val="22"/>
          <w:szCs w:val="22"/>
          <w:lang w:val="ro-MD"/>
        </w:rPr>
        <w:t>Activitatea inovaţională</w:t>
      </w:r>
    </w:p>
    <w:tbl>
      <w:tblPr>
        <w:tblW w:w="7859" w:type="dxa"/>
        <w:jc w:val="left"/>
        <w:tblInd w:w="540" w:type="dxa"/>
        <w:tblBorders>
          <w:top w:val="dashed" w:sz="4" w:space="0" w:color="000001"/>
          <w:left w:val="dashed" w:sz="4" w:space="0" w:color="000001"/>
          <w:bottom w:val="dashed" w:sz="4" w:space="0" w:color="000001"/>
          <w:right w:val="dashed" w:sz="4" w:space="0" w:color="000001"/>
          <w:insideH w:val="dashed" w:sz="4" w:space="0" w:color="000001"/>
          <w:insideV w:val="dashed" w:sz="4" w:space="0" w:color="000001"/>
        </w:tblBorders>
        <w:tblCellMar>
          <w:top w:w="0" w:type="dxa"/>
          <w:left w:w="103" w:type="dxa"/>
          <w:bottom w:w="0" w:type="dxa"/>
          <w:right w:w="108" w:type="dxa"/>
        </w:tblCellMar>
      </w:tblPr>
      <w:tblGrid>
        <w:gridCol w:w="5878"/>
        <w:gridCol w:w="1980"/>
      </w:tblGrid>
      <w:tr>
        <w:trPr/>
        <w:tc>
          <w:tcPr>
            <w:tcW w:w="5878"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bidi w:val="0"/>
              <w:ind w:left="0" w:right="0" w:hanging="0"/>
              <w:jc w:val="left"/>
              <w:textAlignment w:val="auto"/>
              <w:rPr>
                <w:lang w:val="ro-MD"/>
              </w:rPr>
            </w:pPr>
            <w:r>
              <w:rPr>
                <w:rFonts w:cs="Times New Roman CE" w:ascii="Times New Roman CE" w:hAnsi="Times New Roman CE"/>
                <w:sz w:val="22"/>
                <w:szCs w:val="22"/>
                <w:lang w:val="ro-MD"/>
              </w:rPr>
              <w:t xml:space="preserve">Numărul </w:t>
            </w:r>
            <w:r>
              <w:rPr>
                <w:sz w:val="22"/>
                <w:szCs w:val="22"/>
                <w:lang w:val="ro-MD"/>
              </w:rPr>
              <w:t xml:space="preserve">de cereri prezentate </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bidi w:val="0"/>
              <w:ind w:left="0" w:right="0" w:hanging="0"/>
              <w:jc w:val="left"/>
              <w:textAlignment w:val="auto"/>
              <w:rPr>
                <w:rFonts w:ascii="Times New Roman" w:hAnsi="Times New Roman"/>
                <w:spacing w:val="-1"/>
                <w:sz w:val="22"/>
                <w:szCs w:val="22"/>
                <w:lang w:val="ro-MD"/>
              </w:rPr>
            </w:pPr>
            <w:r>
              <w:rPr>
                <w:spacing w:val="-1"/>
                <w:sz w:val="22"/>
                <w:szCs w:val="22"/>
                <w:lang w:val="ro-MD"/>
              </w:rPr>
            </w:r>
          </w:p>
        </w:tc>
      </w:tr>
      <w:tr>
        <w:trPr/>
        <w:tc>
          <w:tcPr>
            <w:tcW w:w="5878"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bidi w:val="0"/>
              <w:ind w:left="0" w:right="0" w:hanging="0"/>
              <w:jc w:val="left"/>
              <w:textAlignment w:val="auto"/>
              <w:rPr>
                <w:lang w:val="ro-MD"/>
              </w:rPr>
            </w:pPr>
            <w:r>
              <w:rPr>
                <w:rFonts w:cs="Times New Roman CE" w:ascii="Times New Roman CE" w:hAnsi="Times New Roman CE"/>
                <w:sz w:val="22"/>
                <w:szCs w:val="22"/>
                <w:lang w:val="ro-MD"/>
              </w:rPr>
              <w:t>Numărul de hotărîri pozitive obţinute</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bidi w:val="0"/>
              <w:ind w:left="0" w:right="0" w:hanging="0"/>
              <w:jc w:val="left"/>
              <w:textAlignment w:val="auto"/>
              <w:rPr>
                <w:rFonts w:ascii="Times New Roman" w:hAnsi="Times New Roman"/>
                <w:spacing w:val="-1"/>
                <w:sz w:val="22"/>
                <w:szCs w:val="22"/>
                <w:lang w:val="ro-MD"/>
              </w:rPr>
            </w:pPr>
            <w:r>
              <w:rPr>
                <w:spacing w:val="-1"/>
                <w:sz w:val="22"/>
                <w:szCs w:val="22"/>
                <w:lang w:val="ro-MD"/>
              </w:rPr>
            </w:r>
          </w:p>
        </w:tc>
      </w:tr>
      <w:tr>
        <w:trPr/>
        <w:tc>
          <w:tcPr>
            <w:tcW w:w="5878"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bidi w:val="0"/>
              <w:ind w:left="0" w:right="0" w:hanging="0"/>
              <w:jc w:val="left"/>
              <w:textAlignment w:val="auto"/>
              <w:rPr>
                <w:lang w:val="ro-MD"/>
              </w:rPr>
            </w:pPr>
            <w:r>
              <w:rPr>
                <w:rFonts w:cs="Times New Roman CE" w:ascii="Times New Roman CE" w:hAnsi="Times New Roman CE"/>
                <w:sz w:val="22"/>
                <w:szCs w:val="22"/>
                <w:lang w:val="ro-MD"/>
              </w:rPr>
              <w:t>Numărul de brevete obţinute</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bidi w:val="0"/>
              <w:ind w:left="0" w:right="0" w:hanging="0"/>
              <w:jc w:val="left"/>
              <w:textAlignment w:val="auto"/>
              <w:rPr>
                <w:rFonts w:ascii="Times New Roman" w:hAnsi="Times New Roman"/>
                <w:spacing w:val="-1"/>
                <w:sz w:val="22"/>
                <w:szCs w:val="22"/>
                <w:lang w:val="ro-MD"/>
              </w:rPr>
            </w:pPr>
            <w:r>
              <w:rPr>
                <w:spacing w:val="-1"/>
                <w:sz w:val="22"/>
                <w:szCs w:val="22"/>
                <w:lang w:val="ro-MD"/>
              </w:rPr>
            </w:r>
          </w:p>
        </w:tc>
      </w:tr>
      <w:tr>
        <w:trPr/>
        <w:tc>
          <w:tcPr>
            <w:tcW w:w="5878"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bidi w:val="0"/>
              <w:ind w:left="0" w:right="0" w:hanging="0"/>
              <w:jc w:val="left"/>
              <w:textAlignment w:val="auto"/>
              <w:rPr>
                <w:lang w:val="ro-MD"/>
              </w:rPr>
            </w:pPr>
            <w:r>
              <w:rPr>
                <w:rFonts w:cs="Times New Roman CE" w:ascii="Times New Roman CE" w:hAnsi="Times New Roman CE"/>
                <w:sz w:val="22"/>
                <w:szCs w:val="22"/>
                <w:lang w:val="ro-MD"/>
              </w:rPr>
              <w:t>Numărul de brevete implementate</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bidi w:val="0"/>
              <w:ind w:left="0" w:right="0" w:hanging="0"/>
              <w:jc w:val="left"/>
              <w:textAlignment w:val="auto"/>
              <w:rPr>
                <w:rFonts w:ascii="Times New Roman" w:hAnsi="Times New Roman"/>
                <w:spacing w:val="-1"/>
                <w:sz w:val="22"/>
                <w:szCs w:val="22"/>
                <w:lang w:val="ro-MD"/>
              </w:rPr>
            </w:pPr>
            <w:r>
              <w:rPr>
                <w:spacing w:val="-1"/>
                <w:sz w:val="22"/>
                <w:szCs w:val="22"/>
                <w:lang w:val="ro-MD"/>
              </w:rPr>
            </w:r>
          </w:p>
        </w:tc>
      </w:tr>
    </w:tbl>
    <w:p>
      <w:pPr>
        <w:pStyle w:val="Normal"/>
        <w:widowControl w:val="false"/>
        <w:numPr>
          <w:ilvl w:val="0"/>
          <w:numId w:val="2"/>
        </w:numPr>
        <w:shd w:fill="FFFFFF"/>
        <w:tabs>
          <w:tab w:val="left" w:pos="180" w:leader="none"/>
        </w:tabs>
        <w:bidi w:val="0"/>
        <w:spacing w:before="120" w:after="0"/>
        <w:ind w:left="180" w:right="0" w:hanging="0"/>
        <w:jc w:val="left"/>
        <w:textAlignment w:val="auto"/>
        <w:rPr>
          <w:lang w:val="ro-MD"/>
        </w:rPr>
      </w:pPr>
      <w:r>
        <w:rPr>
          <w:rFonts w:cs="Times New Roman CE" w:ascii="Times New Roman CE" w:hAnsi="Times New Roman CE"/>
          <w:i/>
          <w:sz w:val="22"/>
          <w:szCs w:val="22"/>
          <w:lang w:val="ro-MD"/>
        </w:rPr>
        <w:t>Rezultatele ştiinţifice obţinute în anul de referinţă ( până la 100 cuvinte)</w:t>
      </w:r>
    </w:p>
    <w:tbl>
      <w:tblPr>
        <w:tblW w:w="10029" w:type="dxa"/>
        <w:jc w:val="left"/>
        <w:tblInd w:w="540" w:type="dxa"/>
        <w:tblBorders>
          <w:top w:val="dashed" w:sz="4" w:space="0" w:color="000001"/>
          <w:left w:val="dashed" w:sz="4" w:space="0" w:color="000001"/>
          <w:bottom w:val="dashed" w:sz="4" w:space="0" w:color="000001"/>
          <w:right w:val="dashed" w:sz="4" w:space="0" w:color="000001"/>
          <w:insideH w:val="dashed" w:sz="4" w:space="0" w:color="000001"/>
          <w:insideV w:val="dashed" w:sz="4" w:space="0" w:color="000001"/>
        </w:tblBorders>
        <w:tblCellMar>
          <w:top w:w="0" w:type="dxa"/>
          <w:left w:w="103" w:type="dxa"/>
          <w:bottom w:w="0" w:type="dxa"/>
          <w:right w:w="108" w:type="dxa"/>
        </w:tblCellMar>
      </w:tblPr>
      <w:tblGrid>
        <w:gridCol w:w="10029"/>
      </w:tblGrid>
      <w:tr>
        <w:trPr>
          <w:trHeight w:val="381" w:hRule="atLeast"/>
        </w:trPr>
        <w:tc>
          <w:tcPr>
            <w:tcW w:w="10029"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bidi w:val="0"/>
              <w:ind w:left="0" w:right="0" w:hanging="0"/>
              <w:jc w:val="left"/>
              <w:textAlignment w:val="auto"/>
              <w:rPr>
                <w:lang w:val="fr-FR"/>
              </w:rPr>
            </w:pPr>
            <w:r>
              <w:rPr>
                <w:lang w:val="fr-FR"/>
              </w:rPr>
              <w:t>A</w:t>
            </w:r>
            <w:r>
              <w:rPr>
                <w:lang w:val="ro-RO"/>
              </w:rPr>
              <w:t>u fost studiate diferite inelele radicale  ale с</w:t>
            </w:r>
            <w:r>
              <w:rPr>
                <w:rFonts w:cs="Times New Roman CE" w:ascii="Times New Roman CE" w:hAnsi="Times New Roman CE"/>
                <w:lang w:val="ro-RO"/>
              </w:rPr>
              <w:t>âmpului numerelor raţionale.</w:t>
            </w:r>
          </w:p>
        </w:tc>
      </w:tr>
    </w:tbl>
    <w:p>
      <w:pPr>
        <w:pStyle w:val="Normal"/>
        <w:widowControl w:val="false"/>
        <w:numPr>
          <w:ilvl w:val="0"/>
          <w:numId w:val="2"/>
        </w:numPr>
        <w:shd w:fill="FFFFFF"/>
        <w:tabs>
          <w:tab w:val="left" w:pos="180" w:leader="none"/>
        </w:tabs>
        <w:bidi w:val="0"/>
        <w:spacing w:before="120" w:after="0"/>
        <w:ind w:left="180" w:right="0" w:hanging="0"/>
        <w:jc w:val="left"/>
        <w:textAlignment w:val="auto"/>
        <w:rPr>
          <w:lang w:val="ro-MD"/>
        </w:rPr>
      </w:pPr>
      <w:r>
        <w:rPr>
          <w:rFonts w:cs="Times New Roman CE" w:ascii="Times New Roman CE" w:hAnsi="Times New Roman CE"/>
          <w:i/>
          <w:iCs/>
          <w:spacing w:val="4"/>
          <w:sz w:val="22"/>
          <w:szCs w:val="22"/>
          <w:lang w:val="ro-MD"/>
        </w:rPr>
        <w:t>Activitatea didactică</w:t>
      </w:r>
    </w:p>
    <w:tbl>
      <w:tblPr>
        <w:tblW w:w="9923" w:type="dxa"/>
        <w:jc w:val="left"/>
        <w:tblInd w:w="284" w:type="dxa"/>
        <w:tblBorders>
          <w:top w:val="dashed" w:sz="4" w:space="0" w:color="999999"/>
          <w:left w:val="dashed" w:sz="4" w:space="0" w:color="999999"/>
          <w:bottom w:val="dashed" w:sz="4" w:space="0" w:color="999999"/>
          <w:right w:val="dashed" w:sz="4" w:space="0" w:color="999999"/>
          <w:insideH w:val="dashed" w:sz="4" w:space="0" w:color="999999"/>
          <w:insideV w:val="dashed" w:sz="4" w:space="0" w:color="999999"/>
        </w:tblBorders>
        <w:tblCellMar>
          <w:top w:w="0" w:type="dxa"/>
          <w:left w:w="103" w:type="dxa"/>
          <w:bottom w:w="0" w:type="dxa"/>
          <w:right w:w="108" w:type="dxa"/>
        </w:tblCellMar>
      </w:tblPr>
      <w:tblGrid>
        <w:gridCol w:w="8222"/>
        <w:gridCol w:w="1700"/>
      </w:tblGrid>
      <w:tr>
        <w:trPr/>
        <w:tc>
          <w:tcPr>
            <w:tcW w:w="8222" w:type="dxa"/>
            <w:tcBorders>
              <w:top w:val="dashed" w:sz="4" w:space="0" w:color="999999"/>
              <w:left w:val="dashed" w:sz="4" w:space="0" w:color="999999"/>
              <w:bottom w:val="dashed" w:sz="4" w:space="0" w:color="999999"/>
              <w:right w:val="dashed" w:sz="4" w:space="0" w:color="999999"/>
              <w:insideH w:val="dashed" w:sz="4" w:space="0" w:color="999999"/>
              <w:insideV w:val="dashed" w:sz="4" w:space="0" w:color="999999"/>
            </w:tcBorders>
            <w:shd w:fill="auto" w:val="clear"/>
            <w:tcMar>
              <w:left w:w="103" w:type="dxa"/>
            </w:tcMar>
          </w:tcPr>
          <w:p>
            <w:pPr>
              <w:pStyle w:val="Normal"/>
              <w:widowControl/>
              <w:shd w:fill="FFFFFF"/>
              <w:tabs>
                <w:tab w:val="left" w:pos="709" w:leader="none"/>
                <w:tab w:val="left" w:pos="1134" w:leader="none"/>
              </w:tabs>
              <w:bidi w:val="0"/>
              <w:spacing w:lineRule="exact" w:line="271" w:before="2" w:after="0"/>
              <w:ind w:left="0" w:right="0" w:hanging="0"/>
              <w:jc w:val="left"/>
              <w:textAlignment w:val="auto"/>
              <w:rPr>
                <w:lang w:val="ro-MD"/>
              </w:rPr>
            </w:pPr>
            <w:r>
              <w:rPr>
                <w:rFonts w:cs="Times New Roman CE" w:ascii="Times New Roman CE" w:hAnsi="Times New Roman CE"/>
                <w:sz w:val="22"/>
                <w:szCs w:val="22"/>
                <w:lang w:val="ro-MD"/>
              </w:rPr>
              <w:t>Numărul</w:t>
            </w:r>
            <w:r>
              <w:rPr>
                <w:rFonts w:cs="Times New Roman CE" w:ascii="Times New Roman CE" w:hAnsi="Times New Roman CE"/>
                <w:spacing w:val="-2"/>
                <w:sz w:val="22"/>
                <w:szCs w:val="22"/>
                <w:lang w:val="ro-MD"/>
              </w:rPr>
              <w:t xml:space="preserve"> cursurilor ţinute</w:t>
            </w:r>
            <w:r>
              <w:rPr>
                <w:spacing w:val="-2"/>
                <w:sz w:val="22"/>
                <w:szCs w:val="22"/>
                <w:lang w:val="ro-MD"/>
              </w:rPr>
              <w:t xml:space="preserve">                                                                                         </w:t>
            </w:r>
          </w:p>
        </w:tc>
        <w:tc>
          <w:tcPr>
            <w:tcW w:w="1700" w:type="dxa"/>
            <w:tcBorders>
              <w:top w:val="dashed" w:sz="4" w:space="0" w:color="999999"/>
              <w:left w:val="dashed" w:sz="4" w:space="0" w:color="999999"/>
              <w:bottom w:val="dashed" w:sz="4" w:space="0" w:color="999999"/>
              <w:right w:val="dashed" w:sz="4" w:space="0" w:color="999999"/>
              <w:insideH w:val="dashed" w:sz="4" w:space="0" w:color="999999"/>
              <w:insideV w:val="dashed" w:sz="4" w:space="0" w:color="999999"/>
            </w:tcBorders>
            <w:shd w:fill="auto" w:val="clear"/>
            <w:tcMar>
              <w:left w:w="103" w:type="dxa"/>
            </w:tcMar>
          </w:tcPr>
          <w:p>
            <w:pPr>
              <w:pStyle w:val="Normal"/>
              <w:widowControl/>
              <w:shd w:fill="FFFFFF"/>
              <w:tabs>
                <w:tab w:val="left" w:pos="709" w:leader="none"/>
                <w:tab w:val="left" w:pos="1134" w:leader="none"/>
              </w:tabs>
              <w:bidi w:val="0"/>
              <w:ind w:left="0" w:right="0" w:hanging="0"/>
              <w:jc w:val="center"/>
              <w:textAlignment w:val="auto"/>
              <w:rPr>
                <w:lang w:val="en-US"/>
              </w:rPr>
            </w:pPr>
            <w:r>
              <w:rPr>
                <w:spacing w:val="-1"/>
                <w:sz w:val="22"/>
                <w:szCs w:val="22"/>
                <w:lang w:val="en-US"/>
              </w:rPr>
              <w:t>2</w:t>
            </w:r>
          </w:p>
        </w:tc>
      </w:tr>
      <w:tr>
        <w:trPr/>
        <w:tc>
          <w:tcPr>
            <w:tcW w:w="8222" w:type="dxa"/>
            <w:tcBorders>
              <w:top w:val="dashed" w:sz="4" w:space="0" w:color="999999"/>
              <w:left w:val="dashed" w:sz="4" w:space="0" w:color="999999"/>
              <w:bottom w:val="dashed" w:sz="4" w:space="0" w:color="999999"/>
              <w:right w:val="dashed" w:sz="4" w:space="0" w:color="999999"/>
              <w:insideH w:val="dashed" w:sz="4" w:space="0" w:color="999999"/>
              <w:insideV w:val="dashed" w:sz="4" w:space="0" w:color="999999"/>
            </w:tcBorders>
            <w:shd w:fill="auto" w:val="clear"/>
            <w:tcMar>
              <w:left w:w="103" w:type="dxa"/>
            </w:tcMar>
          </w:tcPr>
          <w:p>
            <w:pPr>
              <w:pStyle w:val="Normal"/>
              <w:widowControl/>
              <w:shd w:fill="FFFFFF"/>
              <w:tabs>
                <w:tab w:val="left" w:pos="709" w:leader="none"/>
                <w:tab w:val="left" w:pos="1134" w:leader="none"/>
              </w:tabs>
              <w:bidi w:val="0"/>
              <w:spacing w:lineRule="exact" w:line="271" w:before="2" w:after="0"/>
              <w:ind w:left="0" w:right="0" w:hanging="0"/>
              <w:jc w:val="left"/>
              <w:textAlignment w:val="auto"/>
              <w:rPr>
                <w:lang w:val="ro-MD"/>
              </w:rPr>
            </w:pPr>
            <w:r>
              <w:rPr>
                <w:rFonts w:cs="Times New Roman CE" w:ascii="Times New Roman CE" w:hAnsi="Times New Roman CE"/>
                <w:sz w:val="22"/>
                <w:szCs w:val="22"/>
                <w:lang w:val="ro-MD"/>
              </w:rPr>
              <w:t>Numărul total de persoane la care aţi fost conducător ştiinţific al tezei de doctorat</w:t>
            </w:r>
          </w:p>
        </w:tc>
        <w:tc>
          <w:tcPr>
            <w:tcW w:w="1700" w:type="dxa"/>
            <w:tcBorders>
              <w:top w:val="dashed" w:sz="4" w:space="0" w:color="999999"/>
              <w:left w:val="dashed" w:sz="4" w:space="0" w:color="999999"/>
              <w:bottom w:val="dashed" w:sz="4" w:space="0" w:color="999999"/>
              <w:right w:val="dashed" w:sz="4" w:space="0" w:color="999999"/>
              <w:insideH w:val="dashed" w:sz="4" w:space="0" w:color="999999"/>
              <w:insideV w:val="dashed" w:sz="4" w:space="0" w:color="999999"/>
            </w:tcBorders>
            <w:shd w:fill="auto" w:val="clear"/>
            <w:tcMar>
              <w:left w:w="103" w:type="dxa"/>
            </w:tcMar>
          </w:tcPr>
          <w:p>
            <w:pPr>
              <w:pStyle w:val="Normal"/>
              <w:widowControl/>
              <w:shd w:fill="FFFFFF"/>
              <w:tabs>
                <w:tab w:val="left" w:pos="709" w:leader="none"/>
                <w:tab w:val="left" w:pos="1134" w:leader="none"/>
              </w:tabs>
              <w:bidi w:val="0"/>
              <w:spacing w:lineRule="exact" w:line="271" w:before="2" w:after="0"/>
              <w:ind w:left="0" w:right="0" w:hanging="0"/>
              <w:jc w:val="left"/>
              <w:textAlignment w:val="auto"/>
              <w:rPr>
                <w:rFonts w:ascii="Times New Roman" w:hAnsi="Times New Roman"/>
                <w:spacing w:val="-1"/>
                <w:sz w:val="22"/>
                <w:szCs w:val="22"/>
                <w:lang w:val="ro-MD"/>
              </w:rPr>
            </w:pPr>
            <w:r>
              <w:rPr>
                <w:spacing w:val="-1"/>
                <w:sz w:val="22"/>
                <w:szCs w:val="22"/>
                <w:lang w:val="ro-MD"/>
              </w:rPr>
            </w:r>
          </w:p>
        </w:tc>
      </w:tr>
      <w:tr>
        <w:trPr/>
        <w:tc>
          <w:tcPr>
            <w:tcW w:w="8222" w:type="dxa"/>
            <w:tcBorders>
              <w:top w:val="dashed" w:sz="4" w:space="0" w:color="999999"/>
              <w:left w:val="dashed" w:sz="4" w:space="0" w:color="999999"/>
              <w:bottom w:val="dashed" w:sz="4" w:space="0" w:color="999999"/>
              <w:right w:val="dashed" w:sz="4" w:space="0" w:color="999999"/>
              <w:insideH w:val="dashed" w:sz="4" w:space="0" w:color="999999"/>
              <w:insideV w:val="dashed" w:sz="4" w:space="0" w:color="999999"/>
            </w:tcBorders>
            <w:shd w:fill="auto" w:val="clear"/>
            <w:tcMar>
              <w:left w:w="103" w:type="dxa"/>
            </w:tcMar>
          </w:tcPr>
          <w:p>
            <w:pPr>
              <w:pStyle w:val="Normal"/>
              <w:widowControl/>
              <w:shd w:fill="FFFFFF"/>
              <w:tabs>
                <w:tab w:val="left" w:pos="709" w:leader="none"/>
                <w:tab w:val="left" w:pos="1134" w:leader="none"/>
              </w:tabs>
              <w:bidi w:val="0"/>
              <w:spacing w:lineRule="exact" w:line="271" w:before="2" w:after="0"/>
              <w:ind w:left="0" w:right="0" w:hanging="0"/>
              <w:jc w:val="left"/>
              <w:textAlignment w:val="auto"/>
              <w:rPr>
                <w:lang w:val="ro-MD"/>
              </w:rPr>
            </w:pPr>
            <w:r>
              <w:rPr>
                <w:rFonts w:cs="Times New Roman CE" w:ascii="Times New Roman CE" w:hAnsi="Times New Roman CE"/>
                <w:sz w:val="22"/>
                <w:szCs w:val="22"/>
                <w:lang w:val="ro-MD"/>
              </w:rPr>
              <w:t xml:space="preserve">Numărul persoanelor la care aţi fost conducător ştiinţific şi care au susţinut teza </w:t>
            </w:r>
          </w:p>
        </w:tc>
        <w:tc>
          <w:tcPr>
            <w:tcW w:w="1700" w:type="dxa"/>
            <w:tcBorders>
              <w:top w:val="dashed" w:sz="4" w:space="0" w:color="999999"/>
              <w:left w:val="dashed" w:sz="4" w:space="0" w:color="999999"/>
              <w:bottom w:val="dashed" w:sz="4" w:space="0" w:color="999999"/>
              <w:right w:val="dashed" w:sz="4" w:space="0" w:color="999999"/>
              <w:insideH w:val="dashed" w:sz="4" w:space="0" w:color="999999"/>
              <w:insideV w:val="dashed" w:sz="4" w:space="0" w:color="999999"/>
            </w:tcBorders>
            <w:shd w:fill="auto" w:val="clear"/>
            <w:tcMar>
              <w:left w:w="103" w:type="dxa"/>
            </w:tcMar>
          </w:tcPr>
          <w:p>
            <w:pPr>
              <w:pStyle w:val="Normal"/>
              <w:widowControl/>
              <w:shd w:fill="FFFFFF"/>
              <w:tabs>
                <w:tab w:val="left" w:pos="709" w:leader="none"/>
                <w:tab w:val="left" w:pos="1134" w:leader="none"/>
              </w:tabs>
              <w:bidi w:val="0"/>
              <w:spacing w:lineRule="exact" w:line="271" w:before="2" w:after="0"/>
              <w:ind w:left="0" w:right="0" w:hanging="0"/>
              <w:jc w:val="left"/>
              <w:textAlignment w:val="auto"/>
              <w:rPr>
                <w:rFonts w:ascii="Times New Roman" w:hAnsi="Times New Roman"/>
                <w:spacing w:val="-1"/>
                <w:sz w:val="22"/>
                <w:szCs w:val="22"/>
                <w:lang w:val="ro-MD"/>
              </w:rPr>
            </w:pPr>
            <w:r>
              <w:rPr>
                <w:spacing w:val="-1"/>
                <w:sz w:val="22"/>
                <w:szCs w:val="22"/>
                <w:lang w:val="ro-MD"/>
              </w:rPr>
            </w:r>
          </w:p>
        </w:tc>
      </w:tr>
      <w:tr>
        <w:trPr/>
        <w:tc>
          <w:tcPr>
            <w:tcW w:w="8222" w:type="dxa"/>
            <w:tcBorders>
              <w:top w:val="dashed" w:sz="4" w:space="0" w:color="999999"/>
              <w:left w:val="dashed" w:sz="4" w:space="0" w:color="999999"/>
              <w:bottom w:val="dashed" w:sz="4" w:space="0" w:color="999999"/>
              <w:right w:val="dashed" w:sz="4" w:space="0" w:color="999999"/>
              <w:insideH w:val="dashed" w:sz="4" w:space="0" w:color="999999"/>
              <w:insideV w:val="dashed" w:sz="4" w:space="0" w:color="999999"/>
            </w:tcBorders>
            <w:shd w:fill="auto" w:val="clear"/>
            <w:tcMar>
              <w:left w:w="103" w:type="dxa"/>
            </w:tcMar>
          </w:tcPr>
          <w:p>
            <w:pPr>
              <w:pStyle w:val="Normal"/>
              <w:widowControl/>
              <w:shd w:fill="FFFFFF"/>
              <w:tabs>
                <w:tab w:val="left" w:pos="709" w:leader="none"/>
                <w:tab w:val="left" w:pos="1134" w:leader="none"/>
              </w:tabs>
              <w:bidi w:val="0"/>
              <w:spacing w:lineRule="exact" w:line="271" w:before="2" w:after="0"/>
              <w:ind w:left="0" w:right="0" w:hanging="0"/>
              <w:jc w:val="left"/>
              <w:textAlignment w:val="auto"/>
              <w:rPr>
                <w:lang w:val="ro-MD"/>
              </w:rPr>
            </w:pPr>
            <w:r>
              <w:rPr>
                <w:rFonts w:cs="Times New Roman CE" w:ascii="Times New Roman CE" w:hAnsi="Times New Roman CE"/>
                <w:sz w:val="22"/>
                <w:szCs w:val="22"/>
                <w:lang w:val="ro-MD"/>
              </w:rPr>
              <w:t>Numărul</w:t>
            </w:r>
            <w:r>
              <w:rPr>
                <w:spacing w:val="-1"/>
                <w:sz w:val="22"/>
                <w:szCs w:val="22"/>
                <w:lang w:val="ro-MD"/>
              </w:rPr>
              <w:t xml:space="preserve"> manualelor, materialelor didactice editate</w:t>
            </w:r>
          </w:p>
        </w:tc>
        <w:tc>
          <w:tcPr>
            <w:tcW w:w="1700" w:type="dxa"/>
            <w:tcBorders>
              <w:top w:val="dashed" w:sz="4" w:space="0" w:color="999999"/>
              <w:left w:val="dashed" w:sz="4" w:space="0" w:color="999999"/>
              <w:bottom w:val="dashed" w:sz="4" w:space="0" w:color="999999"/>
              <w:right w:val="dashed" w:sz="4" w:space="0" w:color="999999"/>
              <w:insideH w:val="dashed" w:sz="4" w:space="0" w:color="999999"/>
              <w:insideV w:val="dashed" w:sz="4" w:space="0" w:color="999999"/>
            </w:tcBorders>
            <w:shd w:fill="auto" w:val="clear"/>
            <w:tcMar>
              <w:left w:w="103" w:type="dxa"/>
            </w:tcMar>
          </w:tcPr>
          <w:p>
            <w:pPr>
              <w:pStyle w:val="Normal"/>
              <w:widowControl/>
              <w:shd w:fill="FFFFFF"/>
              <w:tabs>
                <w:tab w:val="left" w:pos="709" w:leader="none"/>
                <w:tab w:val="left" w:pos="1134" w:leader="none"/>
              </w:tabs>
              <w:bidi w:val="0"/>
              <w:spacing w:lineRule="exact" w:line="271" w:before="2" w:after="0"/>
              <w:ind w:left="0" w:right="0" w:hanging="0"/>
              <w:jc w:val="left"/>
              <w:textAlignment w:val="auto"/>
              <w:rPr>
                <w:rFonts w:ascii="Times New Roman" w:hAnsi="Times New Roman"/>
                <w:spacing w:val="-1"/>
                <w:sz w:val="22"/>
                <w:szCs w:val="22"/>
                <w:lang w:val="ro-MD"/>
              </w:rPr>
            </w:pPr>
            <w:r>
              <w:rPr>
                <w:spacing w:val="-1"/>
                <w:sz w:val="22"/>
                <w:szCs w:val="22"/>
                <w:lang w:val="ro-MD"/>
              </w:rPr>
            </w:r>
          </w:p>
        </w:tc>
      </w:tr>
    </w:tbl>
    <w:p>
      <w:pPr>
        <w:pStyle w:val="Normal"/>
        <w:widowControl w:val="false"/>
        <w:numPr>
          <w:ilvl w:val="0"/>
          <w:numId w:val="2"/>
        </w:numPr>
        <w:shd w:fill="FFFFFF"/>
        <w:tabs>
          <w:tab w:val="left" w:pos="180" w:leader="none"/>
        </w:tabs>
        <w:bidi w:val="0"/>
        <w:spacing w:before="120" w:after="120"/>
        <w:ind w:left="180" w:right="0" w:hanging="0"/>
        <w:jc w:val="left"/>
        <w:textAlignment w:val="auto"/>
        <w:rPr>
          <w:lang w:val="ro-MD"/>
        </w:rPr>
      </w:pPr>
      <w:r>
        <w:rPr>
          <w:rFonts w:cs="Times New Roman CE" w:ascii="Times New Roman CE" w:hAnsi="Times New Roman CE"/>
          <w:i/>
          <w:iCs/>
          <w:w w:val="121"/>
          <w:sz w:val="22"/>
          <w:szCs w:val="22"/>
          <w:lang w:val="ro-MD"/>
        </w:rPr>
        <w:t>Activitatea managerială</w:t>
      </w:r>
    </w:p>
    <w:tbl>
      <w:tblPr>
        <w:tblW w:w="9488" w:type="dxa"/>
        <w:jc w:val="left"/>
        <w:tblInd w:w="284" w:type="dxa"/>
        <w:tblBorders>
          <w:top w:val="dashed" w:sz="4" w:space="0" w:color="999999"/>
          <w:left w:val="dashed" w:sz="4" w:space="0" w:color="999999"/>
          <w:bottom w:val="dashed" w:sz="4" w:space="0" w:color="999999"/>
          <w:right w:val="dashed" w:sz="4" w:space="0" w:color="999999"/>
          <w:insideH w:val="dashed" w:sz="4" w:space="0" w:color="999999"/>
          <w:insideV w:val="dashed" w:sz="4" w:space="0" w:color="999999"/>
        </w:tblBorders>
        <w:tblCellMar>
          <w:top w:w="0" w:type="dxa"/>
          <w:left w:w="103" w:type="dxa"/>
          <w:bottom w:w="0" w:type="dxa"/>
          <w:right w:w="108" w:type="dxa"/>
        </w:tblCellMar>
      </w:tblPr>
      <w:tblGrid>
        <w:gridCol w:w="9488"/>
      </w:tblGrid>
      <w:tr>
        <w:trPr/>
        <w:tc>
          <w:tcPr>
            <w:tcW w:w="9488" w:type="dxa"/>
            <w:tcBorders>
              <w:top w:val="dashed" w:sz="4" w:space="0" w:color="999999"/>
              <w:left w:val="dashed" w:sz="4" w:space="0" w:color="999999"/>
              <w:bottom w:val="dashed" w:sz="4" w:space="0" w:color="999999"/>
              <w:right w:val="dashed" w:sz="4" w:space="0" w:color="999999"/>
              <w:insideH w:val="dashed" w:sz="4" w:space="0" w:color="999999"/>
              <w:insideV w:val="dashed" w:sz="4" w:space="0" w:color="999999"/>
            </w:tcBorders>
            <w:shd w:fill="auto" w:val="clear"/>
            <w:tcMar>
              <w:left w:w="103" w:type="dxa"/>
            </w:tcMar>
          </w:tcPr>
          <w:p>
            <w:pPr>
              <w:pStyle w:val="Normal"/>
              <w:widowControl/>
              <w:shd w:fill="FFFFFF"/>
              <w:tabs>
                <w:tab w:val="left" w:pos="709" w:leader="none"/>
                <w:tab w:val="left" w:pos="1134" w:leader="none"/>
              </w:tabs>
              <w:bidi w:val="0"/>
              <w:spacing w:lineRule="exact" w:line="271" w:before="2" w:after="0"/>
              <w:ind w:left="0" w:right="0" w:hanging="0"/>
              <w:jc w:val="left"/>
              <w:textAlignment w:val="auto"/>
              <w:rPr>
                <w:lang w:val="ro-MD"/>
              </w:rPr>
            </w:pPr>
            <w:r>
              <w:rPr>
                <w:rFonts w:cs="Times New Roman CE" w:ascii="Times New Roman CE" w:hAnsi="Times New Roman CE"/>
                <w:spacing w:val="4"/>
                <w:sz w:val="22"/>
                <w:lang w:val="ro-MD"/>
              </w:rPr>
              <w:t>Şeful catedrei de algebră, Universitatea din Tiraspol</w:t>
            </w:r>
          </w:p>
        </w:tc>
      </w:tr>
    </w:tbl>
    <w:p>
      <w:pPr>
        <w:pStyle w:val="Normal"/>
        <w:widowControl w:val="false"/>
        <w:shd w:fill="FFFFFF"/>
        <w:bidi w:val="0"/>
        <w:ind w:left="0" w:right="0" w:hanging="0"/>
        <w:jc w:val="left"/>
        <w:textAlignment w:val="auto"/>
        <w:rPr>
          <w:lang w:val="ro-MD"/>
        </w:rPr>
      </w:pPr>
      <w:r>
        <w:rPr>
          <w:rFonts w:cs="Times New Roman CE" w:ascii="Times New Roman CE" w:hAnsi="Times New Roman CE"/>
          <w:bCs/>
          <w:i/>
          <w:iCs/>
          <w:spacing w:val="2"/>
          <w:sz w:val="22"/>
          <w:szCs w:val="22"/>
          <w:lang w:val="ro-MD"/>
        </w:rPr>
        <w:t xml:space="preserve">Informaţii </w:t>
      </w:r>
      <w:r>
        <w:rPr>
          <w:i/>
          <w:iCs/>
          <w:spacing w:val="2"/>
          <w:sz w:val="22"/>
          <w:szCs w:val="22"/>
          <w:lang w:val="ro-MD"/>
        </w:rPr>
        <w:t>generale</w:t>
      </w:r>
      <w:r>
        <w:rPr>
          <w:spacing w:val="-1"/>
          <w:sz w:val="22"/>
          <w:szCs w:val="22"/>
          <w:lang w:val="ro-MD"/>
        </w:rPr>
        <w:t xml:space="preserve"> </w:t>
      </w:r>
    </w:p>
    <w:p>
      <w:pPr>
        <w:pStyle w:val="Normal"/>
        <w:widowControl w:val="false"/>
        <w:shd w:fill="FFFFFF"/>
        <w:bidi w:val="0"/>
        <w:ind w:left="0" w:right="0" w:hanging="0"/>
        <w:jc w:val="left"/>
        <w:textAlignment w:val="auto"/>
        <w:rPr>
          <w:lang w:val="ro-MD"/>
        </w:rPr>
      </w:pPr>
      <w:r>
        <w:rPr>
          <w:spacing w:val="4"/>
          <w:sz w:val="22"/>
          <w:lang w:val="ro-MD"/>
        </w:rPr>
        <w:t>Membru al Consil</w:t>
      </w:r>
      <w:r>
        <w:rPr>
          <w:rFonts w:cs="Times New Roman CE" w:ascii="Times New Roman CE" w:hAnsi="Times New Roman CE"/>
          <w:spacing w:val="4"/>
          <w:sz w:val="22"/>
          <w:lang w:val="ro-MD"/>
        </w:rPr>
        <w:t xml:space="preserve">iului ştiinţific al I.M.I. A.Ş.M.; Membru al Colegiului de redacţie al revistei Bul. A.Ş.M., Seria Matematică; </w:t>
      </w:r>
      <w:r>
        <w:rPr>
          <w:rFonts w:cs="Times New Roman CE" w:ascii="Times New Roman CE" w:hAnsi="Times New Roman CE"/>
          <w:spacing w:val="4"/>
          <w:sz w:val="22"/>
          <w:lang w:val="ro-RO"/>
        </w:rPr>
        <w:t>Membru  al Societăţii de Matematică a Moldovei; Membru  al Societăţii de Matematică „Constantin Sibirskii”; Şef al Laboratorului  Algebră şi Aplicaţiile ei (Univ. Transnistria)</w:t>
      </w:r>
    </w:p>
    <w:p>
      <w:pPr>
        <w:pStyle w:val="Normal"/>
        <w:widowControl w:val="false"/>
        <w:shd w:fill="FFFFFF"/>
        <w:bidi w:val="0"/>
        <w:ind w:left="0" w:right="0" w:hanging="0"/>
        <w:jc w:val="left"/>
        <w:textAlignment w:val="auto"/>
        <w:rPr>
          <w:lang w:val="ro-MD"/>
        </w:rPr>
      </w:pPr>
      <w:r>
        <w:rPr>
          <w:rFonts w:cs="Times New Roman CE" w:ascii="Times New Roman CE" w:hAnsi="Times New Roman CE"/>
          <w:i/>
          <w:sz w:val="22"/>
          <w:szCs w:val="22"/>
          <w:lang w:val="ro-MD"/>
        </w:rPr>
        <w:t>Alte activităţi</w:t>
      </w:r>
    </w:p>
    <w:p>
      <w:pPr>
        <w:pStyle w:val="Normal"/>
        <w:widowControl w:val="false"/>
        <w:shd w:fill="FFFFFF"/>
        <w:bidi w:val="0"/>
        <w:ind w:left="0" w:right="0" w:hanging="0"/>
        <w:jc w:val="left"/>
        <w:textAlignment w:val="auto"/>
        <w:rPr>
          <w:lang w:val="ro-RO"/>
        </w:rPr>
      </w:pPr>
      <w:r>
        <w:rPr>
          <w:rFonts w:cs="Times New Roman CE" w:ascii="Times New Roman CE" w:hAnsi="Times New Roman CE"/>
          <w:spacing w:val="4"/>
          <w:sz w:val="22"/>
          <w:lang w:val="ro-RO"/>
        </w:rPr>
        <w:t xml:space="preserve">Preşedinte al consiliului specializat </w:t>
      </w:r>
      <w:r>
        <w:rPr>
          <w:spacing w:val="4"/>
          <w:sz w:val="22"/>
          <w:lang w:val="ro-RO"/>
        </w:rPr>
        <w:t xml:space="preserve">de </w:t>
      </w:r>
      <w:r>
        <w:rPr>
          <w:rFonts w:cs="Times New Roman CE" w:ascii="Times New Roman CE" w:hAnsi="Times New Roman CE"/>
          <w:spacing w:val="4"/>
          <w:sz w:val="22"/>
          <w:lang w:val="ro-RO"/>
        </w:rPr>
        <w:t xml:space="preserve">susţinere a tezelor de doctor şi doctor habilitat la specialitatea </w:t>
      </w:r>
      <w:r>
        <w:rPr>
          <w:spacing w:val="4"/>
          <w:sz w:val="22"/>
          <w:lang w:val="ro-RO"/>
        </w:rPr>
        <w:t>111.03</w:t>
      </w:r>
      <w:r>
        <w:rPr>
          <w:rFonts w:cs="Times New Roman CE" w:ascii="Times New Roman CE" w:hAnsi="Times New Roman CE"/>
          <w:spacing w:val="4"/>
          <w:sz w:val="22"/>
          <w:lang w:val="ro-RO"/>
        </w:rPr>
        <w:t xml:space="preserve"> – Logica matematică, algebra şi teoria numerelor.</w:t>
      </w:r>
    </w:p>
    <w:p>
      <w:pPr>
        <w:pStyle w:val="Normal"/>
        <w:widowControl w:val="false"/>
        <w:shd w:fill="FFFFFF"/>
        <w:bidi w:val="0"/>
        <w:spacing w:lineRule="auto" w:line="360"/>
        <w:ind w:left="0" w:right="0" w:hanging="0"/>
        <w:jc w:val="left"/>
        <w:textAlignment w:val="auto"/>
        <w:rPr>
          <w:lang w:val="ro-RO"/>
        </w:rPr>
      </w:pPr>
      <w:r>
        <w:rPr>
          <w:rFonts w:cs="Times New Roman CE" w:ascii="Times New Roman CE" w:hAnsi="Times New Roman CE"/>
          <w:spacing w:val="4"/>
          <w:sz w:val="22"/>
          <w:lang w:val="ro-RO"/>
        </w:rPr>
        <w:t>Profesor universitar, universitatea „T. Şev</w:t>
      </w:r>
      <w:r>
        <w:rPr>
          <w:spacing w:val="4"/>
          <w:sz w:val="22"/>
          <w:lang w:val="ro-RO"/>
        </w:rPr>
        <w:t>cenco” din Tiraspol.</w:t>
      </w:r>
    </w:p>
    <w:p>
      <w:pPr>
        <w:pStyle w:val="Normal"/>
        <w:widowControl w:val="false"/>
        <w:shd w:fill="FFFFFF"/>
        <w:bidi w:val="0"/>
        <w:ind w:left="180" w:right="0" w:hanging="0"/>
        <w:jc w:val="left"/>
        <w:textAlignment w:val="auto"/>
        <w:rPr>
          <w:lang w:val="ro-RO"/>
        </w:rPr>
      </w:pPr>
      <w:r>
        <w:rPr>
          <w:rFonts w:cs="Times New Roman CE" w:ascii="Times New Roman CE" w:hAnsi="Times New Roman CE"/>
          <w:b/>
          <w:i/>
          <w:sz w:val="22"/>
          <w:szCs w:val="22"/>
          <w:lang w:val="ro-RO"/>
        </w:rPr>
        <w:t>Semnătura</w:t>
      </w:r>
      <w:r>
        <w:rPr>
          <w:b/>
          <w:i/>
          <w:sz w:val="22"/>
          <w:szCs w:val="22"/>
          <w:lang w:val="ro-RO"/>
        </w:rPr>
        <w:t xml:space="preserve"> </w:t>
        <w:tab/>
        <w:tab/>
        <w:tab/>
        <w:tab/>
        <w:tab/>
        <w:tab/>
        <w:tab/>
        <w:tab/>
      </w:r>
      <w:r>
        <w:rPr>
          <w:b/>
          <w:i/>
          <w:spacing w:val="-1"/>
          <w:sz w:val="22"/>
          <w:szCs w:val="22"/>
          <w:lang w:val="ro-MD"/>
        </w:rPr>
        <w:t>REABUHIN Iurii</w:t>
      </w:r>
    </w:p>
    <w:p>
      <w:pPr>
        <w:pStyle w:val="2"/>
        <w:keepNext/>
        <w:widowControl/>
        <w:numPr>
          <w:ilvl w:val="0"/>
          <w:numId w:val="0"/>
        </w:numPr>
        <w:bidi w:val="0"/>
        <w:ind w:left="0" w:right="0" w:hanging="0"/>
        <w:jc w:val="left"/>
        <w:textAlignment w:val="auto"/>
        <w:outlineLvl w:val="1"/>
        <w:rPr>
          <w:lang w:val="ro-MD"/>
        </w:rPr>
      </w:pPr>
      <w:r>
        <w:rPr>
          <w:lang w:val="ro-MD"/>
        </w:rPr>
      </w:r>
      <w:r>
        <w:br w:type="page"/>
      </w:r>
    </w:p>
    <w:p>
      <w:pPr>
        <w:pStyle w:val="2"/>
        <w:keepNext/>
        <w:widowControl/>
        <w:numPr>
          <w:ilvl w:val="0"/>
          <w:numId w:val="0"/>
        </w:numPr>
        <w:bidi w:val="0"/>
        <w:ind w:left="0" w:right="0" w:hanging="0"/>
        <w:jc w:val="left"/>
        <w:textAlignment w:val="auto"/>
        <w:outlineLvl w:val="1"/>
        <w:rPr/>
      </w:pPr>
      <w:bookmarkStart w:id="85" w:name="_Toc469651890"/>
      <w:bookmarkEnd w:id="85"/>
      <w:r>
        <w:rPr>
          <w:i/>
          <w:sz w:val="26"/>
          <w:szCs w:val="26"/>
        </w:rPr>
        <w:t>Academicianul ARNAUTOV Vladimir</w:t>
      </w:r>
    </w:p>
    <w:p>
      <w:pPr>
        <w:pStyle w:val="Normal"/>
        <w:widowControl/>
        <w:shd w:fill="FFFFFF"/>
        <w:bidi w:val="0"/>
        <w:spacing w:lineRule="exact" w:line="266"/>
        <w:ind w:left="180" w:right="0" w:hanging="0"/>
        <w:jc w:val="center"/>
        <w:textAlignment w:val="auto"/>
        <w:rPr>
          <w:lang w:val="ro-MD"/>
        </w:rPr>
      </w:pPr>
      <w:r>
        <w:rPr>
          <w:rFonts w:cs="Times New Roman CE" w:ascii="Times New Roman CE" w:hAnsi="Times New Roman CE"/>
          <w:spacing w:val="40"/>
          <w:sz w:val="22"/>
          <w:szCs w:val="22"/>
          <w:lang w:val="ro-MD"/>
        </w:rPr>
        <w:t>FIŞA</w:t>
      </w:r>
    </w:p>
    <w:p>
      <w:pPr>
        <w:pStyle w:val="Normal"/>
        <w:widowControl/>
        <w:shd w:fill="FFFFFF"/>
        <w:bidi w:val="0"/>
        <w:spacing w:lineRule="exact" w:line="266"/>
        <w:ind w:left="180" w:right="58" w:hanging="0"/>
        <w:jc w:val="center"/>
        <w:textAlignment w:val="auto"/>
        <w:rPr>
          <w:lang w:val="ro-MD"/>
        </w:rPr>
      </w:pPr>
      <w:r>
        <w:rPr>
          <w:rFonts w:cs="Times New Roman CE" w:ascii="Times New Roman CE" w:hAnsi="Times New Roman CE"/>
          <w:sz w:val="22"/>
          <w:szCs w:val="22"/>
          <w:lang w:val="ro-MD"/>
        </w:rPr>
        <w:t>raportului de activitate în anul</w:t>
      </w:r>
      <w:r>
        <w:rPr>
          <w:spacing w:val="4"/>
          <w:sz w:val="22"/>
          <w:szCs w:val="22"/>
          <w:lang w:val="ro-MD"/>
        </w:rPr>
        <w:t xml:space="preserve"> </w:t>
      </w:r>
      <w:r>
        <w:rPr>
          <w:color w:val="000000"/>
          <w:spacing w:val="4"/>
          <w:sz w:val="22"/>
          <w:szCs w:val="22"/>
          <w:lang w:val="ro-MD"/>
        </w:rPr>
        <w:t>2016</w:t>
      </w:r>
    </w:p>
    <w:p>
      <w:pPr>
        <w:pStyle w:val="Normal"/>
        <w:widowControl/>
        <w:shd w:fill="FFFFFF"/>
        <w:bidi w:val="0"/>
        <w:spacing w:lineRule="exact" w:line="266"/>
        <w:ind w:left="180" w:right="58" w:hanging="0"/>
        <w:jc w:val="left"/>
        <w:textAlignment w:val="auto"/>
        <w:rPr>
          <w:rFonts w:ascii="Times New Roman" w:hAnsi="Times New Roman"/>
          <w:spacing w:val="4"/>
          <w:sz w:val="22"/>
          <w:szCs w:val="22"/>
          <w:lang w:val="ro-MD"/>
        </w:rPr>
      </w:pPr>
      <w:r>
        <w:rPr>
          <w:spacing w:val="4"/>
          <w:sz w:val="22"/>
          <w:szCs w:val="22"/>
          <w:lang w:val="ro-MD"/>
        </w:rPr>
      </w:r>
    </w:p>
    <w:p>
      <w:pPr>
        <w:pStyle w:val="Normal"/>
        <w:widowControl w:val="false"/>
        <w:numPr>
          <w:ilvl w:val="0"/>
          <w:numId w:val="3"/>
        </w:numPr>
        <w:shd w:fill="FFFFFF"/>
        <w:bidi w:val="0"/>
        <w:ind w:left="900" w:right="0" w:hanging="0"/>
        <w:jc w:val="left"/>
        <w:textAlignment w:val="auto"/>
        <w:rPr>
          <w:lang w:val="ro-MD"/>
        </w:rPr>
      </w:pPr>
      <w:r>
        <w:rPr>
          <w:rFonts w:cs="Times New Roman CE" w:ascii="Times New Roman CE" w:hAnsi="Times New Roman CE"/>
          <w:spacing w:val="-1"/>
          <w:sz w:val="22"/>
          <w:szCs w:val="22"/>
          <w:lang w:val="ro-MD"/>
        </w:rPr>
        <w:t>Titlul, numele şi prenumele</w:t>
      </w:r>
      <w:r>
        <w:rPr>
          <w:spacing w:val="-1"/>
          <w:sz w:val="22"/>
          <w:szCs w:val="22"/>
          <w:lang w:val="ro-MD"/>
        </w:rPr>
        <w:t xml:space="preserve">  </w:t>
      </w:r>
      <w:r>
        <w:rPr>
          <w:b/>
          <w:i/>
          <w:spacing w:val="-1"/>
          <w:sz w:val="22"/>
          <w:szCs w:val="22"/>
          <w:lang w:val="ro-MD"/>
        </w:rPr>
        <w:t>acad.</w:t>
      </w:r>
      <w:r>
        <w:rPr>
          <w:i/>
          <w:spacing w:val="-1"/>
          <w:sz w:val="22"/>
          <w:szCs w:val="22"/>
          <w:lang w:val="ro-MD"/>
        </w:rPr>
        <w:t xml:space="preserve"> </w:t>
      </w:r>
      <w:r>
        <w:rPr>
          <w:b/>
          <w:i/>
          <w:spacing w:val="-1"/>
          <w:sz w:val="22"/>
          <w:szCs w:val="22"/>
          <w:lang w:val="ro-MD"/>
        </w:rPr>
        <w:t>ARNAUTOV Vladimir</w:t>
      </w:r>
    </w:p>
    <w:p>
      <w:pPr>
        <w:pStyle w:val="Normal"/>
        <w:widowControl w:val="false"/>
        <w:numPr>
          <w:ilvl w:val="0"/>
          <w:numId w:val="3"/>
        </w:numPr>
        <w:shd w:fill="FFFFFF"/>
        <w:bidi w:val="0"/>
        <w:ind w:left="900" w:right="0" w:hanging="0"/>
        <w:jc w:val="left"/>
        <w:textAlignment w:val="auto"/>
        <w:rPr>
          <w:lang w:val="ro-MD"/>
        </w:rPr>
      </w:pPr>
      <w:r>
        <w:rPr>
          <w:rFonts w:cs="Times New Roman CE" w:ascii="Times New Roman CE" w:hAnsi="Times New Roman CE"/>
          <w:i/>
          <w:iCs/>
          <w:spacing w:val="1"/>
          <w:sz w:val="22"/>
          <w:szCs w:val="22"/>
          <w:lang w:val="ro-MD"/>
        </w:rPr>
        <w:t>Activitatea ştiinţifică</w:t>
      </w:r>
    </w:p>
    <w:tbl>
      <w:tblPr>
        <w:tblW w:w="10029" w:type="dxa"/>
        <w:jc w:val="left"/>
        <w:tblInd w:w="601" w:type="dxa"/>
        <w:tblBorders>
          <w:top w:val="dashed" w:sz="4" w:space="0" w:color="000001"/>
          <w:left w:val="dashed" w:sz="4" w:space="0" w:color="000001"/>
          <w:bottom w:val="dashed" w:sz="4" w:space="0" w:color="000001"/>
          <w:right w:val="dashed" w:sz="4" w:space="0" w:color="000001"/>
          <w:insideH w:val="dashed" w:sz="4" w:space="0" w:color="000001"/>
          <w:insideV w:val="dashed" w:sz="4" w:space="0" w:color="000001"/>
        </w:tblBorders>
        <w:tblCellMar>
          <w:top w:w="0" w:type="dxa"/>
          <w:left w:w="103" w:type="dxa"/>
          <w:bottom w:w="0" w:type="dxa"/>
          <w:right w:w="108" w:type="dxa"/>
        </w:tblCellMar>
      </w:tblPr>
      <w:tblGrid>
        <w:gridCol w:w="10029"/>
      </w:tblGrid>
      <w:tr>
        <w:trPr>
          <w:trHeight w:val="519" w:hRule="atLeast"/>
        </w:trPr>
        <w:tc>
          <w:tcPr>
            <w:tcW w:w="10029"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Tex"/>
              <w:widowControl/>
              <w:suppressAutoHyphens w:val="true"/>
              <w:bidi w:val="0"/>
              <w:ind w:left="0" w:right="0" w:hanging="0"/>
              <w:jc w:val="both"/>
              <w:textAlignment w:val="auto"/>
              <w:rPr>
                <w:lang w:val="ro-MD"/>
              </w:rPr>
            </w:pPr>
            <w:r>
              <w:rPr>
                <w:b/>
                <w:bCs/>
                <w:spacing w:val="-1"/>
                <w:sz w:val="22"/>
                <w:szCs w:val="22"/>
                <w:lang w:val="ro-MD" w:eastAsia="zh-CN"/>
              </w:rPr>
              <w:t>Executor al proiectel</w:t>
            </w:r>
            <w:r>
              <w:rPr>
                <w:rFonts w:cs="Times New Roman CE" w:ascii="Times New Roman CE" w:hAnsi="Times New Roman CE"/>
                <w:b/>
                <w:bCs/>
                <w:spacing w:val="-1"/>
                <w:sz w:val="22"/>
                <w:szCs w:val="22"/>
                <w:lang w:val="ro-MD" w:eastAsia="zh-CN"/>
              </w:rPr>
              <w:t xml:space="preserve">ui instituţional: </w:t>
            </w:r>
            <w:r>
              <w:rPr>
                <w:b w:val="false"/>
                <w:bCs/>
                <w:spacing w:val="-1"/>
                <w:sz w:val="22"/>
                <w:szCs w:val="22"/>
                <w:lang w:val="ro-MD" w:eastAsia="zh-CN"/>
              </w:rPr>
              <w:t xml:space="preserve">15.817.02.04F </w:t>
            </w:r>
            <w:r>
              <w:rPr>
                <w:b w:val="false"/>
                <w:bCs/>
                <w:sz w:val="22"/>
                <w:szCs w:val="22"/>
                <w:lang w:val="ro-RO" w:eastAsia="zh-CN"/>
              </w:rPr>
              <w:t>„Tendin</w:t>
            </w:r>
            <w:r>
              <w:rPr>
                <w:rFonts w:ascii="Cambria Math" w:hAnsi="Cambria Math"/>
                <w:b w:val="false"/>
                <w:bCs/>
                <w:sz w:val="22"/>
                <w:szCs w:val="22"/>
                <w:lang w:val="ro-RO" w:eastAsia="zh-CN"/>
              </w:rPr>
              <w:t>ț</w:t>
            </w:r>
            <w:r>
              <w:rPr>
                <w:rFonts w:cs="Times New Roman CE" w:ascii="Times New Roman CE" w:hAnsi="Times New Roman CE"/>
                <w:b w:val="false"/>
                <w:bCs/>
                <w:sz w:val="22"/>
                <w:szCs w:val="22"/>
                <w:lang w:val="ro-RO" w:eastAsia="zh-CN"/>
              </w:rPr>
              <w:t xml:space="preserve">e moderne în algebră, topologie </w:t>
            </w:r>
            <w:r>
              <w:rPr>
                <w:rFonts w:ascii="Cambria Math" w:hAnsi="Cambria Math"/>
                <w:b w:val="false"/>
                <w:bCs/>
                <w:sz w:val="22"/>
                <w:szCs w:val="22"/>
                <w:lang w:val="ro-RO" w:eastAsia="zh-CN"/>
              </w:rPr>
              <w:t>ș</w:t>
            </w:r>
            <w:r>
              <w:rPr>
                <w:rFonts w:cs="Times New Roman CE" w:ascii="Times New Roman CE" w:hAnsi="Times New Roman CE"/>
                <w:b w:val="false"/>
                <w:bCs/>
                <w:sz w:val="22"/>
                <w:szCs w:val="22"/>
                <w:lang w:val="ro-RO" w:eastAsia="zh-CN"/>
              </w:rPr>
              <w:t>i geometrie: cercetări fundamentale ş</w:t>
            </w:r>
            <w:r>
              <w:rPr>
                <w:b w:val="false"/>
                <w:bCs/>
                <w:sz w:val="22"/>
                <w:szCs w:val="22"/>
                <w:lang w:val="ro-RO" w:eastAsia="zh-CN"/>
              </w:rPr>
              <w:t>i aplica</w:t>
            </w:r>
            <w:r>
              <w:rPr>
                <w:rFonts w:ascii="Cambria Math" w:hAnsi="Cambria Math"/>
                <w:b w:val="false"/>
                <w:bCs/>
                <w:sz w:val="22"/>
                <w:szCs w:val="22"/>
                <w:lang w:val="ro-RO" w:eastAsia="zh-CN"/>
              </w:rPr>
              <w:t>ț</w:t>
            </w:r>
            <w:r>
              <w:rPr>
                <w:b w:val="false"/>
                <w:bCs/>
                <w:sz w:val="22"/>
                <w:szCs w:val="22"/>
                <w:lang w:val="ro-RO" w:eastAsia="zh-CN"/>
              </w:rPr>
              <w:t xml:space="preserve">ii” </w:t>
            </w:r>
            <w:r>
              <w:rPr>
                <w:b/>
                <w:bCs/>
                <w:sz w:val="22"/>
                <w:szCs w:val="22"/>
                <w:lang w:val="ro-RO" w:eastAsia="zh-CN"/>
              </w:rPr>
              <w:t xml:space="preserve"> </w:t>
            </w:r>
          </w:p>
        </w:tc>
      </w:tr>
    </w:tbl>
    <w:p>
      <w:pPr>
        <w:pStyle w:val="Normal"/>
        <w:widowControl/>
        <w:numPr>
          <w:ilvl w:val="0"/>
          <w:numId w:val="3"/>
        </w:numPr>
        <w:shd w:fill="FFFFFF"/>
        <w:tabs>
          <w:tab w:val="left" w:pos="709" w:leader="none"/>
          <w:tab w:val="left" w:pos="1134" w:leader="none"/>
        </w:tabs>
        <w:bidi w:val="0"/>
        <w:spacing w:before="120" w:after="0"/>
        <w:ind w:left="900" w:right="0" w:hanging="0"/>
        <w:jc w:val="left"/>
        <w:textAlignment w:val="auto"/>
        <w:rPr>
          <w:lang w:val="ro-MD"/>
        </w:rPr>
      </w:pPr>
      <w:r>
        <w:rPr>
          <w:rFonts w:cs="Times New Roman CE" w:ascii="Times New Roman CE" w:hAnsi="Times New Roman CE"/>
          <w:i/>
          <w:spacing w:val="-1"/>
          <w:sz w:val="22"/>
          <w:szCs w:val="22"/>
          <w:lang w:val="ro-MD"/>
        </w:rPr>
        <w:t>Rezultatele ştiinţifice principale</w:t>
      </w:r>
    </w:p>
    <w:tbl>
      <w:tblPr>
        <w:tblW w:w="7921" w:type="dxa"/>
        <w:jc w:val="left"/>
        <w:tblInd w:w="601" w:type="dxa"/>
        <w:tblBorders>
          <w:top w:val="dashed" w:sz="4" w:space="0" w:color="000001"/>
          <w:left w:val="dashed" w:sz="4" w:space="0" w:color="000001"/>
          <w:bottom w:val="dashed" w:sz="4" w:space="0" w:color="000001"/>
          <w:right w:val="dashed" w:sz="4" w:space="0" w:color="000001"/>
          <w:insideH w:val="dashed" w:sz="4" w:space="0" w:color="000001"/>
          <w:insideV w:val="dashed" w:sz="4" w:space="0" w:color="000001"/>
        </w:tblBorders>
        <w:tblCellMar>
          <w:top w:w="0" w:type="dxa"/>
          <w:left w:w="103" w:type="dxa"/>
          <w:bottom w:w="0" w:type="dxa"/>
          <w:right w:w="108" w:type="dxa"/>
        </w:tblCellMar>
      </w:tblPr>
      <w:tblGrid>
        <w:gridCol w:w="5940"/>
        <w:gridCol w:w="1980"/>
      </w:tblGrid>
      <w:tr>
        <w:trPr/>
        <w:tc>
          <w:tcPr>
            <w:tcW w:w="594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lang w:val="ro-RO"/>
              </w:rPr>
            </w:pPr>
            <w:r>
              <w:rPr>
                <w:rFonts w:cs="Times New Roman CE" w:ascii="Times New Roman CE" w:hAnsi="Times New Roman CE"/>
                <w:sz w:val="22"/>
                <w:szCs w:val="22"/>
                <w:lang w:val="ro-RO"/>
              </w:rPr>
              <w:t>Monografii în ediţii internaţionale</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rFonts w:ascii="Times New Roman" w:hAnsi="Times New Roman"/>
                <w:spacing w:val="-1"/>
                <w:sz w:val="22"/>
                <w:szCs w:val="22"/>
                <w:lang w:val="ro-MD"/>
              </w:rPr>
            </w:pPr>
            <w:r>
              <w:rPr>
                <w:spacing w:val="-1"/>
                <w:sz w:val="22"/>
                <w:szCs w:val="22"/>
                <w:lang w:val="ro-MD"/>
              </w:rPr>
            </w:r>
          </w:p>
        </w:tc>
      </w:tr>
      <w:tr>
        <w:trPr/>
        <w:tc>
          <w:tcPr>
            <w:tcW w:w="594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lang w:val="ro-RO"/>
              </w:rPr>
            </w:pPr>
            <w:r>
              <w:rPr>
                <w:rFonts w:cs="Times New Roman CE" w:ascii="Times New Roman CE" w:hAnsi="Times New Roman CE"/>
                <w:sz w:val="22"/>
                <w:szCs w:val="22"/>
                <w:lang w:val="ro-RO"/>
              </w:rPr>
              <w:t>Monografii în alte ediţii din străinătate</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rFonts w:ascii="Times New Roman" w:hAnsi="Times New Roman"/>
                <w:spacing w:val="-1"/>
                <w:sz w:val="22"/>
                <w:szCs w:val="22"/>
                <w:lang w:val="ro-MD"/>
              </w:rPr>
            </w:pPr>
            <w:r>
              <w:rPr>
                <w:spacing w:val="-1"/>
                <w:sz w:val="22"/>
                <w:szCs w:val="22"/>
                <w:lang w:val="ro-MD"/>
              </w:rPr>
            </w:r>
          </w:p>
        </w:tc>
      </w:tr>
      <w:tr>
        <w:trPr/>
        <w:tc>
          <w:tcPr>
            <w:tcW w:w="594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vAlign w:val="bottom"/>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 xml:space="preserve">Articole în reviste cu factor de impact </w:t>
            </w:r>
            <w:r>
              <w:rPr>
                <w:sz w:val="22"/>
                <w:szCs w:val="22"/>
                <w:lang w:val="ro-RO"/>
              </w:rPr>
              <w:t xml:space="preserve">mai mare de </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rFonts w:ascii="Times New Roman" w:hAnsi="Times New Roman"/>
                <w:spacing w:val="-1"/>
                <w:sz w:val="22"/>
                <w:szCs w:val="22"/>
                <w:lang w:val="ro-MD"/>
              </w:rPr>
            </w:pPr>
            <w:r>
              <w:rPr>
                <w:spacing w:val="-1"/>
                <w:sz w:val="22"/>
                <w:szCs w:val="22"/>
                <w:lang w:val="ro-MD"/>
              </w:rPr>
            </w:r>
          </w:p>
        </w:tc>
      </w:tr>
      <w:tr>
        <w:trPr/>
        <w:tc>
          <w:tcPr>
            <w:tcW w:w="594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vAlign w:val="bottom"/>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Articole în reviste cu factor de impact 0,1-1.0</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rFonts w:ascii="Times New Roman" w:hAnsi="Times New Roman"/>
                <w:spacing w:val="-1"/>
                <w:sz w:val="22"/>
                <w:szCs w:val="22"/>
                <w:lang w:val="ro-MD"/>
              </w:rPr>
            </w:pPr>
            <w:r>
              <w:rPr>
                <w:spacing w:val="-1"/>
                <w:sz w:val="22"/>
                <w:szCs w:val="22"/>
                <w:lang w:val="ro-MD"/>
              </w:rPr>
            </w:r>
          </w:p>
        </w:tc>
      </w:tr>
      <w:tr>
        <w:trPr/>
        <w:tc>
          <w:tcPr>
            <w:tcW w:w="594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vAlign w:val="bottom"/>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Articole în reviste cu factor de impact 0,01- 0,1</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center"/>
              <w:textAlignment w:val="auto"/>
              <w:rPr>
                <w:rFonts w:ascii="Times New Roman" w:hAnsi="Times New Roman"/>
                <w:spacing w:val="-1"/>
                <w:sz w:val="22"/>
                <w:szCs w:val="22"/>
                <w:lang w:val="ro-MD"/>
              </w:rPr>
            </w:pPr>
            <w:r>
              <w:rPr>
                <w:spacing w:val="-1"/>
                <w:sz w:val="22"/>
                <w:szCs w:val="22"/>
                <w:lang w:val="ro-MD"/>
              </w:rPr>
            </w:r>
          </w:p>
        </w:tc>
      </w:tr>
      <w:tr>
        <w:trPr/>
        <w:tc>
          <w:tcPr>
            <w:tcW w:w="594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lang w:val="ro-RO"/>
              </w:rPr>
            </w:pPr>
            <w:r>
              <w:rPr>
                <w:rFonts w:cs="Times New Roman CE" w:ascii="Times New Roman CE" w:hAnsi="Times New Roman CE"/>
                <w:sz w:val="22"/>
                <w:szCs w:val="22"/>
                <w:lang w:val="ro-RO"/>
              </w:rPr>
              <w:t>Articole în alte reviste editate în străinătate</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rFonts w:ascii="Times New Roman" w:hAnsi="Times New Roman"/>
                <w:spacing w:val="-2"/>
                <w:sz w:val="22"/>
                <w:szCs w:val="22"/>
                <w:lang w:val="ro-MD"/>
              </w:rPr>
            </w:pPr>
            <w:r>
              <w:rPr>
                <w:spacing w:val="-2"/>
                <w:sz w:val="22"/>
                <w:szCs w:val="22"/>
                <w:lang w:val="ro-MD"/>
              </w:rPr>
            </w:r>
          </w:p>
        </w:tc>
      </w:tr>
      <w:tr>
        <w:trPr/>
        <w:tc>
          <w:tcPr>
            <w:tcW w:w="594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lang w:val="ro-RO"/>
              </w:rPr>
            </w:pPr>
            <w:r>
              <w:rPr>
                <w:rFonts w:cs="Times New Roman CE" w:ascii="Times New Roman CE" w:hAnsi="Times New Roman CE"/>
                <w:sz w:val="22"/>
                <w:szCs w:val="22"/>
                <w:lang w:val="ro-RO"/>
              </w:rPr>
              <w:t>Monografii editate în ţara</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center"/>
              <w:textAlignment w:val="auto"/>
              <w:rPr>
                <w:rFonts w:ascii="Times New Roman" w:hAnsi="Times New Roman"/>
                <w:spacing w:val="-2"/>
                <w:sz w:val="22"/>
                <w:szCs w:val="22"/>
                <w:lang w:val="ro-MD"/>
              </w:rPr>
            </w:pPr>
            <w:r>
              <w:rPr>
                <w:spacing w:val="-2"/>
                <w:sz w:val="22"/>
                <w:szCs w:val="22"/>
                <w:lang w:val="ro-MD"/>
              </w:rPr>
            </w:r>
          </w:p>
        </w:tc>
      </w:tr>
      <w:tr>
        <w:trPr/>
        <w:tc>
          <w:tcPr>
            <w:tcW w:w="594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vAlign w:val="bottom"/>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Articole în reviste naţionale, categoria A</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lang w:val="ro-MD"/>
              </w:rPr>
            </w:pPr>
            <w:r>
              <w:rPr>
                <w:spacing w:val="-3"/>
                <w:sz w:val="22"/>
                <w:szCs w:val="22"/>
                <w:lang w:val="ro-MD"/>
              </w:rPr>
              <w:t>1</w:t>
            </w:r>
          </w:p>
        </w:tc>
      </w:tr>
      <w:tr>
        <w:trPr/>
        <w:tc>
          <w:tcPr>
            <w:tcW w:w="594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vAlign w:val="bottom"/>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Articole în reviste naţionale, categoria B</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center"/>
              <w:textAlignment w:val="auto"/>
              <w:rPr>
                <w:rFonts w:ascii="Times New Roman" w:hAnsi="Times New Roman"/>
                <w:spacing w:val="-3"/>
                <w:sz w:val="22"/>
                <w:szCs w:val="22"/>
                <w:lang w:val="ro-MD"/>
              </w:rPr>
            </w:pPr>
            <w:r>
              <w:rPr>
                <w:spacing w:val="-3"/>
                <w:sz w:val="22"/>
                <w:szCs w:val="22"/>
                <w:lang w:val="ro-MD"/>
              </w:rPr>
            </w:r>
          </w:p>
        </w:tc>
      </w:tr>
      <w:tr>
        <w:trPr/>
        <w:tc>
          <w:tcPr>
            <w:tcW w:w="594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vAlign w:val="bottom"/>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Articole în reviste naţionale, categoria C</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center"/>
              <w:textAlignment w:val="auto"/>
              <w:rPr>
                <w:rFonts w:ascii="Times New Roman" w:hAnsi="Times New Roman"/>
                <w:spacing w:val="-2"/>
                <w:sz w:val="22"/>
                <w:szCs w:val="22"/>
                <w:lang w:val="ro-MD"/>
              </w:rPr>
            </w:pPr>
            <w:r>
              <w:rPr>
                <w:spacing w:val="-2"/>
                <w:sz w:val="22"/>
                <w:szCs w:val="22"/>
                <w:lang w:val="ro-MD"/>
              </w:rPr>
            </w:r>
          </w:p>
        </w:tc>
      </w:tr>
      <w:tr>
        <w:trPr/>
        <w:tc>
          <w:tcPr>
            <w:tcW w:w="594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vAlign w:val="bottom"/>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Articole în culegeri</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center"/>
              <w:textAlignment w:val="auto"/>
              <w:rPr>
                <w:rFonts w:ascii="Times New Roman" w:hAnsi="Times New Roman"/>
                <w:spacing w:val="-2"/>
                <w:sz w:val="22"/>
                <w:szCs w:val="22"/>
                <w:lang w:val="ro-MD"/>
              </w:rPr>
            </w:pPr>
            <w:r>
              <w:rPr>
                <w:spacing w:val="-2"/>
                <w:sz w:val="22"/>
                <w:szCs w:val="22"/>
                <w:lang w:val="ro-MD"/>
              </w:rPr>
            </w:r>
          </w:p>
        </w:tc>
      </w:tr>
      <w:tr>
        <w:trPr/>
        <w:tc>
          <w:tcPr>
            <w:tcW w:w="594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lang w:val="ro-MD"/>
              </w:rPr>
            </w:pPr>
            <w:r>
              <w:rPr>
                <w:rFonts w:cs="Times New Roman CE" w:ascii="Times New Roman CE" w:hAnsi="Times New Roman CE"/>
                <w:sz w:val="22"/>
                <w:szCs w:val="22"/>
                <w:lang w:val="ro-MD"/>
              </w:rPr>
              <w:t>Participarea la foruri ştiinţifice</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center"/>
              <w:textAlignment w:val="auto"/>
              <w:rPr>
                <w:lang w:val="ro-MD"/>
              </w:rPr>
            </w:pPr>
            <w:r>
              <w:rPr>
                <w:spacing w:val="-2"/>
                <w:sz w:val="22"/>
                <w:szCs w:val="22"/>
                <w:lang w:val="ro-MD"/>
              </w:rPr>
              <w:t>2</w:t>
            </w:r>
          </w:p>
        </w:tc>
      </w:tr>
    </w:tbl>
    <w:p>
      <w:pPr>
        <w:pStyle w:val="Normal"/>
        <w:widowControl/>
        <w:bidi w:val="0"/>
        <w:ind w:left="709" w:right="0" w:hanging="0"/>
        <w:jc w:val="left"/>
        <w:textAlignment w:val="auto"/>
        <w:rPr>
          <w:lang w:val="ro-MD"/>
        </w:rPr>
      </w:pPr>
      <w:r>
        <w:rPr>
          <w:rFonts w:cs="Times New Roman CE" w:ascii="Times New Roman CE" w:hAnsi="Times New Roman CE"/>
          <w:bCs/>
          <w:i/>
          <w:sz w:val="22"/>
          <w:szCs w:val="22"/>
          <w:lang w:val="ro-MD"/>
        </w:rPr>
        <w:t>Activitatea inovaţională</w:t>
      </w:r>
    </w:p>
    <w:tbl>
      <w:tblPr>
        <w:tblW w:w="7859" w:type="dxa"/>
        <w:jc w:val="left"/>
        <w:tblInd w:w="540" w:type="dxa"/>
        <w:tblBorders>
          <w:top w:val="dashed" w:sz="4" w:space="0" w:color="000001"/>
          <w:left w:val="dashed" w:sz="4" w:space="0" w:color="000001"/>
          <w:bottom w:val="dashed" w:sz="4" w:space="0" w:color="000001"/>
          <w:right w:val="dashed" w:sz="4" w:space="0" w:color="000001"/>
          <w:insideH w:val="dashed" w:sz="4" w:space="0" w:color="000001"/>
          <w:insideV w:val="dashed" w:sz="4" w:space="0" w:color="000001"/>
        </w:tblBorders>
        <w:tblCellMar>
          <w:top w:w="0" w:type="dxa"/>
          <w:left w:w="103" w:type="dxa"/>
          <w:bottom w:w="0" w:type="dxa"/>
          <w:right w:w="108" w:type="dxa"/>
        </w:tblCellMar>
      </w:tblPr>
      <w:tblGrid>
        <w:gridCol w:w="5878"/>
        <w:gridCol w:w="1980"/>
      </w:tblGrid>
      <w:tr>
        <w:trPr/>
        <w:tc>
          <w:tcPr>
            <w:tcW w:w="5878"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bidi w:val="0"/>
              <w:ind w:left="0" w:right="0" w:hanging="0"/>
              <w:jc w:val="left"/>
              <w:textAlignment w:val="auto"/>
              <w:rPr>
                <w:lang w:val="ro-MD"/>
              </w:rPr>
            </w:pPr>
            <w:r>
              <w:rPr>
                <w:rFonts w:cs="Times New Roman CE" w:ascii="Times New Roman CE" w:hAnsi="Times New Roman CE"/>
                <w:sz w:val="22"/>
                <w:szCs w:val="22"/>
                <w:lang w:val="ro-MD"/>
              </w:rPr>
              <w:t xml:space="preserve">Numărul de cereri prezentate </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bidi w:val="0"/>
              <w:ind w:left="0" w:right="0" w:hanging="0"/>
              <w:jc w:val="left"/>
              <w:textAlignment w:val="auto"/>
              <w:rPr>
                <w:rFonts w:ascii="Times New Roman" w:hAnsi="Times New Roman"/>
                <w:spacing w:val="-1"/>
                <w:sz w:val="22"/>
                <w:szCs w:val="22"/>
                <w:lang w:val="ro-MD"/>
              </w:rPr>
            </w:pPr>
            <w:r>
              <w:rPr>
                <w:spacing w:val="-1"/>
                <w:sz w:val="22"/>
                <w:szCs w:val="22"/>
                <w:lang w:val="ro-MD"/>
              </w:rPr>
            </w:r>
          </w:p>
        </w:tc>
      </w:tr>
      <w:tr>
        <w:trPr/>
        <w:tc>
          <w:tcPr>
            <w:tcW w:w="5878"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bidi w:val="0"/>
              <w:ind w:left="0" w:right="0" w:hanging="0"/>
              <w:jc w:val="left"/>
              <w:textAlignment w:val="auto"/>
              <w:rPr>
                <w:lang w:val="ro-MD"/>
              </w:rPr>
            </w:pPr>
            <w:r>
              <w:rPr>
                <w:rFonts w:cs="Times New Roman CE" w:ascii="Times New Roman CE" w:hAnsi="Times New Roman CE"/>
                <w:sz w:val="22"/>
                <w:szCs w:val="22"/>
                <w:lang w:val="ro-MD"/>
              </w:rPr>
              <w:t>Numărul de hotărîri pozitive obţinute</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bidi w:val="0"/>
              <w:ind w:left="0" w:right="0" w:hanging="0"/>
              <w:jc w:val="left"/>
              <w:textAlignment w:val="auto"/>
              <w:rPr>
                <w:rFonts w:ascii="Times New Roman" w:hAnsi="Times New Roman"/>
                <w:spacing w:val="-1"/>
                <w:sz w:val="22"/>
                <w:szCs w:val="22"/>
                <w:lang w:val="ro-MD"/>
              </w:rPr>
            </w:pPr>
            <w:r>
              <w:rPr>
                <w:spacing w:val="-1"/>
                <w:sz w:val="22"/>
                <w:szCs w:val="22"/>
                <w:lang w:val="ro-MD"/>
              </w:rPr>
            </w:r>
          </w:p>
        </w:tc>
      </w:tr>
      <w:tr>
        <w:trPr/>
        <w:tc>
          <w:tcPr>
            <w:tcW w:w="5878"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bidi w:val="0"/>
              <w:ind w:left="0" w:right="0" w:hanging="0"/>
              <w:jc w:val="left"/>
              <w:textAlignment w:val="auto"/>
              <w:rPr>
                <w:lang w:val="ro-MD"/>
              </w:rPr>
            </w:pPr>
            <w:r>
              <w:rPr>
                <w:rFonts w:cs="Times New Roman CE" w:ascii="Times New Roman CE" w:hAnsi="Times New Roman CE"/>
                <w:sz w:val="22"/>
                <w:szCs w:val="22"/>
                <w:lang w:val="ro-MD"/>
              </w:rPr>
              <w:t>Numărul de brevete obţ</w:t>
            </w:r>
            <w:r>
              <w:rPr>
                <w:sz w:val="22"/>
                <w:szCs w:val="22"/>
                <w:lang w:val="ro-MD"/>
              </w:rPr>
              <w:t>inute</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bidi w:val="0"/>
              <w:ind w:left="0" w:right="0" w:hanging="0"/>
              <w:jc w:val="left"/>
              <w:textAlignment w:val="auto"/>
              <w:rPr>
                <w:rFonts w:ascii="Times New Roman" w:hAnsi="Times New Roman"/>
                <w:spacing w:val="-1"/>
                <w:sz w:val="22"/>
                <w:szCs w:val="22"/>
                <w:lang w:val="ro-MD"/>
              </w:rPr>
            </w:pPr>
            <w:r>
              <w:rPr>
                <w:spacing w:val="-1"/>
                <w:sz w:val="22"/>
                <w:szCs w:val="22"/>
                <w:lang w:val="ro-MD"/>
              </w:rPr>
            </w:r>
          </w:p>
        </w:tc>
      </w:tr>
      <w:tr>
        <w:trPr/>
        <w:tc>
          <w:tcPr>
            <w:tcW w:w="5878"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bidi w:val="0"/>
              <w:ind w:left="0" w:right="0" w:hanging="0"/>
              <w:jc w:val="left"/>
              <w:textAlignment w:val="auto"/>
              <w:rPr>
                <w:lang w:val="ro-MD"/>
              </w:rPr>
            </w:pPr>
            <w:r>
              <w:rPr>
                <w:rFonts w:cs="Times New Roman CE" w:ascii="Times New Roman CE" w:hAnsi="Times New Roman CE"/>
                <w:sz w:val="22"/>
                <w:szCs w:val="22"/>
                <w:lang w:val="ro-MD"/>
              </w:rPr>
              <w:t>Numărul de brevete implementate</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bidi w:val="0"/>
              <w:ind w:left="0" w:right="0" w:hanging="0"/>
              <w:jc w:val="left"/>
              <w:textAlignment w:val="auto"/>
              <w:rPr>
                <w:rFonts w:ascii="Times New Roman" w:hAnsi="Times New Roman"/>
                <w:spacing w:val="-1"/>
                <w:sz w:val="22"/>
                <w:szCs w:val="22"/>
                <w:lang w:val="ro-MD"/>
              </w:rPr>
            </w:pPr>
            <w:r>
              <w:rPr>
                <w:spacing w:val="-1"/>
                <w:sz w:val="22"/>
                <w:szCs w:val="22"/>
                <w:lang w:val="ro-MD"/>
              </w:rPr>
            </w:r>
          </w:p>
        </w:tc>
      </w:tr>
    </w:tbl>
    <w:p>
      <w:pPr>
        <w:pStyle w:val="Normal"/>
        <w:widowControl w:val="false"/>
        <w:numPr>
          <w:ilvl w:val="0"/>
          <w:numId w:val="3"/>
        </w:numPr>
        <w:shd w:fill="FFFFFF"/>
        <w:bidi w:val="0"/>
        <w:spacing w:before="120" w:after="0"/>
        <w:ind w:left="900" w:right="0" w:hanging="0"/>
        <w:jc w:val="left"/>
        <w:textAlignment w:val="auto"/>
        <w:rPr>
          <w:lang w:val="ro-MD"/>
        </w:rPr>
      </w:pPr>
      <w:r>
        <w:rPr>
          <w:rFonts w:cs="Times New Roman CE" w:ascii="Times New Roman CE" w:hAnsi="Times New Roman CE"/>
          <w:i/>
          <w:sz w:val="22"/>
          <w:szCs w:val="22"/>
          <w:lang w:val="ro-MD"/>
        </w:rPr>
        <w:t>Rezultatele ştiinţifice obţinute în anul de referinţă ( până la 100 cuvinte)</w:t>
      </w:r>
    </w:p>
    <w:tbl>
      <w:tblPr>
        <w:tblW w:w="10029" w:type="dxa"/>
        <w:jc w:val="left"/>
        <w:tblInd w:w="540" w:type="dxa"/>
        <w:tblBorders>
          <w:top w:val="dashed" w:sz="4" w:space="0" w:color="000001"/>
          <w:left w:val="dashed" w:sz="4" w:space="0" w:color="000001"/>
          <w:bottom w:val="dashed" w:sz="4" w:space="0" w:color="000001"/>
          <w:right w:val="dashed" w:sz="4" w:space="0" w:color="000001"/>
          <w:insideH w:val="dashed" w:sz="4" w:space="0" w:color="000001"/>
          <w:insideV w:val="dashed" w:sz="4" w:space="0" w:color="000001"/>
        </w:tblBorders>
        <w:tblCellMar>
          <w:top w:w="0" w:type="dxa"/>
          <w:left w:w="103" w:type="dxa"/>
          <w:bottom w:w="0" w:type="dxa"/>
          <w:right w:w="108" w:type="dxa"/>
        </w:tblCellMar>
      </w:tblPr>
      <w:tblGrid>
        <w:gridCol w:w="10029"/>
      </w:tblGrid>
      <w:tr>
        <w:trPr>
          <w:trHeight w:val="381" w:hRule="atLeast"/>
        </w:trPr>
        <w:tc>
          <w:tcPr>
            <w:tcW w:w="10029"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sz w:val="22"/>
                <w:szCs w:val="22"/>
                <w:lang w:val="ro-MD"/>
              </w:rPr>
              <w:t xml:space="preserve">A fost arătat că laticea tuturor topologiilor unui modul numărabil peste un inel numărabil şi discret conţine:  1) o sublatice izomorfă cu laticea numerelor reale cu ordinea obişnuită; 2) doi la puterea continuum de coatomi. </w:t>
            </w:r>
          </w:p>
        </w:tc>
      </w:tr>
    </w:tbl>
    <w:p>
      <w:pPr>
        <w:pStyle w:val="Normal"/>
        <w:widowControl w:val="false"/>
        <w:numPr>
          <w:ilvl w:val="0"/>
          <w:numId w:val="3"/>
        </w:numPr>
        <w:shd w:fill="FFFFFF"/>
        <w:bidi w:val="0"/>
        <w:spacing w:before="120" w:after="0"/>
        <w:ind w:left="900" w:right="0" w:hanging="0"/>
        <w:jc w:val="left"/>
        <w:textAlignment w:val="auto"/>
        <w:rPr>
          <w:lang w:val="ro-MD"/>
        </w:rPr>
      </w:pPr>
      <w:r>
        <w:rPr>
          <w:rFonts w:cs="Times New Roman CE" w:ascii="Times New Roman CE" w:hAnsi="Times New Roman CE"/>
          <w:i/>
          <w:iCs/>
          <w:spacing w:val="4"/>
          <w:sz w:val="22"/>
          <w:szCs w:val="22"/>
          <w:lang w:val="ro-MD"/>
        </w:rPr>
        <w:t>Activitatea didactică</w:t>
      </w:r>
    </w:p>
    <w:tbl>
      <w:tblPr>
        <w:tblW w:w="9923" w:type="dxa"/>
        <w:jc w:val="left"/>
        <w:tblInd w:w="284" w:type="dxa"/>
        <w:tblBorders>
          <w:top w:val="dashed" w:sz="4" w:space="0" w:color="999999"/>
          <w:left w:val="dashed" w:sz="4" w:space="0" w:color="999999"/>
          <w:bottom w:val="dashed" w:sz="4" w:space="0" w:color="999999"/>
          <w:right w:val="dashed" w:sz="4" w:space="0" w:color="999999"/>
          <w:insideH w:val="dashed" w:sz="4" w:space="0" w:color="999999"/>
          <w:insideV w:val="dashed" w:sz="4" w:space="0" w:color="999999"/>
        </w:tblBorders>
        <w:tblCellMar>
          <w:top w:w="0" w:type="dxa"/>
          <w:left w:w="103" w:type="dxa"/>
          <w:bottom w:w="0" w:type="dxa"/>
          <w:right w:w="108" w:type="dxa"/>
        </w:tblCellMar>
      </w:tblPr>
      <w:tblGrid>
        <w:gridCol w:w="8222"/>
        <w:gridCol w:w="1700"/>
      </w:tblGrid>
      <w:tr>
        <w:trPr/>
        <w:tc>
          <w:tcPr>
            <w:tcW w:w="8222" w:type="dxa"/>
            <w:tcBorders>
              <w:top w:val="dashed" w:sz="4" w:space="0" w:color="999999"/>
              <w:left w:val="dashed" w:sz="4" w:space="0" w:color="999999"/>
              <w:bottom w:val="dashed" w:sz="4" w:space="0" w:color="999999"/>
              <w:right w:val="dashed" w:sz="4" w:space="0" w:color="999999"/>
              <w:insideH w:val="dashed" w:sz="4" w:space="0" w:color="999999"/>
              <w:insideV w:val="dashed" w:sz="4" w:space="0" w:color="999999"/>
            </w:tcBorders>
            <w:shd w:fill="auto" w:val="clear"/>
            <w:tcMar>
              <w:left w:w="103" w:type="dxa"/>
            </w:tcMar>
          </w:tcPr>
          <w:p>
            <w:pPr>
              <w:pStyle w:val="Normal"/>
              <w:widowControl/>
              <w:shd w:fill="FFFFFF"/>
              <w:tabs>
                <w:tab w:val="left" w:pos="709" w:leader="none"/>
                <w:tab w:val="left" w:pos="1134" w:leader="none"/>
              </w:tabs>
              <w:bidi w:val="0"/>
              <w:spacing w:lineRule="exact" w:line="271" w:before="2" w:after="0"/>
              <w:ind w:left="0" w:right="0" w:hanging="0"/>
              <w:jc w:val="left"/>
              <w:textAlignment w:val="auto"/>
              <w:rPr>
                <w:lang w:val="ro-MD"/>
              </w:rPr>
            </w:pPr>
            <w:r>
              <w:rPr>
                <w:rFonts w:cs="Times New Roman CE" w:ascii="Times New Roman CE" w:hAnsi="Times New Roman CE"/>
                <w:sz w:val="22"/>
                <w:szCs w:val="22"/>
                <w:lang w:val="ro-MD"/>
              </w:rPr>
              <w:t>Numărul</w:t>
            </w:r>
            <w:r>
              <w:rPr>
                <w:rFonts w:cs="Times New Roman CE" w:ascii="Times New Roman CE" w:hAnsi="Times New Roman CE"/>
                <w:spacing w:val="-2"/>
                <w:sz w:val="22"/>
                <w:szCs w:val="22"/>
                <w:lang w:val="ro-MD"/>
              </w:rPr>
              <w:t xml:space="preserve"> cursurilor ţinute</w:t>
            </w:r>
            <w:r>
              <w:rPr>
                <w:spacing w:val="-2"/>
                <w:sz w:val="22"/>
                <w:szCs w:val="22"/>
                <w:lang w:val="ro-MD"/>
              </w:rPr>
              <w:t xml:space="preserve">                                                                                         </w:t>
            </w:r>
          </w:p>
        </w:tc>
        <w:tc>
          <w:tcPr>
            <w:tcW w:w="1700" w:type="dxa"/>
            <w:tcBorders>
              <w:top w:val="dashed" w:sz="4" w:space="0" w:color="999999"/>
              <w:left w:val="dashed" w:sz="4" w:space="0" w:color="999999"/>
              <w:bottom w:val="dashed" w:sz="4" w:space="0" w:color="999999"/>
              <w:right w:val="dashed" w:sz="4" w:space="0" w:color="999999"/>
              <w:insideH w:val="dashed" w:sz="4" w:space="0" w:color="999999"/>
              <w:insideV w:val="dashed" w:sz="4" w:space="0" w:color="999999"/>
            </w:tcBorders>
            <w:shd w:fill="auto" w:val="clear"/>
            <w:tcMar>
              <w:left w:w="103" w:type="dxa"/>
            </w:tcMar>
          </w:tcPr>
          <w:p>
            <w:pPr>
              <w:pStyle w:val="Normal"/>
              <w:widowControl/>
              <w:shd w:fill="FFFFFF"/>
              <w:tabs>
                <w:tab w:val="left" w:pos="709" w:leader="none"/>
                <w:tab w:val="left" w:pos="1134" w:leader="none"/>
              </w:tabs>
              <w:bidi w:val="0"/>
              <w:ind w:left="0" w:right="0" w:hanging="0"/>
              <w:jc w:val="center"/>
              <w:textAlignment w:val="auto"/>
              <w:rPr>
                <w:lang w:val="ro-MD"/>
              </w:rPr>
            </w:pPr>
            <w:r>
              <w:rPr>
                <w:spacing w:val="-1"/>
                <w:sz w:val="22"/>
                <w:szCs w:val="22"/>
                <w:lang w:val="ro-MD"/>
              </w:rPr>
              <w:t>4</w:t>
            </w:r>
          </w:p>
        </w:tc>
      </w:tr>
      <w:tr>
        <w:trPr/>
        <w:tc>
          <w:tcPr>
            <w:tcW w:w="8222" w:type="dxa"/>
            <w:tcBorders>
              <w:top w:val="dashed" w:sz="4" w:space="0" w:color="999999"/>
              <w:left w:val="dashed" w:sz="4" w:space="0" w:color="999999"/>
              <w:bottom w:val="dashed" w:sz="4" w:space="0" w:color="999999"/>
              <w:right w:val="dashed" w:sz="4" w:space="0" w:color="999999"/>
              <w:insideH w:val="dashed" w:sz="4" w:space="0" w:color="999999"/>
              <w:insideV w:val="dashed" w:sz="4" w:space="0" w:color="999999"/>
            </w:tcBorders>
            <w:shd w:fill="auto" w:val="clear"/>
            <w:tcMar>
              <w:left w:w="103" w:type="dxa"/>
            </w:tcMar>
          </w:tcPr>
          <w:p>
            <w:pPr>
              <w:pStyle w:val="Normal"/>
              <w:widowControl/>
              <w:shd w:fill="FFFFFF"/>
              <w:tabs>
                <w:tab w:val="left" w:pos="709" w:leader="none"/>
                <w:tab w:val="left" w:pos="1134" w:leader="none"/>
              </w:tabs>
              <w:bidi w:val="0"/>
              <w:spacing w:lineRule="exact" w:line="271" w:before="2" w:after="0"/>
              <w:ind w:left="0" w:right="0" w:hanging="0"/>
              <w:jc w:val="left"/>
              <w:textAlignment w:val="auto"/>
              <w:rPr>
                <w:lang w:val="ro-MD"/>
              </w:rPr>
            </w:pPr>
            <w:r>
              <w:rPr>
                <w:rFonts w:cs="Times New Roman CE" w:ascii="Times New Roman CE" w:hAnsi="Times New Roman CE"/>
                <w:sz w:val="22"/>
                <w:szCs w:val="22"/>
                <w:lang w:val="ro-MD"/>
              </w:rPr>
              <w:t>Numărul total de persoane la care aţi fost conducător ştiinţific al tezei de doctorat</w:t>
            </w:r>
          </w:p>
        </w:tc>
        <w:tc>
          <w:tcPr>
            <w:tcW w:w="1700" w:type="dxa"/>
            <w:tcBorders>
              <w:top w:val="dashed" w:sz="4" w:space="0" w:color="999999"/>
              <w:left w:val="dashed" w:sz="4" w:space="0" w:color="999999"/>
              <w:bottom w:val="dashed" w:sz="4" w:space="0" w:color="999999"/>
              <w:right w:val="dashed" w:sz="4" w:space="0" w:color="999999"/>
              <w:insideH w:val="dashed" w:sz="4" w:space="0" w:color="999999"/>
              <w:insideV w:val="dashed" w:sz="4" w:space="0" w:color="999999"/>
            </w:tcBorders>
            <w:shd w:fill="auto" w:val="clear"/>
            <w:tcMar>
              <w:left w:w="103" w:type="dxa"/>
            </w:tcMar>
          </w:tcPr>
          <w:p>
            <w:pPr>
              <w:pStyle w:val="Normal"/>
              <w:widowControl/>
              <w:shd w:fill="FFFFFF"/>
              <w:tabs>
                <w:tab w:val="left" w:pos="709" w:leader="none"/>
                <w:tab w:val="left" w:pos="1134" w:leader="none"/>
              </w:tabs>
              <w:bidi w:val="0"/>
              <w:spacing w:lineRule="exact" w:line="271" w:before="2" w:after="0"/>
              <w:ind w:left="0" w:right="0" w:hanging="0"/>
              <w:jc w:val="left"/>
              <w:textAlignment w:val="auto"/>
              <w:rPr>
                <w:rFonts w:ascii="Times New Roman" w:hAnsi="Times New Roman"/>
                <w:spacing w:val="-1"/>
                <w:sz w:val="22"/>
                <w:szCs w:val="22"/>
                <w:lang w:val="ro-MD"/>
              </w:rPr>
            </w:pPr>
            <w:r>
              <w:rPr>
                <w:spacing w:val="-1"/>
                <w:sz w:val="22"/>
                <w:szCs w:val="22"/>
                <w:lang w:val="ro-MD"/>
              </w:rPr>
            </w:r>
          </w:p>
        </w:tc>
      </w:tr>
      <w:tr>
        <w:trPr/>
        <w:tc>
          <w:tcPr>
            <w:tcW w:w="8222" w:type="dxa"/>
            <w:tcBorders>
              <w:top w:val="dashed" w:sz="4" w:space="0" w:color="999999"/>
              <w:left w:val="dashed" w:sz="4" w:space="0" w:color="999999"/>
              <w:bottom w:val="dashed" w:sz="4" w:space="0" w:color="999999"/>
              <w:right w:val="dashed" w:sz="4" w:space="0" w:color="999999"/>
              <w:insideH w:val="dashed" w:sz="4" w:space="0" w:color="999999"/>
              <w:insideV w:val="dashed" w:sz="4" w:space="0" w:color="999999"/>
            </w:tcBorders>
            <w:shd w:fill="auto" w:val="clear"/>
            <w:tcMar>
              <w:left w:w="103" w:type="dxa"/>
            </w:tcMar>
          </w:tcPr>
          <w:p>
            <w:pPr>
              <w:pStyle w:val="Normal"/>
              <w:widowControl/>
              <w:shd w:fill="FFFFFF"/>
              <w:tabs>
                <w:tab w:val="left" w:pos="709" w:leader="none"/>
                <w:tab w:val="left" w:pos="1134" w:leader="none"/>
              </w:tabs>
              <w:bidi w:val="0"/>
              <w:spacing w:lineRule="exact" w:line="271" w:before="2" w:after="0"/>
              <w:ind w:left="0" w:right="0" w:hanging="0"/>
              <w:jc w:val="left"/>
              <w:textAlignment w:val="auto"/>
              <w:rPr>
                <w:lang w:val="ro-MD"/>
              </w:rPr>
            </w:pPr>
            <w:r>
              <w:rPr>
                <w:rFonts w:cs="Times New Roman CE" w:ascii="Times New Roman CE" w:hAnsi="Times New Roman CE"/>
                <w:sz w:val="22"/>
                <w:szCs w:val="22"/>
                <w:lang w:val="ro-MD"/>
              </w:rPr>
              <w:t xml:space="preserve">Numărul persoanelor la care aţi fost conducător ştiinţific şi care au susţinut teza </w:t>
            </w:r>
          </w:p>
        </w:tc>
        <w:tc>
          <w:tcPr>
            <w:tcW w:w="1700" w:type="dxa"/>
            <w:tcBorders>
              <w:top w:val="dashed" w:sz="4" w:space="0" w:color="999999"/>
              <w:left w:val="dashed" w:sz="4" w:space="0" w:color="999999"/>
              <w:bottom w:val="dashed" w:sz="4" w:space="0" w:color="999999"/>
              <w:right w:val="dashed" w:sz="4" w:space="0" w:color="999999"/>
              <w:insideH w:val="dashed" w:sz="4" w:space="0" w:color="999999"/>
              <w:insideV w:val="dashed" w:sz="4" w:space="0" w:color="999999"/>
            </w:tcBorders>
            <w:shd w:fill="auto" w:val="clear"/>
            <w:tcMar>
              <w:left w:w="103" w:type="dxa"/>
            </w:tcMar>
          </w:tcPr>
          <w:p>
            <w:pPr>
              <w:pStyle w:val="Normal"/>
              <w:widowControl/>
              <w:shd w:fill="FFFFFF"/>
              <w:tabs>
                <w:tab w:val="left" w:pos="709" w:leader="none"/>
                <w:tab w:val="left" w:pos="1134" w:leader="none"/>
              </w:tabs>
              <w:bidi w:val="0"/>
              <w:spacing w:lineRule="exact" w:line="271" w:before="2" w:after="0"/>
              <w:ind w:left="0" w:right="0" w:hanging="0"/>
              <w:jc w:val="left"/>
              <w:textAlignment w:val="auto"/>
              <w:rPr>
                <w:rFonts w:ascii="Times New Roman" w:hAnsi="Times New Roman"/>
                <w:spacing w:val="-1"/>
                <w:sz w:val="22"/>
                <w:szCs w:val="22"/>
                <w:lang w:val="ro-MD"/>
              </w:rPr>
            </w:pPr>
            <w:r>
              <w:rPr>
                <w:spacing w:val="-1"/>
                <w:sz w:val="22"/>
                <w:szCs w:val="22"/>
                <w:lang w:val="ro-MD"/>
              </w:rPr>
            </w:r>
          </w:p>
        </w:tc>
      </w:tr>
      <w:tr>
        <w:trPr/>
        <w:tc>
          <w:tcPr>
            <w:tcW w:w="8222" w:type="dxa"/>
            <w:tcBorders>
              <w:top w:val="dashed" w:sz="4" w:space="0" w:color="999999"/>
              <w:left w:val="dashed" w:sz="4" w:space="0" w:color="999999"/>
              <w:bottom w:val="dashed" w:sz="4" w:space="0" w:color="999999"/>
              <w:right w:val="dashed" w:sz="4" w:space="0" w:color="999999"/>
              <w:insideH w:val="dashed" w:sz="4" w:space="0" w:color="999999"/>
              <w:insideV w:val="dashed" w:sz="4" w:space="0" w:color="999999"/>
            </w:tcBorders>
            <w:shd w:fill="auto" w:val="clear"/>
            <w:tcMar>
              <w:left w:w="103" w:type="dxa"/>
            </w:tcMar>
          </w:tcPr>
          <w:p>
            <w:pPr>
              <w:pStyle w:val="Normal"/>
              <w:widowControl/>
              <w:shd w:fill="FFFFFF"/>
              <w:tabs>
                <w:tab w:val="left" w:pos="709" w:leader="none"/>
                <w:tab w:val="left" w:pos="1134" w:leader="none"/>
              </w:tabs>
              <w:bidi w:val="0"/>
              <w:spacing w:lineRule="exact" w:line="271" w:before="2" w:after="0"/>
              <w:ind w:left="0" w:right="0" w:hanging="0"/>
              <w:jc w:val="left"/>
              <w:textAlignment w:val="auto"/>
              <w:rPr>
                <w:lang w:val="ro-MD"/>
              </w:rPr>
            </w:pPr>
            <w:r>
              <w:rPr>
                <w:rFonts w:cs="Times New Roman CE" w:ascii="Times New Roman CE" w:hAnsi="Times New Roman CE"/>
                <w:sz w:val="22"/>
                <w:szCs w:val="22"/>
                <w:lang w:val="ro-MD"/>
              </w:rPr>
              <w:t>Numărul</w:t>
            </w:r>
            <w:r>
              <w:rPr>
                <w:spacing w:val="-1"/>
                <w:sz w:val="22"/>
                <w:szCs w:val="22"/>
                <w:lang w:val="ro-MD"/>
              </w:rPr>
              <w:t xml:space="preserve"> manualelor, materialelor didactice editate</w:t>
            </w:r>
          </w:p>
        </w:tc>
        <w:tc>
          <w:tcPr>
            <w:tcW w:w="1700" w:type="dxa"/>
            <w:tcBorders>
              <w:top w:val="dashed" w:sz="4" w:space="0" w:color="999999"/>
              <w:left w:val="dashed" w:sz="4" w:space="0" w:color="999999"/>
              <w:bottom w:val="dashed" w:sz="4" w:space="0" w:color="999999"/>
              <w:right w:val="dashed" w:sz="4" w:space="0" w:color="999999"/>
              <w:insideH w:val="dashed" w:sz="4" w:space="0" w:color="999999"/>
              <w:insideV w:val="dashed" w:sz="4" w:space="0" w:color="999999"/>
            </w:tcBorders>
            <w:shd w:fill="auto" w:val="clear"/>
            <w:tcMar>
              <w:left w:w="103" w:type="dxa"/>
            </w:tcMar>
          </w:tcPr>
          <w:p>
            <w:pPr>
              <w:pStyle w:val="Normal"/>
              <w:widowControl/>
              <w:shd w:fill="FFFFFF"/>
              <w:tabs>
                <w:tab w:val="left" w:pos="709" w:leader="none"/>
                <w:tab w:val="left" w:pos="1134" w:leader="none"/>
              </w:tabs>
              <w:bidi w:val="0"/>
              <w:spacing w:lineRule="exact" w:line="271" w:before="2" w:after="0"/>
              <w:ind w:left="0" w:right="0" w:hanging="0"/>
              <w:jc w:val="center"/>
              <w:textAlignment w:val="auto"/>
              <w:rPr>
                <w:rFonts w:ascii="Times New Roman" w:hAnsi="Times New Roman"/>
                <w:spacing w:val="-1"/>
                <w:sz w:val="22"/>
                <w:szCs w:val="22"/>
                <w:lang w:val="ro-MD"/>
              </w:rPr>
            </w:pPr>
            <w:r>
              <w:rPr>
                <w:spacing w:val="-1"/>
                <w:sz w:val="22"/>
                <w:szCs w:val="22"/>
                <w:lang w:val="ro-MD"/>
              </w:rPr>
            </w:r>
          </w:p>
        </w:tc>
      </w:tr>
    </w:tbl>
    <w:p>
      <w:pPr>
        <w:pStyle w:val="Normal"/>
        <w:widowControl w:val="false"/>
        <w:numPr>
          <w:ilvl w:val="0"/>
          <w:numId w:val="3"/>
        </w:numPr>
        <w:shd w:fill="FFFFFF"/>
        <w:bidi w:val="0"/>
        <w:spacing w:before="120" w:after="120"/>
        <w:ind w:left="900" w:right="0" w:hanging="0"/>
        <w:jc w:val="left"/>
        <w:textAlignment w:val="auto"/>
        <w:rPr>
          <w:lang w:val="ro-MD"/>
        </w:rPr>
      </w:pPr>
      <w:r>
        <w:rPr>
          <w:rFonts w:cs="Times New Roman CE" w:ascii="Times New Roman CE" w:hAnsi="Times New Roman CE"/>
          <w:i/>
          <w:iCs/>
          <w:w w:val="121"/>
          <w:sz w:val="22"/>
          <w:szCs w:val="22"/>
          <w:lang w:val="ro-MD"/>
        </w:rPr>
        <w:t>Activitatea managerială</w:t>
      </w:r>
    </w:p>
    <w:tbl>
      <w:tblPr>
        <w:tblW w:w="9488" w:type="dxa"/>
        <w:jc w:val="left"/>
        <w:tblInd w:w="284" w:type="dxa"/>
        <w:tblBorders>
          <w:top w:val="dashed" w:sz="4" w:space="0" w:color="999999"/>
          <w:left w:val="dashed" w:sz="4" w:space="0" w:color="999999"/>
          <w:bottom w:val="dashed" w:sz="4" w:space="0" w:color="999999"/>
          <w:right w:val="dashed" w:sz="4" w:space="0" w:color="999999"/>
          <w:insideH w:val="dashed" w:sz="4" w:space="0" w:color="999999"/>
          <w:insideV w:val="dashed" w:sz="4" w:space="0" w:color="999999"/>
        </w:tblBorders>
        <w:tblCellMar>
          <w:top w:w="0" w:type="dxa"/>
          <w:left w:w="103" w:type="dxa"/>
          <w:bottom w:w="0" w:type="dxa"/>
          <w:right w:w="108" w:type="dxa"/>
        </w:tblCellMar>
      </w:tblPr>
      <w:tblGrid>
        <w:gridCol w:w="9488"/>
      </w:tblGrid>
      <w:tr>
        <w:trPr/>
        <w:tc>
          <w:tcPr>
            <w:tcW w:w="9488" w:type="dxa"/>
            <w:tcBorders>
              <w:top w:val="dashed" w:sz="4" w:space="0" w:color="999999"/>
              <w:left w:val="dashed" w:sz="4" w:space="0" w:color="999999"/>
              <w:bottom w:val="dashed" w:sz="4" w:space="0" w:color="999999"/>
              <w:right w:val="dashed" w:sz="4" w:space="0" w:color="999999"/>
              <w:insideH w:val="dashed" w:sz="4" w:space="0" w:color="999999"/>
              <w:insideV w:val="dashed" w:sz="4" w:space="0" w:color="999999"/>
            </w:tcBorders>
            <w:shd w:fill="auto" w:val="clear"/>
            <w:tcMar>
              <w:left w:w="103" w:type="dxa"/>
            </w:tcMar>
          </w:tcPr>
          <w:p>
            <w:pPr>
              <w:pStyle w:val="Normal"/>
              <w:widowControl/>
              <w:shd w:fill="FFFFFF"/>
              <w:tabs>
                <w:tab w:val="left" w:pos="709" w:leader="none"/>
                <w:tab w:val="left" w:pos="1134" w:leader="none"/>
              </w:tabs>
              <w:bidi w:val="0"/>
              <w:spacing w:lineRule="exact" w:line="271" w:before="2" w:after="0"/>
              <w:ind w:left="0" w:right="0" w:hanging="0"/>
              <w:jc w:val="left"/>
              <w:textAlignment w:val="auto"/>
              <w:rPr>
                <w:lang w:val="ro-MD"/>
              </w:rPr>
            </w:pPr>
            <w:r>
              <w:rPr>
                <w:rFonts w:cs="Times New Roman CE" w:ascii="Times New Roman CE" w:hAnsi="Times New Roman CE"/>
                <w:spacing w:val="-1"/>
                <w:sz w:val="22"/>
                <w:szCs w:val="22"/>
                <w:lang w:val="ro-MD"/>
              </w:rPr>
              <w:t>Conducător al seminarului Algebră ş</w:t>
            </w:r>
            <w:r>
              <w:rPr>
                <w:spacing w:val="-1"/>
                <w:sz w:val="22"/>
                <w:szCs w:val="22"/>
                <w:lang w:val="ro-MD"/>
              </w:rPr>
              <w:t>i Topologie</w:t>
            </w:r>
          </w:p>
        </w:tc>
      </w:tr>
    </w:tbl>
    <w:p>
      <w:pPr>
        <w:pStyle w:val="Normal"/>
        <w:widowControl w:val="false"/>
        <w:shd w:fill="FFFFFF"/>
        <w:bidi w:val="0"/>
        <w:spacing w:before="120" w:after="120"/>
        <w:ind w:left="0" w:right="0" w:hanging="0"/>
        <w:jc w:val="left"/>
        <w:textAlignment w:val="auto"/>
        <w:rPr>
          <w:lang w:val="ro-MD"/>
        </w:rPr>
      </w:pPr>
      <w:r>
        <w:rPr>
          <w:rFonts w:cs="Times New Roman CE" w:ascii="Times New Roman CE" w:hAnsi="Times New Roman CE"/>
          <w:bCs/>
          <w:i/>
          <w:iCs/>
          <w:spacing w:val="2"/>
          <w:sz w:val="22"/>
          <w:szCs w:val="22"/>
          <w:lang w:val="ro-MD"/>
        </w:rPr>
        <w:t xml:space="preserve">Informaţii </w:t>
      </w:r>
      <w:r>
        <w:rPr>
          <w:i/>
          <w:iCs/>
          <w:spacing w:val="2"/>
          <w:sz w:val="22"/>
          <w:szCs w:val="22"/>
          <w:lang w:val="ro-MD"/>
        </w:rPr>
        <w:t>generale</w:t>
      </w:r>
      <w:r>
        <w:rPr>
          <w:spacing w:val="-1"/>
          <w:sz w:val="22"/>
          <w:szCs w:val="22"/>
          <w:lang w:val="ro-MD"/>
        </w:rPr>
        <w:t xml:space="preserve"> </w:t>
      </w:r>
    </w:p>
    <w:p>
      <w:pPr>
        <w:pStyle w:val="Normal"/>
        <w:widowControl w:val="false"/>
        <w:shd w:fill="FFFFFF"/>
        <w:bidi w:val="0"/>
        <w:ind w:left="0" w:right="0" w:hanging="0"/>
        <w:jc w:val="left"/>
        <w:textAlignment w:val="auto"/>
        <w:rPr>
          <w:lang w:val="ro-MD"/>
        </w:rPr>
      </w:pPr>
      <w:r>
        <w:rPr>
          <w:rFonts w:cs="Times New Roman CE" w:ascii="Times New Roman CE" w:hAnsi="Times New Roman CE"/>
          <w:spacing w:val="4"/>
          <w:sz w:val="22"/>
          <w:lang w:val="ro-MD"/>
        </w:rPr>
        <w:t xml:space="preserve">Membru al Consiliului ştiinţific al I.M.I. A.Ş.M.; Membru al Colegiului de redacţie al revistei Bul. A.Ş.M., Seria Matematică; </w:t>
      </w:r>
      <w:r>
        <w:rPr>
          <w:rFonts w:cs="Times New Roman CE" w:ascii="Times New Roman CE" w:hAnsi="Times New Roman CE"/>
          <w:spacing w:val="4"/>
          <w:sz w:val="22"/>
          <w:lang w:val="ro-RO"/>
        </w:rPr>
        <w:t>Membru  al Societăţii de Matematică a Moldovei; Membru  al Societăţii de Matematică „Const</w:t>
      </w:r>
      <w:r>
        <w:rPr>
          <w:spacing w:val="4"/>
          <w:sz w:val="22"/>
          <w:lang w:val="ro-RO"/>
        </w:rPr>
        <w:t xml:space="preserve">antin Sibirskii”; </w:t>
      </w:r>
    </w:p>
    <w:p>
      <w:pPr>
        <w:pStyle w:val="Normal"/>
        <w:widowControl w:val="false"/>
        <w:shd w:fill="FFFFFF"/>
        <w:bidi w:val="0"/>
        <w:spacing w:before="120" w:after="120"/>
        <w:ind w:left="0" w:right="0" w:hanging="0"/>
        <w:jc w:val="left"/>
        <w:textAlignment w:val="auto"/>
        <w:rPr>
          <w:lang w:val="ro-MD"/>
        </w:rPr>
      </w:pPr>
      <w:r>
        <w:rPr>
          <w:rFonts w:cs="Times New Roman CE" w:ascii="Times New Roman CE" w:hAnsi="Times New Roman CE"/>
          <w:i/>
          <w:sz w:val="22"/>
          <w:szCs w:val="22"/>
          <w:lang w:val="ro-MD"/>
        </w:rPr>
        <w:t>Alte activităţi</w:t>
      </w:r>
    </w:p>
    <w:p>
      <w:pPr>
        <w:pStyle w:val="Normal"/>
        <w:widowControl w:val="false"/>
        <w:shd w:fill="FFFFFF"/>
        <w:bidi w:val="0"/>
        <w:spacing w:lineRule="auto" w:line="360"/>
        <w:ind w:left="0" w:right="0" w:hanging="0"/>
        <w:jc w:val="left"/>
        <w:textAlignment w:val="auto"/>
        <w:rPr>
          <w:lang w:val="ro-RO"/>
        </w:rPr>
      </w:pPr>
      <w:r>
        <w:rPr>
          <w:rFonts w:cs="Times New Roman CE" w:ascii="Times New Roman CE" w:hAnsi="Times New Roman CE"/>
          <w:spacing w:val="4"/>
          <w:sz w:val="22"/>
          <w:lang w:val="ro-RO"/>
        </w:rPr>
        <w:t>Profesor universitar, universitatea „T. Şevcenco” din Tiraspol.</w:t>
      </w:r>
    </w:p>
    <w:p>
      <w:pPr>
        <w:pStyle w:val="Normal"/>
        <w:widowControl w:val="false"/>
        <w:shd w:fill="FFFFFF"/>
        <w:bidi w:val="0"/>
        <w:spacing w:lineRule="auto" w:line="360"/>
        <w:ind w:left="0" w:right="0" w:hanging="0"/>
        <w:jc w:val="left"/>
        <w:textAlignment w:val="auto"/>
        <w:rPr>
          <w:rFonts w:ascii="Times New Roman" w:hAnsi="Times New Roman"/>
          <w:i/>
          <w:i/>
          <w:spacing w:val="4"/>
          <w:sz w:val="22"/>
          <w:szCs w:val="22"/>
          <w:lang w:val="ro-RO"/>
        </w:rPr>
      </w:pPr>
      <w:r>
        <w:rPr>
          <w:i/>
          <w:spacing w:val="4"/>
          <w:sz w:val="22"/>
          <w:szCs w:val="22"/>
          <w:lang w:val="ro-RO"/>
        </w:rPr>
      </w:r>
    </w:p>
    <w:p>
      <w:pPr>
        <w:pStyle w:val="Normal"/>
        <w:widowControl w:val="false"/>
        <w:shd w:fill="FFFFFF"/>
        <w:bidi w:val="0"/>
        <w:ind w:left="0" w:right="0" w:hanging="0"/>
        <w:jc w:val="left"/>
        <w:textAlignment w:val="auto"/>
        <w:rPr>
          <w:lang w:val="en-US"/>
        </w:rPr>
      </w:pPr>
      <w:r>
        <w:rPr>
          <w:rFonts w:cs="Times New Roman CE" w:ascii="Times New Roman CE" w:hAnsi="Times New Roman CE"/>
          <w:b/>
          <w:i/>
          <w:sz w:val="22"/>
          <w:szCs w:val="22"/>
          <w:lang w:val="en-US"/>
        </w:rPr>
        <w:t>Semnătura</w:t>
      </w:r>
      <w:r>
        <w:rPr>
          <w:b/>
          <w:i/>
          <w:sz w:val="22"/>
          <w:szCs w:val="22"/>
          <w:lang w:val="ro-RO"/>
        </w:rPr>
        <w:t xml:space="preserve"> </w:t>
        <w:tab/>
        <w:tab/>
        <w:tab/>
        <w:tab/>
        <w:tab/>
        <w:tab/>
        <w:tab/>
        <w:tab/>
      </w:r>
      <w:r>
        <w:rPr>
          <w:b/>
          <w:i/>
          <w:spacing w:val="-1"/>
          <w:sz w:val="22"/>
          <w:szCs w:val="22"/>
          <w:lang w:val="ro-MD"/>
        </w:rPr>
        <w:t>ARNAUTOV Vladimir</w:t>
      </w:r>
    </w:p>
    <w:p>
      <w:pPr>
        <w:pStyle w:val="2"/>
        <w:keepNext/>
        <w:widowControl/>
        <w:numPr>
          <w:ilvl w:val="0"/>
          <w:numId w:val="0"/>
        </w:numPr>
        <w:bidi w:val="0"/>
        <w:ind w:left="0" w:right="0" w:hanging="0"/>
        <w:jc w:val="left"/>
        <w:textAlignment w:val="auto"/>
        <w:outlineLvl w:val="1"/>
        <w:rPr>
          <w:lang w:val="ro-MD"/>
        </w:rPr>
      </w:pPr>
      <w:r>
        <w:rPr>
          <w:lang w:val="ro-MD"/>
        </w:rPr>
      </w:r>
      <w:r>
        <w:br w:type="page"/>
      </w:r>
    </w:p>
    <w:p>
      <w:pPr>
        <w:pStyle w:val="2"/>
        <w:keepNext/>
        <w:widowControl/>
        <w:numPr>
          <w:ilvl w:val="0"/>
          <w:numId w:val="0"/>
        </w:numPr>
        <w:bidi w:val="0"/>
        <w:ind w:left="0" w:right="0" w:hanging="0"/>
        <w:jc w:val="left"/>
        <w:textAlignment w:val="auto"/>
        <w:outlineLvl w:val="1"/>
        <w:rPr/>
      </w:pPr>
      <w:bookmarkStart w:id="86" w:name="_Toc469651891"/>
      <w:bookmarkEnd w:id="86"/>
      <w:r>
        <w:rPr>
          <w:rFonts w:cs="Times New Roman CE" w:ascii="Times New Roman CE" w:hAnsi="Times New Roman CE"/>
          <w:i/>
          <w:sz w:val="26"/>
          <w:szCs w:val="26"/>
        </w:rPr>
        <w:t>Academicianul MIŞCOI Gheorghe</w:t>
      </w:r>
    </w:p>
    <w:p>
      <w:pPr>
        <w:pStyle w:val="Normal"/>
        <w:widowControl/>
        <w:shd w:fill="FFFFFF"/>
        <w:bidi w:val="0"/>
        <w:ind w:left="164" w:right="0" w:hanging="0"/>
        <w:jc w:val="center"/>
        <w:textAlignment w:val="auto"/>
        <w:rPr>
          <w:lang w:val="ro-MD"/>
        </w:rPr>
      </w:pPr>
      <w:r>
        <w:rPr>
          <w:rFonts w:cs="Times New Roman CE" w:ascii="Times New Roman CE" w:hAnsi="Times New Roman CE"/>
          <w:spacing w:val="40"/>
          <w:sz w:val="22"/>
          <w:szCs w:val="22"/>
          <w:lang w:val="ro-MD"/>
        </w:rPr>
        <w:t>FIŞA</w:t>
      </w:r>
    </w:p>
    <w:p>
      <w:pPr>
        <w:pStyle w:val="Normal"/>
        <w:widowControl/>
        <w:shd w:fill="FFFFFF"/>
        <w:bidi w:val="0"/>
        <w:ind w:left="0" w:right="58" w:hanging="0"/>
        <w:jc w:val="center"/>
        <w:textAlignment w:val="auto"/>
        <w:rPr>
          <w:lang w:val="ro-MD"/>
        </w:rPr>
      </w:pPr>
      <w:r>
        <w:rPr>
          <w:rFonts w:cs="Times New Roman CE" w:ascii="Times New Roman CE" w:hAnsi="Times New Roman CE"/>
          <w:sz w:val="22"/>
          <w:szCs w:val="22"/>
          <w:lang w:val="ro-MD"/>
        </w:rPr>
        <w:t>raportului de activitate în anul</w:t>
      </w:r>
      <w:r>
        <w:rPr>
          <w:color w:val="C00000"/>
          <w:spacing w:val="4"/>
          <w:sz w:val="22"/>
          <w:szCs w:val="22"/>
          <w:lang w:val="ro-MD"/>
        </w:rPr>
        <w:t xml:space="preserve"> </w:t>
      </w:r>
      <w:r>
        <w:rPr>
          <w:spacing w:val="4"/>
          <w:sz w:val="22"/>
          <w:szCs w:val="22"/>
          <w:lang w:val="ro-MD"/>
        </w:rPr>
        <w:t>2016</w:t>
      </w:r>
    </w:p>
    <w:p>
      <w:pPr>
        <w:pStyle w:val="Normal"/>
        <w:widowControl w:val="false"/>
        <w:numPr>
          <w:ilvl w:val="0"/>
          <w:numId w:val="16"/>
        </w:numPr>
        <w:shd w:fill="FFFFFF"/>
        <w:tabs>
          <w:tab w:val="left" w:pos="180" w:leader="none"/>
        </w:tabs>
        <w:bidi w:val="0"/>
        <w:ind w:left="180" w:right="0" w:hanging="0"/>
        <w:jc w:val="left"/>
        <w:textAlignment w:val="auto"/>
        <w:rPr>
          <w:lang w:val="ro-MD"/>
        </w:rPr>
      </w:pPr>
      <w:r>
        <w:rPr>
          <w:spacing w:val="-1"/>
          <w:sz w:val="22"/>
          <w:szCs w:val="22"/>
          <w:lang w:val="ro-MD"/>
        </w:rPr>
        <w:t xml:space="preserve">Titlul, numele </w:t>
      </w:r>
      <w:r>
        <w:rPr>
          <w:rFonts w:cs="Times New Roman CE" w:ascii="Times New Roman CE" w:hAnsi="Times New Roman CE"/>
          <w:spacing w:val="-1"/>
          <w:sz w:val="22"/>
          <w:szCs w:val="22"/>
          <w:lang w:val="ro-MD"/>
        </w:rPr>
        <w:t>ş</w:t>
      </w:r>
      <w:r>
        <w:rPr>
          <w:spacing w:val="-1"/>
          <w:sz w:val="22"/>
          <w:szCs w:val="22"/>
          <w:lang w:val="ro-MD"/>
        </w:rPr>
        <w:t>i prenumele</w:t>
      </w:r>
      <w:r>
        <w:rPr>
          <w:sz w:val="22"/>
          <w:szCs w:val="22"/>
          <w:lang w:val="ro-MD"/>
        </w:rPr>
        <w:t xml:space="preserve">              </w:t>
      </w:r>
      <w:r>
        <w:rPr>
          <w:spacing w:val="-1"/>
          <w:sz w:val="22"/>
          <w:szCs w:val="22"/>
          <w:lang w:val="ro-MD"/>
        </w:rPr>
        <w:t xml:space="preserve">acad. </w:t>
      </w:r>
      <w:r>
        <w:rPr>
          <w:b/>
          <w:spacing w:val="-1"/>
          <w:sz w:val="22"/>
          <w:szCs w:val="22"/>
          <w:lang w:val="ro-MD"/>
        </w:rPr>
        <w:t>MI</w:t>
      </w:r>
      <w:r>
        <w:rPr>
          <w:rFonts w:cs="Times New Roman CE" w:ascii="Times New Roman CE" w:hAnsi="Times New Roman CE"/>
          <w:b/>
          <w:spacing w:val="-1"/>
          <w:sz w:val="22"/>
          <w:szCs w:val="22"/>
          <w:lang w:val="ro-MD"/>
        </w:rPr>
        <w:t>Ş</w:t>
      </w:r>
      <w:r>
        <w:rPr>
          <w:b/>
          <w:spacing w:val="-1"/>
          <w:sz w:val="22"/>
          <w:szCs w:val="22"/>
          <w:lang w:val="ro-MD"/>
        </w:rPr>
        <w:t>COI Gheorghe</w:t>
      </w:r>
    </w:p>
    <w:p>
      <w:pPr>
        <w:pStyle w:val="Normal"/>
        <w:widowControl/>
        <w:numPr>
          <w:ilvl w:val="0"/>
          <w:numId w:val="16"/>
        </w:numPr>
        <w:shd w:fill="FFFFFF"/>
        <w:tabs>
          <w:tab w:val="left" w:pos="180" w:leader="none"/>
          <w:tab w:val="left" w:pos="709" w:leader="none"/>
          <w:tab w:val="left" w:pos="1134" w:leader="none"/>
        </w:tabs>
        <w:bidi w:val="0"/>
        <w:spacing w:before="120" w:after="120"/>
        <w:ind w:left="181" w:right="0" w:hanging="0"/>
        <w:jc w:val="left"/>
        <w:textAlignment w:val="auto"/>
        <w:rPr>
          <w:lang w:val="ro-MD"/>
        </w:rPr>
      </w:pPr>
      <w:r>
        <w:rPr>
          <w:i/>
          <w:spacing w:val="-1"/>
          <w:sz w:val="22"/>
          <w:szCs w:val="22"/>
          <w:lang w:val="ro-MD"/>
        </w:rPr>
        <w:t xml:space="preserve">Activitatea </w:t>
      </w:r>
      <w:r>
        <w:rPr>
          <w:rFonts w:cs="Times New Roman CE" w:ascii="Times New Roman CE" w:hAnsi="Times New Roman CE"/>
          <w:i/>
          <w:spacing w:val="-1"/>
          <w:sz w:val="22"/>
          <w:szCs w:val="22"/>
          <w:lang w:val="ro-MD"/>
        </w:rPr>
        <w:t>ş</w:t>
      </w:r>
      <w:r>
        <w:rPr>
          <w:i/>
          <w:spacing w:val="-1"/>
          <w:sz w:val="22"/>
          <w:szCs w:val="22"/>
          <w:lang w:val="ro-MD"/>
        </w:rPr>
        <w:t>tiin</w:t>
      </w:r>
      <w:r>
        <w:rPr>
          <w:rFonts w:cs="Times New Roman CE" w:ascii="Times New Roman CE" w:hAnsi="Times New Roman CE"/>
          <w:i/>
          <w:spacing w:val="-1"/>
          <w:sz w:val="22"/>
          <w:szCs w:val="22"/>
          <w:lang w:val="ro-MD"/>
        </w:rPr>
        <w:t>ţifică</w:t>
      </w:r>
    </w:p>
    <w:tbl>
      <w:tblPr>
        <w:tblW w:w="10029" w:type="dxa"/>
        <w:jc w:val="left"/>
        <w:tblInd w:w="601" w:type="dxa"/>
        <w:tblBorders>
          <w:top w:val="dashed" w:sz="4" w:space="0" w:color="000001"/>
          <w:left w:val="dashed" w:sz="4" w:space="0" w:color="000001"/>
          <w:bottom w:val="dashed" w:sz="4" w:space="0" w:color="000001"/>
          <w:right w:val="dashed" w:sz="4" w:space="0" w:color="000001"/>
          <w:insideH w:val="dashed" w:sz="4" w:space="0" w:color="000001"/>
          <w:insideV w:val="dashed" w:sz="4" w:space="0" w:color="000001"/>
        </w:tblBorders>
        <w:tblCellMar>
          <w:top w:w="0" w:type="dxa"/>
          <w:left w:w="103" w:type="dxa"/>
          <w:bottom w:w="0" w:type="dxa"/>
          <w:right w:w="108" w:type="dxa"/>
        </w:tblCellMar>
      </w:tblPr>
      <w:tblGrid>
        <w:gridCol w:w="10029"/>
      </w:tblGrid>
      <w:tr>
        <w:trPr>
          <w:trHeight w:val="570" w:hRule="atLeast"/>
        </w:trPr>
        <w:tc>
          <w:tcPr>
            <w:tcW w:w="10029"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bidi w:val="0"/>
              <w:spacing w:lineRule="exact" w:line="266"/>
              <w:ind w:left="0" w:right="58" w:hanging="0"/>
              <w:jc w:val="left"/>
              <w:textAlignment w:val="auto"/>
              <w:rPr>
                <w:lang w:val="ro-MD"/>
              </w:rPr>
            </w:pPr>
            <w:r>
              <w:rPr>
                <w:rFonts w:cs="Times New Roman CE" w:ascii="Times New Roman CE" w:hAnsi="Times New Roman CE"/>
                <w:color w:val="000000"/>
                <w:spacing w:val="4"/>
                <w:sz w:val="22"/>
                <w:szCs w:val="22"/>
                <w:lang w:val="ro-MD"/>
              </w:rPr>
              <w:t>Participant în proiectul instituţ</w:t>
            </w:r>
            <w:r>
              <w:rPr>
                <w:color w:val="000000"/>
                <w:spacing w:val="4"/>
                <w:sz w:val="22"/>
                <w:szCs w:val="22"/>
                <w:lang w:val="ro-MD"/>
              </w:rPr>
              <w:t>ional al IMI.</w:t>
            </w:r>
          </w:p>
          <w:p>
            <w:pPr>
              <w:pStyle w:val="Normal"/>
              <w:widowControl/>
              <w:shd w:fill="FFFFFF"/>
              <w:bidi w:val="0"/>
              <w:spacing w:lineRule="exact" w:line="266"/>
              <w:ind w:left="0" w:right="58" w:hanging="0"/>
              <w:jc w:val="left"/>
              <w:textAlignment w:val="auto"/>
              <w:rPr/>
            </w:pPr>
            <w:r>
              <w:rPr>
                <w:color w:val="000000"/>
                <w:spacing w:val="4"/>
                <w:sz w:val="22"/>
                <w:szCs w:val="22"/>
                <w:lang w:val="ro-MD"/>
              </w:rPr>
              <w:t>Participant</w:t>
            </w:r>
            <w:r>
              <w:rPr>
                <w:sz w:val="22"/>
                <w:szCs w:val="22"/>
                <w:lang w:val="ro-MD"/>
              </w:rPr>
              <w:t xml:space="preserve"> </w:t>
            </w:r>
            <w:r>
              <w:rPr>
                <w:rFonts w:cs="Times New Roman CE" w:ascii="Times New Roman CE" w:hAnsi="Times New Roman CE"/>
                <w:sz w:val="22"/>
                <w:szCs w:val="22"/>
                <w:lang w:val="ro-MD"/>
              </w:rPr>
              <w:t>î</w:t>
            </w:r>
            <w:r>
              <w:rPr>
                <w:sz w:val="22"/>
                <w:szCs w:val="22"/>
                <w:lang w:val="ro-MD"/>
              </w:rPr>
              <w:t>n proiectul bilateral STCU (Ucraina).</w:t>
            </w:r>
          </w:p>
        </w:tc>
      </w:tr>
    </w:tbl>
    <w:p>
      <w:pPr>
        <w:pStyle w:val="Normal"/>
        <w:widowControl/>
        <w:numPr>
          <w:ilvl w:val="0"/>
          <w:numId w:val="16"/>
        </w:numPr>
        <w:shd w:fill="FFFFFF"/>
        <w:tabs>
          <w:tab w:val="left" w:pos="180" w:leader="none"/>
          <w:tab w:val="left" w:pos="709" w:leader="none"/>
          <w:tab w:val="left" w:pos="1134" w:leader="none"/>
        </w:tabs>
        <w:bidi w:val="0"/>
        <w:spacing w:before="60" w:after="60"/>
        <w:ind w:left="181" w:right="0" w:hanging="0"/>
        <w:jc w:val="left"/>
        <w:textAlignment w:val="auto"/>
        <w:rPr>
          <w:lang w:val="ro-MD"/>
        </w:rPr>
      </w:pPr>
      <w:r>
        <w:rPr>
          <w:i/>
          <w:spacing w:val="-1"/>
          <w:sz w:val="22"/>
          <w:szCs w:val="22"/>
          <w:lang w:val="ro-MD"/>
        </w:rPr>
        <w:t>Rezultatele</w:t>
      </w:r>
      <w:r>
        <w:rPr>
          <w:rFonts w:cs="Times New Roman CE" w:ascii="Times New Roman CE" w:hAnsi="Times New Roman CE"/>
          <w:i/>
          <w:spacing w:val="-1"/>
          <w:sz w:val="22"/>
          <w:szCs w:val="22"/>
          <w:lang w:val="ro-MD"/>
        </w:rPr>
        <w:t xml:space="preserve"> ş</w:t>
      </w:r>
      <w:r>
        <w:rPr>
          <w:i/>
          <w:spacing w:val="-1"/>
          <w:sz w:val="22"/>
          <w:szCs w:val="22"/>
          <w:lang w:val="ro-MD"/>
        </w:rPr>
        <w:t>tiin</w:t>
      </w:r>
      <w:r>
        <w:rPr>
          <w:rFonts w:cs="Times New Roman CE" w:ascii="Times New Roman CE" w:hAnsi="Times New Roman CE"/>
          <w:i/>
          <w:spacing w:val="-1"/>
          <w:sz w:val="22"/>
          <w:szCs w:val="22"/>
          <w:lang w:val="ro-MD"/>
        </w:rPr>
        <w:t>ţ</w:t>
      </w:r>
      <w:r>
        <w:rPr>
          <w:i/>
          <w:spacing w:val="-1"/>
          <w:sz w:val="22"/>
          <w:szCs w:val="22"/>
          <w:lang w:val="ro-MD"/>
        </w:rPr>
        <w:t>ifice principale</w:t>
      </w:r>
    </w:p>
    <w:tbl>
      <w:tblPr>
        <w:tblW w:w="7921" w:type="dxa"/>
        <w:jc w:val="left"/>
        <w:tblInd w:w="601" w:type="dxa"/>
        <w:tblBorders>
          <w:top w:val="dashed" w:sz="4" w:space="0" w:color="000001"/>
          <w:left w:val="dashed" w:sz="4" w:space="0" w:color="000001"/>
          <w:bottom w:val="dashed" w:sz="4" w:space="0" w:color="000001"/>
          <w:right w:val="dashed" w:sz="4" w:space="0" w:color="000001"/>
          <w:insideH w:val="dashed" w:sz="4" w:space="0" w:color="000001"/>
          <w:insideV w:val="dashed" w:sz="4" w:space="0" w:color="000001"/>
        </w:tblBorders>
        <w:tblCellMar>
          <w:top w:w="0" w:type="dxa"/>
          <w:left w:w="103" w:type="dxa"/>
          <w:bottom w:w="0" w:type="dxa"/>
          <w:right w:w="108" w:type="dxa"/>
        </w:tblCellMar>
      </w:tblPr>
      <w:tblGrid>
        <w:gridCol w:w="5940"/>
        <w:gridCol w:w="1980"/>
      </w:tblGrid>
      <w:tr>
        <w:trPr>
          <w:trHeight w:val="291" w:hRule="atLeast"/>
        </w:trPr>
        <w:tc>
          <w:tcPr>
            <w:tcW w:w="594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 xml:space="preserve">Monografii </w:t>
            </w:r>
            <w:r>
              <w:rPr>
                <w:rFonts w:cs="Times New Roman CE" w:ascii="Times New Roman CE" w:hAnsi="Times New Roman CE"/>
                <w:sz w:val="22"/>
                <w:szCs w:val="22"/>
                <w:lang w:val="ro-RO"/>
              </w:rPr>
              <w:t>î</w:t>
            </w:r>
            <w:r>
              <w:rPr>
                <w:sz w:val="22"/>
                <w:szCs w:val="22"/>
                <w:lang w:val="ro-RO"/>
              </w:rPr>
              <w:t>n edi</w:t>
            </w:r>
            <w:r>
              <w:rPr>
                <w:rFonts w:cs="Times New Roman CE" w:ascii="Times New Roman CE" w:hAnsi="Times New Roman CE"/>
                <w:sz w:val="22"/>
                <w:szCs w:val="22"/>
                <w:lang w:val="ro-RO"/>
              </w:rPr>
              <w:t>ţ</w:t>
            </w:r>
            <w:r>
              <w:rPr>
                <w:sz w:val="22"/>
                <w:szCs w:val="22"/>
                <w:lang w:val="ro-RO"/>
              </w:rPr>
              <w:t>ii interna</w:t>
            </w:r>
            <w:r>
              <w:rPr>
                <w:rFonts w:cs="Times New Roman CE" w:ascii="Times New Roman CE" w:hAnsi="Times New Roman CE"/>
                <w:sz w:val="22"/>
                <w:szCs w:val="22"/>
                <w:lang w:val="ro-RO"/>
              </w:rPr>
              <w:t>ţ</w:t>
            </w:r>
            <w:r>
              <w:rPr>
                <w:sz w:val="22"/>
                <w:szCs w:val="22"/>
                <w:lang w:val="ro-RO"/>
              </w:rPr>
              <w:t>ionale</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rFonts w:ascii="Times New Roman" w:hAnsi="Times New Roman"/>
                <w:spacing w:val="-1"/>
                <w:sz w:val="22"/>
                <w:szCs w:val="22"/>
                <w:lang w:val="ro-MD"/>
              </w:rPr>
            </w:pPr>
            <w:r>
              <w:rPr>
                <w:spacing w:val="-1"/>
                <w:sz w:val="22"/>
                <w:szCs w:val="22"/>
                <w:lang w:val="ro-MD"/>
              </w:rPr>
            </w:r>
          </w:p>
        </w:tc>
      </w:tr>
      <w:tr>
        <w:trPr/>
        <w:tc>
          <w:tcPr>
            <w:tcW w:w="594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 xml:space="preserve">Monografii </w:t>
            </w:r>
            <w:r>
              <w:rPr>
                <w:rFonts w:cs="Times New Roman CE" w:ascii="Times New Roman CE" w:hAnsi="Times New Roman CE"/>
                <w:sz w:val="22"/>
                <w:szCs w:val="22"/>
                <w:lang w:val="ro-RO"/>
              </w:rPr>
              <w:t>î</w:t>
            </w:r>
            <w:r>
              <w:rPr>
                <w:sz w:val="22"/>
                <w:szCs w:val="22"/>
                <w:lang w:val="ro-RO"/>
              </w:rPr>
              <w:t>n alte edi</w:t>
            </w:r>
            <w:r>
              <w:rPr>
                <w:rFonts w:cs="Times New Roman CE" w:ascii="Times New Roman CE" w:hAnsi="Times New Roman CE"/>
                <w:sz w:val="22"/>
                <w:szCs w:val="22"/>
                <w:lang w:val="ro-RO"/>
              </w:rPr>
              <w:t>ţ</w:t>
            </w:r>
            <w:r>
              <w:rPr>
                <w:sz w:val="22"/>
                <w:szCs w:val="22"/>
                <w:lang w:val="ro-RO"/>
              </w:rPr>
              <w:t>ii din str</w:t>
            </w:r>
            <w:r>
              <w:rPr>
                <w:rFonts w:cs="Times New Roman CE" w:ascii="Times New Roman CE" w:hAnsi="Times New Roman CE"/>
                <w:sz w:val="22"/>
                <w:szCs w:val="22"/>
                <w:lang w:val="ro-RO"/>
              </w:rPr>
              <w:t>ă</w:t>
            </w:r>
            <w:r>
              <w:rPr>
                <w:sz w:val="22"/>
                <w:szCs w:val="22"/>
                <w:lang w:val="ro-RO"/>
              </w:rPr>
              <w:t>in</w:t>
            </w:r>
            <w:r>
              <w:rPr>
                <w:rFonts w:cs="Times New Roman CE" w:ascii="Times New Roman CE" w:hAnsi="Times New Roman CE"/>
                <w:sz w:val="22"/>
                <w:szCs w:val="22"/>
                <w:lang w:val="ro-RO"/>
              </w:rPr>
              <w:t>ă</w:t>
            </w:r>
            <w:r>
              <w:rPr>
                <w:sz w:val="22"/>
                <w:szCs w:val="22"/>
                <w:lang w:val="ro-RO"/>
              </w:rPr>
              <w:t>tate</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rFonts w:ascii="Times New Roman" w:hAnsi="Times New Roman"/>
                <w:spacing w:val="-1"/>
                <w:sz w:val="22"/>
                <w:szCs w:val="22"/>
                <w:lang w:val="ro-MD"/>
              </w:rPr>
            </w:pPr>
            <w:r>
              <w:rPr>
                <w:spacing w:val="-1"/>
                <w:sz w:val="22"/>
                <w:szCs w:val="22"/>
                <w:lang w:val="ro-MD"/>
              </w:rPr>
            </w:r>
          </w:p>
        </w:tc>
      </w:tr>
      <w:tr>
        <w:trPr/>
        <w:tc>
          <w:tcPr>
            <w:tcW w:w="594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vAlign w:val="bottom"/>
          </w:tcPr>
          <w:p>
            <w:pPr>
              <w:pStyle w:val="Normal"/>
              <w:widowControl/>
              <w:bidi w:val="0"/>
              <w:ind w:left="0" w:right="0" w:hanging="0"/>
              <w:jc w:val="left"/>
              <w:textAlignment w:val="auto"/>
              <w:rPr>
                <w:lang w:val="ro-RO"/>
              </w:rPr>
            </w:pPr>
            <w:r>
              <w:rPr>
                <w:sz w:val="22"/>
                <w:szCs w:val="22"/>
                <w:lang w:val="ro-RO"/>
              </w:rPr>
              <w:t xml:space="preserve">Articole </w:t>
            </w:r>
            <w:r>
              <w:rPr>
                <w:rFonts w:cs="Times New Roman CE" w:ascii="Times New Roman CE" w:hAnsi="Times New Roman CE"/>
                <w:sz w:val="22"/>
                <w:szCs w:val="22"/>
                <w:lang w:val="ro-RO"/>
              </w:rPr>
              <w:t>î</w:t>
            </w:r>
            <w:r>
              <w:rPr>
                <w:sz w:val="22"/>
                <w:szCs w:val="22"/>
                <w:lang w:val="ro-RO"/>
              </w:rPr>
              <w:t>n reviste cu factor de impact mai mare de 1</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rFonts w:ascii="Times New Roman" w:hAnsi="Times New Roman"/>
                <w:spacing w:val="-1"/>
                <w:sz w:val="22"/>
                <w:szCs w:val="22"/>
                <w:lang w:val="ro-MD"/>
              </w:rPr>
            </w:pPr>
            <w:r>
              <w:rPr>
                <w:spacing w:val="-1"/>
                <w:sz w:val="22"/>
                <w:szCs w:val="22"/>
                <w:lang w:val="ro-MD"/>
              </w:rPr>
            </w:r>
          </w:p>
        </w:tc>
      </w:tr>
      <w:tr>
        <w:trPr/>
        <w:tc>
          <w:tcPr>
            <w:tcW w:w="594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vAlign w:val="bottom"/>
          </w:tcPr>
          <w:p>
            <w:pPr>
              <w:pStyle w:val="Normal"/>
              <w:widowControl/>
              <w:bidi w:val="0"/>
              <w:ind w:left="0" w:right="0" w:hanging="0"/>
              <w:jc w:val="left"/>
              <w:textAlignment w:val="auto"/>
              <w:rPr>
                <w:lang w:val="ro-RO"/>
              </w:rPr>
            </w:pPr>
            <w:r>
              <w:rPr>
                <w:sz w:val="22"/>
                <w:szCs w:val="22"/>
                <w:lang w:val="ro-RO"/>
              </w:rPr>
              <w:t xml:space="preserve">Articole </w:t>
            </w:r>
            <w:r>
              <w:rPr>
                <w:rFonts w:cs="Times New Roman CE" w:ascii="Times New Roman CE" w:hAnsi="Times New Roman CE"/>
                <w:sz w:val="22"/>
                <w:szCs w:val="22"/>
                <w:lang w:val="ro-RO"/>
              </w:rPr>
              <w:t>î</w:t>
            </w:r>
            <w:r>
              <w:rPr>
                <w:sz w:val="22"/>
                <w:szCs w:val="22"/>
                <w:lang w:val="ro-RO"/>
              </w:rPr>
              <w:t>n reviste cu factor de impact 0,1-1,0</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rFonts w:ascii="Times New Roman" w:hAnsi="Times New Roman"/>
                <w:spacing w:val="-1"/>
                <w:sz w:val="22"/>
                <w:szCs w:val="22"/>
                <w:lang w:val="ro-MD"/>
              </w:rPr>
            </w:pPr>
            <w:r>
              <w:rPr>
                <w:spacing w:val="-1"/>
                <w:sz w:val="22"/>
                <w:szCs w:val="22"/>
                <w:lang w:val="ro-MD"/>
              </w:rPr>
            </w:r>
          </w:p>
        </w:tc>
      </w:tr>
      <w:tr>
        <w:trPr/>
        <w:tc>
          <w:tcPr>
            <w:tcW w:w="594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vAlign w:val="bottom"/>
          </w:tcPr>
          <w:p>
            <w:pPr>
              <w:pStyle w:val="Normal"/>
              <w:widowControl/>
              <w:bidi w:val="0"/>
              <w:ind w:left="0" w:right="0" w:hanging="0"/>
              <w:jc w:val="left"/>
              <w:textAlignment w:val="auto"/>
              <w:rPr>
                <w:lang w:val="ro-RO"/>
              </w:rPr>
            </w:pPr>
            <w:r>
              <w:rPr>
                <w:sz w:val="22"/>
                <w:szCs w:val="22"/>
                <w:lang w:val="ro-RO"/>
              </w:rPr>
              <w:t xml:space="preserve">Articole </w:t>
            </w:r>
            <w:r>
              <w:rPr>
                <w:rFonts w:cs="Times New Roman CE" w:ascii="Times New Roman CE" w:hAnsi="Times New Roman CE"/>
                <w:sz w:val="22"/>
                <w:szCs w:val="22"/>
                <w:lang w:val="ro-RO"/>
              </w:rPr>
              <w:t>î</w:t>
            </w:r>
            <w:r>
              <w:rPr>
                <w:sz w:val="22"/>
                <w:szCs w:val="22"/>
                <w:lang w:val="ro-RO"/>
              </w:rPr>
              <w:t>n reviste cu factor de impact 0,01- 0,1</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rFonts w:ascii="Times New Roman" w:hAnsi="Times New Roman"/>
                <w:spacing w:val="-1"/>
                <w:sz w:val="22"/>
                <w:szCs w:val="22"/>
                <w:lang w:val="ro-MD"/>
              </w:rPr>
            </w:pPr>
            <w:r>
              <w:rPr>
                <w:spacing w:val="-1"/>
                <w:sz w:val="22"/>
                <w:szCs w:val="22"/>
                <w:lang w:val="ro-MD"/>
              </w:rPr>
            </w:r>
          </w:p>
        </w:tc>
      </w:tr>
      <w:tr>
        <w:trPr/>
        <w:tc>
          <w:tcPr>
            <w:tcW w:w="594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lang w:val="ro-RO"/>
              </w:rPr>
            </w:pPr>
            <w:r>
              <w:rPr>
                <w:sz w:val="22"/>
                <w:szCs w:val="22"/>
                <w:lang w:val="ro-RO"/>
              </w:rPr>
              <w:t xml:space="preserve">Articole </w:t>
            </w:r>
            <w:r>
              <w:rPr>
                <w:rFonts w:cs="Times New Roman CE" w:ascii="Times New Roman CE" w:hAnsi="Times New Roman CE"/>
                <w:sz w:val="22"/>
                <w:szCs w:val="22"/>
                <w:lang w:val="ro-RO"/>
              </w:rPr>
              <w:t>î</w:t>
            </w:r>
            <w:r>
              <w:rPr>
                <w:sz w:val="22"/>
                <w:szCs w:val="22"/>
                <w:lang w:val="ro-RO"/>
              </w:rPr>
              <w:t xml:space="preserve">n alte reviste editate </w:t>
            </w:r>
            <w:r>
              <w:rPr>
                <w:rFonts w:cs="Times New Roman CE" w:ascii="Times New Roman CE" w:hAnsi="Times New Roman CE"/>
                <w:sz w:val="22"/>
                <w:szCs w:val="22"/>
                <w:lang w:val="ro-RO"/>
              </w:rPr>
              <w:t>î</w:t>
            </w:r>
            <w:r>
              <w:rPr>
                <w:sz w:val="22"/>
                <w:szCs w:val="22"/>
                <w:lang w:val="ro-RO"/>
              </w:rPr>
              <w:t>n str</w:t>
            </w:r>
            <w:r>
              <w:rPr>
                <w:rFonts w:cs="Times New Roman CE" w:ascii="Times New Roman CE" w:hAnsi="Times New Roman CE"/>
                <w:sz w:val="22"/>
                <w:szCs w:val="22"/>
                <w:lang w:val="ro-RO"/>
              </w:rPr>
              <w:t>ă</w:t>
            </w:r>
            <w:r>
              <w:rPr>
                <w:sz w:val="22"/>
                <w:szCs w:val="22"/>
                <w:lang w:val="ro-RO"/>
              </w:rPr>
              <w:t>in</w:t>
            </w:r>
            <w:r>
              <w:rPr>
                <w:rFonts w:cs="Times New Roman CE" w:ascii="Times New Roman CE" w:hAnsi="Times New Roman CE"/>
                <w:sz w:val="22"/>
                <w:szCs w:val="22"/>
                <w:lang w:val="ro-RO"/>
              </w:rPr>
              <w:t>ă</w:t>
            </w:r>
            <w:r>
              <w:rPr>
                <w:sz w:val="22"/>
                <w:szCs w:val="22"/>
                <w:lang w:val="ro-RO"/>
              </w:rPr>
              <w:t>tate</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lang w:val="ro-MD"/>
              </w:rPr>
            </w:pPr>
            <w:r>
              <w:rPr>
                <w:spacing w:val="-2"/>
                <w:sz w:val="22"/>
                <w:szCs w:val="22"/>
                <w:lang w:val="ro-MD"/>
              </w:rPr>
              <w:t>1</w:t>
            </w:r>
          </w:p>
        </w:tc>
      </w:tr>
      <w:tr>
        <w:trPr/>
        <w:tc>
          <w:tcPr>
            <w:tcW w:w="594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 xml:space="preserve">Monografii editate </w:t>
            </w:r>
            <w:r>
              <w:rPr>
                <w:rFonts w:cs="Times New Roman CE" w:ascii="Times New Roman CE" w:hAnsi="Times New Roman CE"/>
                <w:sz w:val="22"/>
                <w:szCs w:val="22"/>
                <w:lang w:val="ro-RO"/>
              </w:rPr>
              <w:t>î</w:t>
            </w:r>
            <w:r>
              <w:rPr>
                <w:sz w:val="22"/>
                <w:szCs w:val="22"/>
                <w:lang w:val="ro-RO"/>
              </w:rPr>
              <w:t xml:space="preserve">n </w:t>
            </w:r>
            <w:r>
              <w:rPr>
                <w:rFonts w:cs="Times New Roman CE" w:ascii="Times New Roman CE" w:hAnsi="Times New Roman CE"/>
                <w:sz w:val="22"/>
                <w:szCs w:val="22"/>
                <w:lang w:val="ro-RO"/>
              </w:rPr>
              <w:t>ţ</w:t>
            </w:r>
            <w:r>
              <w:rPr>
                <w:sz w:val="22"/>
                <w:szCs w:val="22"/>
                <w:lang w:val="ro-RO"/>
              </w:rPr>
              <w:t>ar</w:t>
            </w:r>
            <w:r>
              <w:rPr>
                <w:rFonts w:cs="Times New Roman CE" w:ascii="Times New Roman CE" w:hAnsi="Times New Roman CE"/>
                <w:sz w:val="22"/>
                <w:szCs w:val="22"/>
                <w:lang w:val="ro-RO"/>
              </w:rPr>
              <w:t>ă</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rFonts w:ascii="Times New Roman" w:hAnsi="Times New Roman"/>
                <w:spacing w:val="-2"/>
                <w:sz w:val="22"/>
                <w:szCs w:val="22"/>
                <w:lang w:val="ro-MD"/>
              </w:rPr>
            </w:pPr>
            <w:r>
              <w:rPr>
                <w:spacing w:val="-2"/>
                <w:sz w:val="22"/>
                <w:szCs w:val="22"/>
                <w:lang w:val="ro-MD"/>
              </w:rPr>
            </w:r>
          </w:p>
        </w:tc>
      </w:tr>
      <w:tr>
        <w:trPr/>
        <w:tc>
          <w:tcPr>
            <w:tcW w:w="594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vAlign w:val="bottom"/>
          </w:tcPr>
          <w:p>
            <w:pPr>
              <w:pStyle w:val="Normal"/>
              <w:widowControl/>
              <w:bidi w:val="0"/>
              <w:ind w:left="0" w:right="0" w:hanging="0"/>
              <w:jc w:val="left"/>
              <w:textAlignment w:val="auto"/>
              <w:rPr>
                <w:lang w:val="ro-RO"/>
              </w:rPr>
            </w:pPr>
            <w:r>
              <w:rPr>
                <w:sz w:val="22"/>
                <w:szCs w:val="22"/>
                <w:lang w:val="ro-RO"/>
              </w:rPr>
              <w:t xml:space="preserve">Articole </w:t>
            </w:r>
            <w:r>
              <w:rPr>
                <w:rFonts w:cs="Times New Roman CE" w:ascii="Times New Roman CE" w:hAnsi="Times New Roman CE"/>
                <w:sz w:val="22"/>
                <w:szCs w:val="22"/>
                <w:lang w:val="ro-RO"/>
              </w:rPr>
              <w:t>î</w:t>
            </w:r>
            <w:r>
              <w:rPr>
                <w:sz w:val="22"/>
                <w:szCs w:val="22"/>
                <w:lang w:val="ro-RO"/>
              </w:rPr>
              <w:t>n reviste na</w:t>
            </w:r>
            <w:r>
              <w:rPr>
                <w:rFonts w:cs="Times New Roman CE" w:ascii="Times New Roman CE" w:hAnsi="Times New Roman CE"/>
                <w:sz w:val="22"/>
                <w:szCs w:val="22"/>
                <w:lang w:val="ro-RO"/>
              </w:rPr>
              <w:t>ţ</w:t>
            </w:r>
            <w:r>
              <w:rPr>
                <w:sz w:val="22"/>
                <w:szCs w:val="22"/>
                <w:lang w:val="ro-RO"/>
              </w:rPr>
              <w:t>ionale, categoria A</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rFonts w:ascii="Times New Roman" w:hAnsi="Times New Roman"/>
                <w:spacing w:val="-3"/>
                <w:sz w:val="22"/>
                <w:szCs w:val="22"/>
                <w:lang w:val="ro-MD"/>
              </w:rPr>
            </w:pPr>
            <w:r>
              <w:rPr>
                <w:spacing w:val="-3"/>
                <w:sz w:val="22"/>
                <w:szCs w:val="22"/>
                <w:lang w:val="ro-MD"/>
              </w:rPr>
            </w:r>
          </w:p>
        </w:tc>
      </w:tr>
      <w:tr>
        <w:trPr/>
        <w:tc>
          <w:tcPr>
            <w:tcW w:w="594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vAlign w:val="bottom"/>
          </w:tcPr>
          <w:p>
            <w:pPr>
              <w:pStyle w:val="Normal"/>
              <w:widowControl/>
              <w:bidi w:val="0"/>
              <w:ind w:left="0" w:right="0" w:hanging="0"/>
              <w:jc w:val="left"/>
              <w:textAlignment w:val="auto"/>
              <w:rPr>
                <w:lang w:val="ro-RO"/>
              </w:rPr>
            </w:pPr>
            <w:r>
              <w:rPr>
                <w:sz w:val="22"/>
                <w:szCs w:val="22"/>
                <w:lang w:val="ro-RO"/>
              </w:rPr>
              <w:t xml:space="preserve">Articole </w:t>
            </w:r>
            <w:r>
              <w:rPr>
                <w:rFonts w:cs="Times New Roman CE" w:ascii="Times New Roman CE" w:hAnsi="Times New Roman CE"/>
                <w:sz w:val="22"/>
                <w:szCs w:val="22"/>
                <w:lang w:val="ro-RO"/>
              </w:rPr>
              <w:t>î</w:t>
            </w:r>
            <w:r>
              <w:rPr>
                <w:sz w:val="22"/>
                <w:szCs w:val="22"/>
                <w:lang w:val="ro-RO"/>
              </w:rPr>
              <w:t>n reviste na</w:t>
            </w:r>
            <w:r>
              <w:rPr>
                <w:rFonts w:cs="Times New Roman CE" w:ascii="Times New Roman CE" w:hAnsi="Times New Roman CE"/>
                <w:sz w:val="22"/>
                <w:szCs w:val="22"/>
                <w:lang w:val="ro-RO"/>
              </w:rPr>
              <w:t>ţ</w:t>
            </w:r>
            <w:r>
              <w:rPr>
                <w:sz w:val="22"/>
                <w:szCs w:val="22"/>
                <w:lang w:val="ro-RO"/>
              </w:rPr>
              <w:t>ionale, categoria B</w:t>
            </w:r>
            <w:r>
              <w:rPr>
                <w:sz w:val="22"/>
                <w:szCs w:val="22"/>
                <w:vertAlign w:val="superscript"/>
                <w:lang w:val="ro-RO"/>
              </w:rPr>
              <w:t>+</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lang w:val="ro-MD"/>
              </w:rPr>
            </w:pPr>
            <w:r>
              <w:rPr>
                <w:spacing w:val="-3"/>
                <w:sz w:val="22"/>
                <w:szCs w:val="22"/>
                <w:lang w:val="ro-MD"/>
              </w:rPr>
              <w:t>1</w:t>
            </w:r>
          </w:p>
        </w:tc>
      </w:tr>
      <w:tr>
        <w:trPr/>
        <w:tc>
          <w:tcPr>
            <w:tcW w:w="594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vAlign w:val="bottom"/>
          </w:tcPr>
          <w:p>
            <w:pPr>
              <w:pStyle w:val="Normal"/>
              <w:widowControl/>
              <w:bidi w:val="0"/>
              <w:ind w:left="0" w:right="0" w:hanging="0"/>
              <w:jc w:val="left"/>
              <w:textAlignment w:val="auto"/>
              <w:rPr>
                <w:lang w:val="ro-RO"/>
              </w:rPr>
            </w:pPr>
            <w:r>
              <w:rPr>
                <w:sz w:val="22"/>
                <w:szCs w:val="22"/>
                <w:lang w:val="ro-RO"/>
              </w:rPr>
              <w:t xml:space="preserve">Articole </w:t>
            </w:r>
            <w:r>
              <w:rPr>
                <w:rFonts w:cs="Times New Roman CE" w:ascii="Times New Roman CE" w:hAnsi="Times New Roman CE"/>
                <w:sz w:val="22"/>
                <w:szCs w:val="22"/>
                <w:lang w:val="ro-RO"/>
              </w:rPr>
              <w:t>î</w:t>
            </w:r>
            <w:r>
              <w:rPr>
                <w:sz w:val="22"/>
                <w:szCs w:val="22"/>
                <w:lang w:val="ro-RO"/>
              </w:rPr>
              <w:t>n reviste na</w:t>
            </w:r>
            <w:r>
              <w:rPr>
                <w:rFonts w:cs="Times New Roman CE" w:ascii="Times New Roman CE" w:hAnsi="Times New Roman CE"/>
                <w:sz w:val="22"/>
                <w:szCs w:val="22"/>
                <w:lang w:val="ro-RO"/>
              </w:rPr>
              <w:t>ţ</w:t>
            </w:r>
            <w:r>
              <w:rPr>
                <w:sz w:val="22"/>
                <w:szCs w:val="22"/>
                <w:lang w:val="ro-RO"/>
              </w:rPr>
              <w:t>ionale, categoria B</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lang w:val="ro-MD"/>
              </w:rPr>
            </w:pPr>
            <w:r>
              <w:rPr>
                <w:spacing w:val="-3"/>
                <w:sz w:val="22"/>
                <w:szCs w:val="22"/>
                <w:lang w:val="ro-MD"/>
              </w:rPr>
              <w:t>1</w:t>
            </w:r>
          </w:p>
        </w:tc>
      </w:tr>
      <w:tr>
        <w:trPr/>
        <w:tc>
          <w:tcPr>
            <w:tcW w:w="594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vAlign w:val="bottom"/>
          </w:tcPr>
          <w:p>
            <w:pPr>
              <w:pStyle w:val="Normal"/>
              <w:widowControl/>
              <w:bidi w:val="0"/>
              <w:ind w:left="0" w:right="0" w:hanging="0"/>
              <w:jc w:val="left"/>
              <w:textAlignment w:val="auto"/>
              <w:rPr>
                <w:lang w:val="ro-RO"/>
              </w:rPr>
            </w:pPr>
            <w:r>
              <w:rPr>
                <w:sz w:val="22"/>
                <w:szCs w:val="22"/>
                <w:lang w:val="ro-RO"/>
              </w:rPr>
              <w:t xml:space="preserve">Articole </w:t>
            </w:r>
            <w:r>
              <w:rPr>
                <w:rFonts w:cs="Times New Roman CE" w:ascii="Times New Roman CE" w:hAnsi="Times New Roman CE"/>
                <w:sz w:val="22"/>
                <w:szCs w:val="22"/>
                <w:lang w:val="ro-RO"/>
              </w:rPr>
              <w:t>î</w:t>
            </w:r>
            <w:r>
              <w:rPr>
                <w:sz w:val="22"/>
                <w:szCs w:val="22"/>
                <w:lang w:val="ro-RO"/>
              </w:rPr>
              <w:t>n reviste na</w:t>
            </w:r>
            <w:r>
              <w:rPr>
                <w:rFonts w:cs="Times New Roman CE" w:ascii="Times New Roman CE" w:hAnsi="Times New Roman CE"/>
                <w:sz w:val="22"/>
                <w:szCs w:val="22"/>
                <w:lang w:val="ro-RO"/>
              </w:rPr>
              <w:t>ţ</w:t>
            </w:r>
            <w:r>
              <w:rPr>
                <w:sz w:val="22"/>
                <w:szCs w:val="22"/>
                <w:lang w:val="ro-RO"/>
              </w:rPr>
              <w:t>ionale, categoria C</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rFonts w:ascii="Times New Roman" w:hAnsi="Times New Roman"/>
                <w:spacing w:val="-2"/>
                <w:sz w:val="22"/>
                <w:szCs w:val="22"/>
                <w:lang w:val="ro-MD"/>
              </w:rPr>
            </w:pPr>
            <w:r>
              <w:rPr>
                <w:spacing w:val="-2"/>
                <w:sz w:val="22"/>
                <w:szCs w:val="22"/>
                <w:lang w:val="ro-MD"/>
              </w:rPr>
            </w:r>
          </w:p>
        </w:tc>
      </w:tr>
      <w:tr>
        <w:trPr/>
        <w:tc>
          <w:tcPr>
            <w:tcW w:w="594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vAlign w:val="bottom"/>
          </w:tcPr>
          <w:p>
            <w:pPr>
              <w:pStyle w:val="Normal"/>
              <w:widowControl/>
              <w:bidi w:val="0"/>
              <w:ind w:left="0" w:right="0" w:hanging="0"/>
              <w:jc w:val="left"/>
              <w:textAlignment w:val="auto"/>
              <w:rPr>
                <w:lang w:val="ro-RO"/>
              </w:rPr>
            </w:pPr>
            <w:r>
              <w:rPr>
                <w:sz w:val="22"/>
                <w:szCs w:val="22"/>
                <w:lang w:val="ro-RO"/>
              </w:rPr>
              <w:t xml:space="preserve">Articole </w:t>
            </w:r>
            <w:r>
              <w:rPr>
                <w:rFonts w:cs="Times New Roman CE" w:ascii="Times New Roman CE" w:hAnsi="Times New Roman CE"/>
                <w:sz w:val="22"/>
                <w:szCs w:val="22"/>
                <w:lang w:val="ro-RO"/>
              </w:rPr>
              <w:t>î</w:t>
            </w:r>
            <w:r>
              <w:rPr>
                <w:sz w:val="22"/>
                <w:szCs w:val="22"/>
                <w:lang w:val="ro-RO"/>
              </w:rPr>
              <w:t>n culegeri</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lang w:val="ro-MD"/>
              </w:rPr>
            </w:pPr>
            <w:r>
              <w:rPr>
                <w:spacing w:val="-2"/>
                <w:sz w:val="22"/>
                <w:szCs w:val="22"/>
                <w:lang w:val="ro-MD"/>
              </w:rPr>
              <w:t>1</w:t>
            </w:r>
          </w:p>
        </w:tc>
      </w:tr>
      <w:tr>
        <w:trPr/>
        <w:tc>
          <w:tcPr>
            <w:tcW w:w="594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 xml:space="preserve">Participarea la foruri </w:t>
            </w:r>
            <w:r>
              <w:rPr>
                <w:rFonts w:cs="Times New Roman CE" w:ascii="Times New Roman CE" w:hAnsi="Times New Roman CE"/>
                <w:sz w:val="22"/>
                <w:szCs w:val="22"/>
                <w:lang w:val="ro-RO"/>
              </w:rPr>
              <w:t>ş</w:t>
            </w:r>
            <w:r>
              <w:rPr>
                <w:sz w:val="22"/>
                <w:szCs w:val="22"/>
                <w:lang w:val="ro-RO"/>
              </w:rPr>
              <w:t>tiin</w:t>
            </w:r>
            <w:r>
              <w:rPr>
                <w:rFonts w:cs="Times New Roman CE" w:ascii="Times New Roman CE" w:hAnsi="Times New Roman CE"/>
                <w:sz w:val="22"/>
                <w:szCs w:val="22"/>
                <w:lang w:val="ro-RO"/>
              </w:rPr>
              <w:t>ţ</w:t>
            </w:r>
            <w:r>
              <w:rPr>
                <w:sz w:val="22"/>
                <w:szCs w:val="22"/>
                <w:lang w:val="ro-RO"/>
              </w:rPr>
              <w:t>ifice</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lang w:val="ro-MD"/>
              </w:rPr>
            </w:pPr>
            <w:r>
              <w:rPr>
                <w:spacing w:val="-2"/>
                <w:sz w:val="22"/>
                <w:szCs w:val="22"/>
                <w:lang w:val="ro-MD"/>
              </w:rPr>
              <w:t>3</w:t>
            </w:r>
          </w:p>
        </w:tc>
      </w:tr>
    </w:tbl>
    <w:p>
      <w:pPr>
        <w:pStyle w:val="Normal"/>
        <w:widowControl/>
        <w:bidi w:val="0"/>
        <w:ind w:left="709" w:right="0" w:hanging="0"/>
        <w:jc w:val="left"/>
        <w:textAlignment w:val="auto"/>
        <w:rPr>
          <w:lang w:val="ro-MD"/>
        </w:rPr>
      </w:pPr>
      <w:r>
        <w:rPr>
          <w:bCs/>
          <w:i/>
          <w:sz w:val="22"/>
          <w:szCs w:val="22"/>
          <w:lang w:val="ro-MD"/>
        </w:rPr>
        <w:t>Activitatea inova</w:t>
      </w:r>
      <w:r>
        <w:rPr>
          <w:rFonts w:cs="Times New Roman CE" w:ascii="Times New Roman CE" w:hAnsi="Times New Roman CE"/>
          <w:bCs/>
          <w:i/>
          <w:sz w:val="22"/>
          <w:szCs w:val="22"/>
          <w:lang w:val="ro-MD"/>
        </w:rPr>
        <w:t>ţ</w:t>
      </w:r>
      <w:r>
        <w:rPr>
          <w:bCs/>
          <w:i/>
          <w:sz w:val="22"/>
          <w:szCs w:val="22"/>
          <w:lang w:val="ro-MD"/>
        </w:rPr>
        <w:t>iona</w:t>
      </w:r>
      <w:r>
        <w:rPr>
          <w:rFonts w:cs="Times New Roman CE" w:ascii="Times New Roman CE" w:hAnsi="Times New Roman CE"/>
          <w:bCs/>
          <w:i/>
          <w:sz w:val="22"/>
          <w:szCs w:val="22"/>
          <w:lang w:val="ro-MD"/>
        </w:rPr>
        <w:t>lă</w:t>
      </w:r>
    </w:p>
    <w:tbl>
      <w:tblPr>
        <w:tblW w:w="7859" w:type="dxa"/>
        <w:jc w:val="left"/>
        <w:tblInd w:w="540" w:type="dxa"/>
        <w:tblBorders>
          <w:top w:val="dashed" w:sz="4" w:space="0" w:color="000001"/>
          <w:left w:val="dashed" w:sz="4" w:space="0" w:color="000001"/>
          <w:bottom w:val="dashed" w:sz="4" w:space="0" w:color="000001"/>
          <w:right w:val="dashed" w:sz="4" w:space="0" w:color="000001"/>
          <w:insideH w:val="dashed" w:sz="4" w:space="0" w:color="000001"/>
          <w:insideV w:val="dashed" w:sz="4" w:space="0" w:color="000001"/>
        </w:tblBorders>
        <w:tblCellMar>
          <w:top w:w="0" w:type="dxa"/>
          <w:left w:w="103" w:type="dxa"/>
          <w:bottom w:w="0" w:type="dxa"/>
          <w:right w:w="108" w:type="dxa"/>
        </w:tblCellMar>
      </w:tblPr>
      <w:tblGrid>
        <w:gridCol w:w="5878"/>
        <w:gridCol w:w="1980"/>
      </w:tblGrid>
      <w:tr>
        <w:trPr/>
        <w:tc>
          <w:tcPr>
            <w:tcW w:w="5878"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lang w:val="ro-MD"/>
              </w:rPr>
            </w:pPr>
            <w:r>
              <w:rPr>
                <w:sz w:val="22"/>
                <w:szCs w:val="22"/>
                <w:lang w:val="ro-MD"/>
              </w:rPr>
              <w:t>Num</w:t>
            </w:r>
            <w:r>
              <w:rPr>
                <w:rFonts w:cs="Times New Roman CE" w:ascii="Times New Roman CE" w:hAnsi="Times New Roman CE"/>
                <w:sz w:val="22"/>
                <w:szCs w:val="22"/>
                <w:lang w:val="ro-MD"/>
              </w:rPr>
              <w:t>ă</w:t>
            </w:r>
            <w:r>
              <w:rPr>
                <w:sz w:val="22"/>
                <w:szCs w:val="22"/>
                <w:lang w:val="ro-MD"/>
              </w:rPr>
              <w:t xml:space="preserve">rul de cereri prezentate </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bidi w:val="0"/>
              <w:ind w:left="0" w:right="0" w:hanging="0"/>
              <w:jc w:val="left"/>
              <w:textAlignment w:val="auto"/>
              <w:rPr>
                <w:rFonts w:ascii="Times New Roman" w:hAnsi="Times New Roman"/>
                <w:spacing w:val="-1"/>
                <w:sz w:val="22"/>
                <w:szCs w:val="22"/>
                <w:lang w:val="ro-MD"/>
              </w:rPr>
            </w:pPr>
            <w:r>
              <w:rPr>
                <w:spacing w:val="-1"/>
                <w:sz w:val="22"/>
                <w:szCs w:val="22"/>
                <w:lang w:val="ro-MD"/>
              </w:rPr>
            </w:r>
          </w:p>
        </w:tc>
      </w:tr>
      <w:tr>
        <w:trPr/>
        <w:tc>
          <w:tcPr>
            <w:tcW w:w="5878"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spacing w:before="2" w:after="0"/>
              <w:ind w:left="0" w:right="0" w:hanging="0"/>
              <w:jc w:val="left"/>
              <w:textAlignment w:val="auto"/>
              <w:rPr>
                <w:lang w:val="ro-MD"/>
              </w:rPr>
            </w:pPr>
            <w:r>
              <w:rPr>
                <w:rFonts w:cs="Times New Roman CE" w:ascii="Times New Roman CE" w:hAnsi="Times New Roman CE"/>
                <w:sz w:val="22"/>
                <w:szCs w:val="22"/>
                <w:lang w:val="ro-MD"/>
              </w:rPr>
              <w:t>Numărul de hotărâri pozitive obţ</w:t>
            </w:r>
            <w:r>
              <w:rPr>
                <w:sz w:val="22"/>
                <w:szCs w:val="22"/>
                <w:lang w:val="ro-MD"/>
              </w:rPr>
              <w:t>inute</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bidi w:val="0"/>
              <w:ind w:left="0" w:right="0" w:hanging="0"/>
              <w:jc w:val="left"/>
              <w:textAlignment w:val="auto"/>
              <w:rPr>
                <w:rFonts w:ascii="Times New Roman" w:hAnsi="Times New Roman"/>
                <w:spacing w:val="-1"/>
                <w:sz w:val="22"/>
                <w:szCs w:val="22"/>
                <w:lang w:val="ro-MD"/>
              </w:rPr>
            </w:pPr>
            <w:r>
              <w:rPr>
                <w:spacing w:val="-1"/>
                <w:sz w:val="22"/>
                <w:szCs w:val="22"/>
                <w:lang w:val="ro-MD"/>
              </w:rPr>
            </w:r>
          </w:p>
        </w:tc>
      </w:tr>
      <w:tr>
        <w:trPr/>
        <w:tc>
          <w:tcPr>
            <w:tcW w:w="5878"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spacing w:before="2" w:after="0"/>
              <w:ind w:left="0" w:right="0" w:hanging="0"/>
              <w:jc w:val="left"/>
              <w:textAlignment w:val="auto"/>
              <w:rPr>
                <w:lang w:val="ro-MD"/>
              </w:rPr>
            </w:pPr>
            <w:r>
              <w:rPr>
                <w:rFonts w:cs="Times New Roman CE" w:ascii="Times New Roman CE" w:hAnsi="Times New Roman CE"/>
                <w:sz w:val="22"/>
                <w:szCs w:val="22"/>
                <w:lang w:val="ro-MD"/>
              </w:rPr>
              <w:t>Număul de brevete obţ</w:t>
            </w:r>
            <w:r>
              <w:rPr>
                <w:sz w:val="22"/>
                <w:szCs w:val="22"/>
                <w:lang w:val="ro-MD"/>
              </w:rPr>
              <w:t>inute</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bidi w:val="0"/>
              <w:ind w:left="0" w:right="0" w:hanging="0"/>
              <w:jc w:val="left"/>
              <w:textAlignment w:val="auto"/>
              <w:rPr>
                <w:rFonts w:ascii="Times New Roman" w:hAnsi="Times New Roman"/>
                <w:spacing w:val="-1"/>
                <w:sz w:val="22"/>
                <w:szCs w:val="22"/>
                <w:lang w:val="ro-MD"/>
              </w:rPr>
            </w:pPr>
            <w:r>
              <w:rPr>
                <w:spacing w:val="-1"/>
                <w:sz w:val="22"/>
                <w:szCs w:val="22"/>
                <w:lang w:val="ro-MD"/>
              </w:rPr>
            </w:r>
          </w:p>
        </w:tc>
      </w:tr>
      <w:tr>
        <w:trPr/>
        <w:tc>
          <w:tcPr>
            <w:tcW w:w="5878"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spacing w:before="2" w:after="0"/>
              <w:ind w:left="0" w:right="0" w:hanging="0"/>
              <w:jc w:val="left"/>
              <w:textAlignment w:val="auto"/>
              <w:rPr>
                <w:lang w:val="ro-MD"/>
              </w:rPr>
            </w:pPr>
            <w:r>
              <w:rPr>
                <w:sz w:val="22"/>
                <w:szCs w:val="22"/>
                <w:lang w:val="ro-MD"/>
              </w:rPr>
              <w:t>Num</w:t>
            </w:r>
            <w:r>
              <w:rPr>
                <w:rFonts w:cs="Times New Roman CE" w:ascii="Times New Roman CE" w:hAnsi="Times New Roman CE"/>
                <w:sz w:val="22"/>
                <w:szCs w:val="22"/>
                <w:lang w:val="ro-MD"/>
              </w:rPr>
              <w:t>ă</w:t>
            </w:r>
            <w:r>
              <w:rPr>
                <w:sz w:val="22"/>
                <w:szCs w:val="22"/>
                <w:lang w:val="ro-MD"/>
              </w:rPr>
              <w:t>rul de brevete implementate</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bidi w:val="0"/>
              <w:ind w:left="0" w:right="0" w:hanging="0"/>
              <w:jc w:val="left"/>
              <w:textAlignment w:val="auto"/>
              <w:rPr>
                <w:rFonts w:ascii="Times New Roman" w:hAnsi="Times New Roman"/>
                <w:spacing w:val="-1"/>
                <w:sz w:val="22"/>
                <w:szCs w:val="22"/>
                <w:lang w:val="ro-MD"/>
              </w:rPr>
            </w:pPr>
            <w:r>
              <w:rPr>
                <w:spacing w:val="-1"/>
                <w:sz w:val="22"/>
                <w:szCs w:val="22"/>
                <w:lang w:val="ro-MD"/>
              </w:rPr>
            </w:r>
          </w:p>
        </w:tc>
      </w:tr>
    </w:tbl>
    <w:p>
      <w:pPr>
        <w:pStyle w:val="Normal"/>
        <w:widowControl w:val="false"/>
        <w:numPr>
          <w:ilvl w:val="0"/>
          <w:numId w:val="16"/>
        </w:numPr>
        <w:shd w:fill="FFFFFF"/>
        <w:tabs>
          <w:tab w:val="left" w:pos="180" w:leader="none"/>
        </w:tabs>
        <w:bidi w:val="0"/>
        <w:spacing w:lineRule="exact" w:line="320" w:before="0" w:after="120"/>
        <w:ind w:left="181" w:right="0" w:hanging="0"/>
        <w:jc w:val="left"/>
        <w:textAlignment w:val="auto"/>
        <w:rPr>
          <w:lang w:val="ro-MD"/>
        </w:rPr>
      </w:pPr>
      <w:r>
        <w:rPr>
          <w:i/>
          <w:sz w:val="22"/>
          <w:szCs w:val="22"/>
          <w:lang w:val="ro-MD"/>
        </w:rPr>
        <w:t>Re</w:t>
      </w:r>
      <w:r>
        <w:rPr>
          <w:i/>
          <w:spacing w:val="-1"/>
          <w:sz w:val="22"/>
          <w:szCs w:val="22"/>
          <w:lang w:val="ro-MD"/>
        </w:rPr>
        <w:t>zu</w:t>
      </w:r>
      <w:r>
        <w:rPr>
          <w:rFonts w:cs="Times New Roman CE" w:ascii="Times New Roman CE" w:hAnsi="Times New Roman CE"/>
          <w:i/>
          <w:sz w:val="22"/>
          <w:szCs w:val="22"/>
          <w:lang w:val="ro-MD"/>
        </w:rPr>
        <w:t>ltatele ştiinţifice obţinute în anul de referinţă</w:t>
      </w:r>
      <w:r>
        <w:rPr>
          <w:i/>
          <w:sz w:val="22"/>
          <w:szCs w:val="22"/>
          <w:lang w:val="ro-MD"/>
        </w:rPr>
        <w:t xml:space="preserve"> ( p</w:t>
      </w:r>
      <w:r>
        <w:rPr>
          <w:rFonts w:cs="Times New Roman CE" w:ascii="Times New Roman CE" w:hAnsi="Times New Roman CE"/>
          <w:i/>
          <w:sz w:val="22"/>
          <w:szCs w:val="22"/>
          <w:lang w:val="ro-MD"/>
        </w:rPr>
        <w:t>ână la 100 de cuvinte)</w:t>
      </w:r>
    </w:p>
    <w:tbl>
      <w:tblPr>
        <w:tblW w:w="10029" w:type="dxa"/>
        <w:jc w:val="left"/>
        <w:tblInd w:w="540" w:type="dxa"/>
        <w:tblBorders>
          <w:top w:val="dashed" w:sz="4" w:space="0" w:color="000001"/>
          <w:left w:val="dashed" w:sz="4" w:space="0" w:color="000001"/>
          <w:bottom w:val="dashed" w:sz="4" w:space="0" w:color="000001"/>
          <w:right w:val="dashed" w:sz="4" w:space="0" w:color="000001"/>
          <w:insideH w:val="dashed" w:sz="4" w:space="0" w:color="000001"/>
          <w:insideV w:val="dashed" w:sz="4" w:space="0" w:color="000001"/>
        </w:tblBorders>
        <w:tblCellMar>
          <w:top w:w="0" w:type="dxa"/>
          <w:left w:w="103" w:type="dxa"/>
          <w:bottom w:w="0" w:type="dxa"/>
          <w:right w:w="108" w:type="dxa"/>
        </w:tblCellMar>
      </w:tblPr>
      <w:tblGrid>
        <w:gridCol w:w="10029"/>
      </w:tblGrid>
      <w:tr>
        <w:trPr>
          <w:trHeight w:val="714" w:hRule="atLeast"/>
        </w:trPr>
        <w:tc>
          <w:tcPr>
            <w:tcW w:w="10029"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val="false"/>
              <w:bidi w:val="0"/>
              <w:spacing w:lineRule="auto" w:line="276"/>
              <w:ind w:left="0" w:right="0" w:hanging="0"/>
              <w:jc w:val="left"/>
              <w:textAlignment w:val="auto"/>
              <w:rPr>
                <w:lang w:val="ro-MD"/>
              </w:rPr>
            </w:pPr>
            <w:r>
              <w:rPr>
                <w:rFonts w:cs="Times New Roman CE" w:ascii="Times New Roman CE" w:hAnsi="Times New Roman CE"/>
                <w:sz w:val="22"/>
                <w:szCs w:val="22"/>
                <w:lang w:val="ro-MD"/>
              </w:rPr>
              <w:t>Au fost obţinute expresii analitice ale caracteristicelor de performanţa şi  elaboraţi algoritmi numerici pentru modele ehaustive polling cu vacanţe semimarkoviene şi priorităţi</w:t>
            </w:r>
          </w:p>
        </w:tc>
      </w:tr>
    </w:tbl>
    <w:p>
      <w:pPr>
        <w:pStyle w:val="Normal"/>
        <w:widowControl w:val="false"/>
        <w:numPr>
          <w:ilvl w:val="0"/>
          <w:numId w:val="16"/>
        </w:numPr>
        <w:shd w:fill="FFFFFF"/>
        <w:tabs>
          <w:tab w:val="left" w:pos="180" w:leader="none"/>
        </w:tabs>
        <w:bidi w:val="0"/>
        <w:spacing w:before="60" w:after="60"/>
        <w:ind w:left="181" w:right="0" w:hanging="0"/>
        <w:jc w:val="left"/>
        <w:textAlignment w:val="auto"/>
        <w:rPr>
          <w:lang w:val="ro-MD"/>
        </w:rPr>
      </w:pPr>
      <w:r>
        <w:rPr>
          <w:i/>
          <w:iCs/>
          <w:spacing w:val="4"/>
          <w:sz w:val="22"/>
          <w:szCs w:val="22"/>
          <w:lang w:val="ro-MD"/>
        </w:rPr>
        <w:t>Activitatea didactic</w:t>
      </w:r>
      <w:r>
        <w:rPr>
          <w:rFonts w:cs="Times New Roman CE" w:ascii="Times New Roman CE" w:hAnsi="Times New Roman CE"/>
          <w:i/>
          <w:iCs/>
          <w:spacing w:val="4"/>
          <w:sz w:val="22"/>
          <w:szCs w:val="22"/>
          <w:lang w:val="ro-MD"/>
        </w:rPr>
        <w:t>ă</w:t>
      </w:r>
    </w:p>
    <w:tbl>
      <w:tblPr>
        <w:tblW w:w="9923" w:type="dxa"/>
        <w:jc w:val="left"/>
        <w:tblInd w:w="284" w:type="dxa"/>
        <w:tblBorders>
          <w:top w:val="dashed" w:sz="4" w:space="0" w:color="999999"/>
          <w:left w:val="dashed" w:sz="4" w:space="0" w:color="999999"/>
          <w:bottom w:val="dashed" w:sz="4" w:space="0" w:color="999999"/>
          <w:right w:val="dashed" w:sz="4" w:space="0" w:color="999999"/>
          <w:insideH w:val="dashed" w:sz="4" w:space="0" w:color="999999"/>
          <w:insideV w:val="dashed" w:sz="4" w:space="0" w:color="999999"/>
        </w:tblBorders>
        <w:tblCellMar>
          <w:top w:w="0" w:type="dxa"/>
          <w:left w:w="103" w:type="dxa"/>
          <w:bottom w:w="0" w:type="dxa"/>
          <w:right w:w="108" w:type="dxa"/>
        </w:tblCellMar>
      </w:tblPr>
      <w:tblGrid>
        <w:gridCol w:w="8222"/>
        <w:gridCol w:w="1700"/>
      </w:tblGrid>
      <w:tr>
        <w:trPr/>
        <w:tc>
          <w:tcPr>
            <w:tcW w:w="8222" w:type="dxa"/>
            <w:tcBorders>
              <w:top w:val="dashed" w:sz="4" w:space="0" w:color="999999"/>
              <w:left w:val="dashed" w:sz="4" w:space="0" w:color="999999"/>
              <w:bottom w:val="dashed" w:sz="4" w:space="0" w:color="999999"/>
              <w:right w:val="dashed" w:sz="4" w:space="0" w:color="999999"/>
              <w:insideH w:val="dashed" w:sz="4" w:space="0" w:color="999999"/>
              <w:insideV w:val="dashed" w:sz="4" w:space="0" w:color="999999"/>
            </w:tcBorders>
            <w:shd w:fill="auto" w:val="clear"/>
            <w:tcMar>
              <w:left w:w="103" w:type="dxa"/>
            </w:tcMar>
          </w:tcPr>
          <w:p>
            <w:pPr>
              <w:pStyle w:val="Normal"/>
              <w:widowControl/>
              <w:shd w:fill="FFFFFF"/>
              <w:tabs>
                <w:tab w:val="left" w:pos="709" w:leader="none"/>
                <w:tab w:val="left" w:pos="1134" w:leader="none"/>
              </w:tabs>
              <w:bidi w:val="0"/>
              <w:spacing w:before="2" w:after="0"/>
              <w:ind w:left="0" w:right="0" w:hanging="0"/>
              <w:jc w:val="left"/>
              <w:textAlignment w:val="auto"/>
              <w:rPr>
                <w:lang w:val="ro-MD"/>
              </w:rPr>
            </w:pPr>
            <w:r>
              <w:rPr>
                <w:rFonts w:cs="Times New Roman CE" w:ascii="Times New Roman CE" w:hAnsi="Times New Roman CE"/>
                <w:sz w:val="22"/>
                <w:szCs w:val="22"/>
                <w:lang w:val="ro-MD"/>
              </w:rPr>
              <w:t>Numărul</w:t>
            </w:r>
            <w:r>
              <w:rPr>
                <w:sz w:val="22"/>
                <w:szCs w:val="22"/>
                <w:lang w:val="ro-MD"/>
              </w:rPr>
              <w:t xml:space="preserve"> cursurilor </w:t>
            </w:r>
            <w:r>
              <w:rPr>
                <w:rFonts w:cs="Times New Roman CE" w:ascii="Times New Roman CE" w:hAnsi="Times New Roman CE"/>
                <w:sz w:val="22"/>
                <w:szCs w:val="22"/>
                <w:lang w:val="ro-MD"/>
              </w:rPr>
              <w:t>ţ</w:t>
            </w:r>
            <w:r>
              <w:rPr>
                <w:sz w:val="22"/>
                <w:szCs w:val="22"/>
                <w:lang w:val="ro-MD"/>
              </w:rPr>
              <w:t>inute</w:t>
            </w:r>
          </w:p>
        </w:tc>
        <w:tc>
          <w:tcPr>
            <w:tcW w:w="1700" w:type="dxa"/>
            <w:tcBorders>
              <w:top w:val="dashed" w:sz="4" w:space="0" w:color="999999"/>
              <w:left w:val="dashed" w:sz="4" w:space="0" w:color="999999"/>
              <w:bottom w:val="dashed" w:sz="4" w:space="0" w:color="999999"/>
              <w:right w:val="dashed" w:sz="4" w:space="0" w:color="999999"/>
              <w:insideH w:val="dashed" w:sz="4" w:space="0" w:color="999999"/>
              <w:insideV w:val="dashed" w:sz="4" w:space="0" w:color="999999"/>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lang w:val="ro-MD"/>
              </w:rPr>
            </w:pPr>
            <w:r>
              <w:rPr>
                <w:spacing w:val="-1"/>
                <w:sz w:val="22"/>
                <w:szCs w:val="22"/>
                <w:lang w:val="ro-MD"/>
              </w:rPr>
              <w:t>4</w:t>
            </w:r>
          </w:p>
        </w:tc>
      </w:tr>
      <w:tr>
        <w:trPr/>
        <w:tc>
          <w:tcPr>
            <w:tcW w:w="8222" w:type="dxa"/>
            <w:tcBorders>
              <w:top w:val="dashed" w:sz="4" w:space="0" w:color="999999"/>
              <w:left w:val="dashed" w:sz="4" w:space="0" w:color="999999"/>
              <w:bottom w:val="dashed" w:sz="4" w:space="0" w:color="999999"/>
              <w:right w:val="dashed" w:sz="4" w:space="0" w:color="999999"/>
              <w:insideH w:val="dashed" w:sz="4" w:space="0" w:color="999999"/>
              <w:insideV w:val="dashed" w:sz="4" w:space="0" w:color="999999"/>
            </w:tcBorders>
            <w:shd w:fill="auto" w:val="clear"/>
            <w:tcMar>
              <w:left w:w="103" w:type="dxa"/>
            </w:tcMar>
          </w:tcPr>
          <w:p>
            <w:pPr>
              <w:pStyle w:val="Normal"/>
              <w:widowControl/>
              <w:shd w:fill="FFFFFF"/>
              <w:tabs>
                <w:tab w:val="left" w:pos="709" w:leader="none"/>
                <w:tab w:val="left" w:pos="1134" w:leader="none"/>
              </w:tabs>
              <w:bidi w:val="0"/>
              <w:spacing w:before="2" w:after="0"/>
              <w:ind w:left="0" w:right="0" w:hanging="0"/>
              <w:jc w:val="left"/>
              <w:textAlignment w:val="auto"/>
              <w:rPr>
                <w:lang w:val="ro-MD"/>
              </w:rPr>
            </w:pPr>
            <w:r>
              <w:rPr>
                <w:rFonts w:cs="Times New Roman CE" w:ascii="Times New Roman CE" w:hAnsi="Times New Roman CE"/>
                <w:sz w:val="22"/>
                <w:szCs w:val="22"/>
                <w:lang w:val="ro-MD"/>
              </w:rPr>
              <w:t>Numărul total de persoane la care a  fost conducător ş</w:t>
            </w:r>
            <w:r>
              <w:rPr>
                <w:sz w:val="22"/>
                <w:szCs w:val="22"/>
                <w:lang w:val="ro-MD"/>
              </w:rPr>
              <w:t>tiin</w:t>
            </w:r>
            <w:r>
              <w:rPr>
                <w:rFonts w:cs="Times New Roman CE" w:ascii="Times New Roman CE" w:hAnsi="Times New Roman CE"/>
                <w:sz w:val="22"/>
                <w:szCs w:val="22"/>
                <w:lang w:val="ro-MD"/>
              </w:rPr>
              <w:t>ţ</w:t>
            </w:r>
            <w:r>
              <w:rPr>
                <w:sz w:val="22"/>
                <w:szCs w:val="22"/>
                <w:lang w:val="ro-MD"/>
              </w:rPr>
              <w:t>ific al tezei de doctorat</w:t>
            </w:r>
          </w:p>
        </w:tc>
        <w:tc>
          <w:tcPr>
            <w:tcW w:w="1700" w:type="dxa"/>
            <w:tcBorders>
              <w:top w:val="dashed" w:sz="4" w:space="0" w:color="999999"/>
              <w:left w:val="dashed" w:sz="4" w:space="0" w:color="999999"/>
              <w:bottom w:val="dashed" w:sz="4" w:space="0" w:color="999999"/>
              <w:right w:val="dashed" w:sz="4" w:space="0" w:color="999999"/>
              <w:insideH w:val="dashed" w:sz="4" w:space="0" w:color="999999"/>
              <w:insideV w:val="dashed" w:sz="4" w:space="0" w:color="999999"/>
            </w:tcBorders>
            <w:shd w:fill="auto" w:val="clear"/>
            <w:tcMar>
              <w:left w:w="103" w:type="dxa"/>
            </w:tcMar>
          </w:tcPr>
          <w:p>
            <w:pPr>
              <w:pStyle w:val="Normal"/>
              <w:widowControl/>
              <w:shd w:fill="FFFFFF"/>
              <w:tabs>
                <w:tab w:val="left" w:pos="709" w:leader="none"/>
                <w:tab w:val="left" w:pos="1134" w:leader="none"/>
              </w:tabs>
              <w:bidi w:val="0"/>
              <w:spacing w:before="2" w:after="0"/>
              <w:ind w:left="0" w:right="0" w:hanging="0"/>
              <w:jc w:val="left"/>
              <w:textAlignment w:val="auto"/>
              <w:rPr>
                <w:lang w:val="ro-MD"/>
              </w:rPr>
            </w:pPr>
            <w:r>
              <w:rPr>
                <w:spacing w:val="-1"/>
                <w:sz w:val="22"/>
                <w:szCs w:val="22"/>
                <w:lang w:val="ro-MD"/>
              </w:rPr>
              <w:t>3</w:t>
            </w:r>
          </w:p>
        </w:tc>
      </w:tr>
      <w:tr>
        <w:trPr/>
        <w:tc>
          <w:tcPr>
            <w:tcW w:w="8222" w:type="dxa"/>
            <w:tcBorders>
              <w:top w:val="dashed" w:sz="4" w:space="0" w:color="999999"/>
              <w:left w:val="dashed" w:sz="4" w:space="0" w:color="999999"/>
              <w:bottom w:val="dashed" w:sz="4" w:space="0" w:color="999999"/>
              <w:right w:val="dashed" w:sz="4" w:space="0" w:color="999999"/>
              <w:insideH w:val="dashed" w:sz="4" w:space="0" w:color="999999"/>
              <w:insideV w:val="dashed" w:sz="4" w:space="0" w:color="999999"/>
            </w:tcBorders>
            <w:shd w:fill="auto" w:val="clear"/>
            <w:tcMar>
              <w:left w:w="103" w:type="dxa"/>
            </w:tcMar>
          </w:tcPr>
          <w:p>
            <w:pPr>
              <w:pStyle w:val="Normal"/>
              <w:widowControl/>
              <w:shd w:fill="FFFFFF"/>
              <w:tabs>
                <w:tab w:val="left" w:pos="709" w:leader="none"/>
                <w:tab w:val="left" w:pos="1134" w:leader="none"/>
              </w:tabs>
              <w:bidi w:val="0"/>
              <w:spacing w:before="2" w:after="0"/>
              <w:ind w:left="0" w:right="0" w:hanging="0"/>
              <w:jc w:val="left"/>
              <w:textAlignment w:val="auto"/>
              <w:rPr>
                <w:lang w:val="ro-MD"/>
              </w:rPr>
            </w:pPr>
            <w:r>
              <w:rPr>
                <w:rFonts w:cs="Times New Roman CE" w:ascii="Times New Roman CE" w:hAnsi="Times New Roman CE"/>
                <w:sz w:val="22"/>
                <w:szCs w:val="22"/>
                <w:lang w:val="ro-MD"/>
              </w:rPr>
              <w:t>Numărul persoanelor la care a  fost conducă</w:t>
            </w:r>
            <w:r>
              <w:rPr>
                <w:sz w:val="22"/>
                <w:szCs w:val="22"/>
                <w:lang w:val="ro-MD"/>
              </w:rPr>
              <w:t xml:space="preserve">tor </w:t>
            </w:r>
            <w:r>
              <w:rPr>
                <w:rFonts w:cs="Times New Roman CE" w:ascii="Times New Roman CE" w:hAnsi="Times New Roman CE"/>
                <w:sz w:val="22"/>
                <w:szCs w:val="22"/>
                <w:lang w:val="ro-MD"/>
              </w:rPr>
              <w:t>ş</w:t>
            </w:r>
            <w:r>
              <w:rPr>
                <w:sz w:val="22"/>
                <w:szCs w:val="22"/>
                <w:lang w:val="ro-MD"/>
              </w:rPr>
              <w:t>tiin</w:t>
            </w:r>
            <w:r>
              <w:rPr>
                <w:rFonts w:cs="Times New Roman CE" w:ascii="Times New Roman CE" w:hAnsi="Times New Roman CE"/>
                <w:sz w:val="22"/>
                <w:szCs w:val="22"/>
                <w:lang w:val="ro-MD"/>
              </w:rPr>
              <w:t>ţ</w:t>
            </w:r>
            <w:r>
              <w:rPr>
                <w:sz w:val="22"/>
                <w:szCs w:val="22"/>
                <w:lang w:val="ro-MD"/>
              </w:rPr>
              <w:t xml:space="preserve">ific </w:t>
            </w:r>
            <w:r>
              <w:rPr>
                <w:rFonts w:cs="Times New Roman CE" w:ascii="Times New Roman CE" w:hAnsi="Times New Roman CE"/>
                <w:sz w:val="22"/>
                <w:szCs w:val="22"/>
                <w:lang w:val="ro-MD"/>
              </w:rPr>
              <w:t>ş</w:t>
            </w:r>
            <w:r>
              <w:rPr>
                <w:sz w:val="22"/>
                <w:szCs w:val="22"/>
                <w:lang w:val="ro-MD"/>
              </w:rPr>
              <w:t>i care au sus</w:t>
            </w:r>
            <w:r>
              <w:rPr>
                <w:rFonts w:cs="Times New Roman CE" w:ascii="Times New Roman CE" w:hAnsi="Times New Roman CE"/>
                <w:sz w:val="22"/>
                <w:szCs w:val="22"/>
                <w:lang w:val="ro-MD"/>
              </w:rPr>
              <w:t>ţ</w:t>
            </w:r>
            <w:r>
              <w:rPr>
                <w:sz w:val="22"/>
                <w:szCs w:val="22"/>
                <w:lang w:val="ro-MD"/>
              </w:rPr>
              <w:t xml:space="preserve">inut teza </w:t>
            </w:r>
          </w:p>
        </w:tc>
        <w:tc>
          <w:tcPr>
            <w:tcW w:w="1700" w:type="dxa"/>
            <w:tcBorders>
              <w:top w:val="dashed" w:sz="4" w:space="0" w:color="999999"/>
              <w:left w:val="dashed" w:sz="4" w:space="0" w:color="999999"/>
              <w:bottom w:val="dashed" w:sz="4" w:space="0" w:color="999999"/>
              <w:right w:val="dashed" w:sz="4" w:space="0" w:color="999999"/>
              <w:insideH w:val="dashed" w:sz="4" w:space="0" w:color="999999"/>
              <w:insideV w:val="dashed" w:sz="4" w:space="0" w:color="999999"/>
            </w:tcBorders>
            <w:shd w:fill="auto" w:val="clear"/>
            <w:tcMar>
              <w:left w:w="103" w:type="dxa"/>
            </w:tcMar>
          </w:tcPr>
          <w:p>
            <w:pPr>
              <w:pStyle w:val="Normal"/>
              <w:widowControl/>
              <w:shd w:fill="FFFFFF"/>
              <w:tabs>
                <w:tab w:val="left" w:pos="709" w:leader="none"/>
                <w:tab w:val="left" w:pos="1134" w:leader="none"/>
              </w:tabs>
              <w:bidi w:val="0"/>
              <w:spacing w:before="2" w:after="0"/>
              <w:ind w:left="0" w:right="0" w:hanging="0"/>
              <w:jc w:val="left"/>
              <w:textAlignment w:val="auto"/>
              <w:rPr>
                <w:rFonts w:ascii="Times New Roman" w:hAnsi="Times New Roman"/>
                <w:spacing w:val="-1"/>
                <w:sz w:val="22"/>
                <w:szCs w:val="22"/>
                <w:lang w:val="ro-MD"/>
              </w:rPr>
            </w:pPr>
            <w:r>
              <w:rPr>
                <w:spacing w:val="-1"/>
                <w:sz w:val="22"/>
                <w:szCs w:val="22"/>
                <w:lang w:val="ro-MD"/>
              </w:rPr>
            </w:r>
          </w:p>
        </w:tc>
      </w:tr>
      <w:tr>
        <w:trPr/>
        <w:tc>
          <w:tcPr>
            <w:tcW w:w="8222" w:type="dxa"/>
            <w:tcBorders>
              <w:top w:val="dashed" w:sz="4" w:space="0" w:color="999999"/>
              <w:left w:val="dashed" w:sz="4" w:space="0" w:color="999999"/>
              <w:bottom w:val="dashed" w:sz="4" w:space="0" w:color="999999"/>
              <w:right w:val="dashed" w:sz="4" w:space="0" w:color="999999"/>
              <w:insideH w:val="dashed" w:sz="4" w:space="0" w:color="999999"/>
              <w:insideV w:val="dashed" w:sz="4" w:space="0" w:color="999999"/>
            </w:tcBorders>
            <w:shd w:fill="auto" w:val="clear"/>
            <w:tcMar>
              <w:left w:w="103" w:type="dxa"/>
            </w:tcMar>
          </w:tcPr>
          <w:p>
            <w:pPr>
              <w:pStyle w:val="Normal"/>
              <w:widowControl/>
              <w:shd w:fill="FFFFFF"/>
              <w:tabs>
                <w:tab w:val="left" w:pos="709" w:leader="none"/>
                <w:tab w:val="left" w:pos="1134" w:leader="none"/>
              </w:tabs>
              <w:bidi w:val="0"/>
              <w:spacing w:before="2" w:after="0"/>
              <w:ind w:left="0" w:right="0" w:hanging="0"/>
              <w:jc w:val="left"/>
              <w:textAlignment w:val="auto"/>
              <w:rPr>
                <w:lang w:val="ro-MD"/>
              </w:rPr>
            </w:pPr>
            <w:r>
              <w:rPr>
                <w:rFonts w:cs="Times New Roman CE" w:ascii="Times New Roman CE" w:hAnsi="Times New Roman CE"/>
                <w:sz w:val="22"/>
                <w:szCs w:val="22"/>
                <w:lang w:val="ro-MD"/>
              </w:rPr>
              <w:t>Numărul</w:t>
            </w:r>
            <w:r>
              <w:rPr>
                <w:spacing w:val="-1"/>
                <w:sz w:val="22"/>
                <w:szCs w:val="22"/>
                <w:lang w:val="ro-MD"/>
              </w:rPr>
              <w:t xml:space="preserve"> manualelor, materialelor didactice editate</w:t>
            </w:r>
          </w:p>
        </w:tc>
        <w:tc>
          <w:tcPr>
            <w:tcW w:w="1700" w:type="dxa"/>
            <w:tcBorders>
              <w:top w:val="dashed" w:sz="4" w:space="0" w:color="999999"/>
              <w:left w:val="dashed" w:sz="4" w:space="0" w:color="999999"/>
              <w:bottom w:val="dashed" w:sz="4" w:space="0" w:color="999999"/>
              <w:right w:val="dashed" w:sz="4" w:space="0" w:color="999999"/>
              <w:insideH w:val="dashed" w:sz="4" w:space="0" w:color="999999"/>
              <w:insideV w:val="dashed" w:sz="4" w:space="0" w:color="999999"/>
            </w:tcBorders>
            <w:shd w:fill="auto" w:val="clear"/>
            <w:tcMar>
              <w:left w:w="103" w:type="dxa"/>
            </w:tcMar>
          </w:tcPr>
          <w:p>
            <w:pPr>
              <w:pStyle w:val="Normal"/>
              <w:widowControl/>
              <w:shd w:fill="FFFFFF"/>
              <w:tabs>
                <w:tab w:val="left" w:pos="709" w:leader="none"/>
                <w:tab w:val="left" w:pos="1134" w:leader="none"/>
              </w:tabs>
              <w:bidi w:val="0"/>
              <w:spacing w:before="2" w:after="0"/>
              <w:ind w:left="0" w:right="0" w:hanging="0"/>
              <w:jc w:val="left"/>
              <w:textAlignment w:val="auto"/>
              <w:rPr>
                <w:rFonts w:ascii="Times New Roman" w:hAnsi="Times New Roman"/>
                <w:spacing w:val="-1"/>
                <w:sz w:val="22"/>
                <w:szCs w:val="22"/>
                <w:lang w:val="ro-MD"/>
              </w:rPr>
            </w:pPr>
            <w:r>
              <w:rPr>
                <w:spacing w:val="-1"/>
                <w:sz w:val="22"/>
                <w:szCs w:val="22"/>
                <w:lang w:val="ro-MD"/>
              </w:rPr>
            </w:r>
          </w:p>
        </w:tc>
      </w:tr>
    </w:tbl>
    <w:p>
      <w:pPr>
        <w:pStyle w:val="Normal"/>
        <w:widowControl w:val="false"/>
        <w:numPr>
          <w:ilvl w:val="0"/>
          <w:numId w:val="16"/>
        </w:numPr>
        <w:shd w:fill="FFFFFF"/>
        <w:tabs>
          <w:tab w:val="left" w:pos="180" w:leader="none"/>
        </w:tabs>
        <w:bidi w:val="0"/>
        <w:spacing w:before="60" w:after="60"/>
        <w:ind w:left="181" w:right="0" w:hanging="0"/>
        <w:jc w:val="left"/>
        <w:textAlignment w:val="auto"/>
        <w:rPr>
          <w:lang w:val="ro-MD"/>
        </w:rPr>
      </w:pPr>
      <w:r>
        <w:rPr>
          <w:i/>
          <w:iCs/>
          <w:w w:val="121"/>
          <w:sz w:val="22"/>
          <w:szCs w:val="22"/>
          <w:lang w:val="ro-MD"/>
        </w:rPr>
        <w:t>Activitatea managerial</w:t>
      </w:r>
      <w:r>
        <w:rPr>
          <w:rFonts w:cs="Times New Roman CE" w:ascii="Times New Roman CE" w:hAnsi="Times New Roman CE"/>
          <w:i/>
          <w:iCs/>
          <w:w w:val="121"/>
          <w:sz w:val="22"/>
          <w:szCs w:val="22"/>
          <w:lang w:val="ro-MD"/>
        </w:rPr>
        <w:t>ă</w:t>
      </w:r>
    </w:p>
    <w:tbl>
      <w:tblPr>
        <w:tblW w:w="9488" w:type="dxa"/>
        <w:jc w:val="left"/>
        <w:tblInd w:w="284" w:type="dxa"/>
        <w:tblBorders>
          <w:top w:val="dashed" w:sz="4" w:space="0" w:color="999999"/>
          <w:left w:val="dashed" w:sz="4" w:space="0" w:color="999999"/>
          <w:bottom w:val="dashed" w:sz="4" w:space="0" w:color="999999"/>
          <w:right w:val="dashed" w:sz="4" w:space="0" w:color="999999"/>
          <w:insideH w:val="dashed" w:sz="4" w:space="0" w:color="999999"/>
          <w:insideV w:val="dashed" w:sz="4" w:space="0" w:color="999999"/>
        </w:tblBorders>
        <w:tblCellMar>
          <w:top w:w="0" w:type="dxa"/>
          <w:left w:w="103" w:type="dxa"/>
          <w:bottom w:w="0" w:type="dxa"/>
          <w:right w:w="108" w:type="dxa"/>
        </w:tblCellMar>
      </w:tblPr>
      <w:tblGrid>
        <w:gridCol w:w="9488"/>
      </w:tblGrid>
      <w:tr>
        <w:trPr/>
        <w:tc>
          <w:tcPr>
            <w:tcW w:w="9488" w:type="dxa"/>
            <w:tcBorders>
              <w:top w:val="dashed" w:sz="4" w:space="0" w:color="999999"/>
              <w:left w:val="dashed" w:sz="4" w:space="0" w:color="999999"/>
              <w:bottom w:val="dashed" w:sz="4" w:space="0" w:color="999999"/>
              <w:right w:val="dashed" w:sz="4" w:space="0" w:color="999999"/>
              <w:insideH w:val="dashed" w:sz="4" w:space="0" w:color="999999"/>
              <w:insideV w:val="dashed" w:sz="4" w:space="0" w:color="999999"/>
            </w:tcBorders>
            <w:shd w:fill="auto" w:val="clear"/>
            <w:tcMar>
              <w:left w:w="103" w:type="dxa"/>
            </w:tcMar>
          </w:tcPr>
          <w:p>
            <w:pPr>
              <w:pStyle w:val="Normal"/>
              <w:widowControl/>
              <w:shd w:fill="FFFFFF"/>
              <w:tabs>
                <w:tab w:val="left" w:pos="709" w:leader="none"/>
                <w:tab w:val="left" w:pos="1134" w:leader="none"/>
              </w:tabs>
              <w:bidi w:val="0"/>
              <w:spacing w:lineRule="exact" w:line="271"/>
              <w:ind w:left="0" w:right="0" w:hanging="0"/>
              <w:jc w:val="left"/>
              <w:textAlignment w:val="auto"/>
              <w:rPr>
                <w:lang w:val="ro-MD"/>
              </w:rPr>
            </w:pPr>
            <w:r>
              <w:rPr>
                <w:spacing w:val="-1"/>
                <w:sz w:val="22"/>
                <w:szCs w:val="22"/>
                <w:lang w:val="ro-MD"/>
              </w:rPr>
              <w:t xml:space="preserve">Actvitate </w:t>
            </w:r>
            <w:r>
              <w:rPr>
                <w:rFonts w:cs="Times New Roman CE" w:ascii="Times New Roman CE" w:hAnsi="Times New Roman CE"/>
                <w:spacing w:val="-1"/>
                <w:sz w:val="22"/>
                <w:szCs w:val="22"/>
                <w:lang w:val="ro-MD"/>
              </w:rPr>
              <w:t>î</w:t>
            </w:r>
            <w:r>
              <w:rPr>
                <w:spacing w:val="-1"/>
                <w:sz w:val="22"/>
                <w:szCs w:val="22"/>
                <w:lang w:val="ro-MD"/>
              </w:rPr>
              <w:t xml:space="preserve">n calitate de  </w:t>
            </w:r>
            <w:r>
              <w:rPr>
                <w:rFonts w:cs="Cambria Math" w:ascii="Cambria Math" w:hAnsi="Cambria Math"/>
                <w:spacing w:val="-1"/>
                <w:sz w:val="22"/>
                <w:szCs w:val="22"/>
                <w:lang w:val="ro-MD"/>
              </w:rPr>
              <w:t>ș</w:t>
            </w:r>
            <w:r>
              <w:rPr>
                <w:spacing w:val="-1"/>
                <w:sz w:val="22"/>
                <w:szCs w:val="22"/>
                <w:lang w:val="ro-MD"/>
              </w:rPr>
              <w:t>ef al catedrei „Matematic</w:t>
            </w:r>
            <w:r>
              <w:rPr>
                <w:rFonts w:cs="Times New Roman CE" w:ascii="Times New Roman CE" w:hAnsi="Times New Roman CE"/>
                <w:spacing w:val="-1"/>
                <w:sz w:val="22"/>
                <w:szCs w:val="22"/>
                <w:lang w:val="ro-MD"/>
              </w:rPr>
              <w:t xml:space="preserve">ă </w:t>
            </w:r>
            <w:r>
              <w:rPr>
                <w:rFonts w:cs="Cambria Math" w:ascii="Cambria Math" w:hAnsi="Cambria Math"/>
                <w:spacing w:val="-1"/>
                <w:sz w:val="22"/>
                <w:szCs w:val="22"/>
                <w:lang w:val="ro-MD"/>
              </w:rPr>
              <w:t>ș</w:t>
            </w:r>
            <w:r>
              <w:rPr>
                <w:spacing w:val="-1"/>
                <w:sz w:val="22"/>
                <w:szCs w:val="22"/>
                <w:lang w:val="ro-MD"/>
              </w:rPr>
              <w:t>i Statistic</w:t>
            </w:r>
            <w:r>
              <w:rPr>
                <w:rFonts w:cs="Times New Roman CE" w:ascii="Times New Roman CE" w:hAnsi="Times New Roman CE"/>
                <w:spacing w:val="-1"/>
                <w:sz w:val="22"/>
                <w:szCs w:val="22"/>
                <w:lang w:val="ro-MD"/>
              </w:rPr>
              <w:t>ă</w:t>
            </w:r>
            <w:r>
              <w:rPr>
                <w:spacing w:val="-1"/>
                <w:sz w:val="22"/>
                <w:szCs w:val="22"/>
                <w:lang w:val="ro-MD"/>
              </w:rPr>
              <w:t xml:space="preserve">” </w:t>
            </w:r>
            <w:r>
              <w:rPr>
                <w:rFonts w:cs="Cambria Math" w:ascii="Cambria Math" w:hAnsi="Cambria Math"/>
                <w:spacing w:val="-1"/>
                <w:sz w:val="22"/>
                <w:szCs w:val="22"/>
                <w:lang w:val="ro-MD"/>
              </w:rPr>
              <w:t>ș</w:t>
            </w:r>
            <w:r>
              <w:rPr>
                <w:spacing w:val="-1"/>
                <w:sz w:val="22"/>
                <w:szCs w:val="22"/>
                <w:lang w:val="ro-MD"/>
              </w:rPr>
              <w:t xml:space="preserve">i </w:t>
            </w:r>
            <w:r>
              <w:rPr>
                <w:rFonts w:cs="Cambria Math" w:ascii="Cambria Math" w:hAnsi="Cambria Math"/>
                <w:spacing w:val="-1"/>
                <w:sz w:val="22"/>
                <w:szCs w:val="22"/>
                <w:lang w:val="ro-MD"/>
              </w:rPr>
              <w:t>ș</w:t>
            </w:r>
            <w:r>
              <w:rPr>
                <w:spacing w:val="-1"/>
                <w:sz w:val="22"/>
                <w:szCs w:val="22"/>
                <w:lang w:val="ro-MD"/>
              </w:rPr>
              <w:t>ef al sec</w:t>
            </w:r>
            <w:r>
              <w:rPr>
                <w:rFonts w:cs="Cambria Math" w:ascii="Cambria Math" w:hAnsi="Cambria Math"/>
                <w:spacing w:val="-1"/>
                <w:sz w:val="22"/>
                <w:szCs w:val="22"/>
                <w:lang w:val="ro-MD"/>
              </w:rPr>
              <w:t>ț</w:t>
            </w:r>
            <w:r>
              <w:rPr>
                <w:spacing w:val="-1"/>
                <w:sz w:val="22"/>
                <w:szCs w:val="22"/>
                <w:lang w:val="ro-MD"/>
              </w:rPr>
              <w:t xml:space="preserve">iei „Modele Econometrice Moderne </w:t>
            </w:r>
            <w:r>
              <w:rPr>
                <w:rFonts w:cs="Cambria Math" w:ascii="Cambria Math" w:hAnsi="Cambria Math"/>
                <w:spacing w:val="-1"/>
                <w:sz w:val="22"/>
                <w:szCs w:val="22"/>
                <w:lang w:val="ro-MD"/>
              </w:rPr>
              <w:t>ș</w:t>
            </w:r>
            <w:r>
              <w:rPr>
                <w:spacing w:val="-1"/>
                <w:sz w:val="22"/>
                <w:szCs w:val="22"/>
                <w:lang w:val="ro-MD"/>
              </w:rPr>
              <w:t>i Tehnologii Informa</w:t>
            </w:r>
            <w:r>
              <w:rPr>
                <w:rFonts w:cs="Cambria Math" w:ascii="Cambria Math" w:hAnsi="Cambria Math"/>
                <w:spacing w:val="-1"/>
                <w:sz w:val="22"/>
                <w:szCs w:val="22"/>
                <w:lang w:val="ro-MD"/>
              </w:rPr>
              <w:t>ț</w:t>
            </w:r>
            <w:r>
              <w:rPr>
                <w:spacing w:val="-1"/>
                <w:sz w:val="22"/>
                <w:szCs w:val="22"/>
                <w:lang w:val="ro-MD"/>
              </w:rPr>
              <w:t>ionale”  al Institutului de Investiga</w:t>
            </w:r>
            <w:r>
              <w:rPr>
                <w:rFonts w:cs="Cambria Math" w:ascii="Cambria Math" w:hAnsi="Cambria Math"/>
                <w:spacing w:val="-1"/>
                <w:sz w:val="22"/>
                <w:szCs w:val="22"/>
                <w:lang w:val="ro-MD"/>
              </w:rPr>
              <w:t>ț</w:t>
            </w:r>
            <w:r>
              <w:rPr>
                <w:spacing w:val="-1"/>
                <w:sz w:val="22"/>
                <w:szCs w:val="22"/>
                <w:lang w:val="ro-MD"/>
              </w:rPr>
              <w:t xml:space="preserve">ii Strategice </w:t>
            </w:r>
            <w:r>
              <w:rPr>
                <w:rFonts w:cs="Times New Roman CE" w:ascii="Times New Roman CE" w:hAnsi="Times New Roman CE"/>
                <w:spacing w:val="-1"/>
                <w:sz w:val="22"/>
                <w:szCs w:val="22"/>
                <w:lang w:val="ro-MD"/>
              </w:rPr>
              <w:t>î</w:t>
            </w:r>
            <w:r>
              <w:rPr>
                <w:spacing w:val="-1"/>
                <w:sz w:val="22"/>
                <w:szCs w:val="22"/>
                <w:lang w:val="ro-MD"/>
              </w:rPr>
              <w:t>n Economie al Universit</w:t>
            </w:r>
            <w:r>
              <w:rPr>
                <w:rFonts w:cs="Times New Roman CE" w:ascii="Times New Roman CE" w:hAnsi="Times New Roman CE"/>
                <w:spacing w:val="-1"/>
                <w:sz w:val="22"/>
                <w:szCs w:val="22"/>
                <w:lang w:val="ro-MD"/>
              </w:rPr>
              <w:t>ă</w:t>
            </w:r>
            <w:r>
              <w:rPr>
                <w:rFonts w:cs="Cambria Math" w:ascii="Cambria Math" w:hAnsi="Cambria Math"/>
                <w:spacing w:val="-1"/>
                <w:sz w:val="22"/>
                <w:szCs w:val="22"/>
                <w:lang w:val="ro-MD"/>
              </w:rPr>
              <w:t>ț</w:t>
            </w:r>
            <w:r>
              <w:rPr>
                <w:spacing w:val="-1"/>
                <w:sz w:val="22"/>
                <w:szCs w:val="22"/>
                <w:lang w:val="ro-MD"/>
              </w:rPr>
              <w:t>ii Libere Interna</w:t>
            </w:r>
            <w:r>
              <w:rPr>
                <w:rFonts w:cs="Cambria Math" w:ascii="Cambria Math" w:hAnsi="Cambria Math"/>
                <w:spacing w:val="-1"/>
                <w:sz w:val="22"/>
                <w:szCs w:val="22"/>
                <w:lang w:val="ro-MD"/>
              </w:rPr>
              <w:t>ț</w:t>
            </w:r>
            <w:r>
              <w:rPr>
                <w:spacing w:val="-1"/>
                <w:sz w:val="22"/>
                <w:szCs w:val="22"/>
                <w:lang w:val="ro-MD"/>
              </w:rPr>
              <w:t>ionale din Moldova.</w:t>
            </w:r>
          </w:p>
        </w:tc>
      </w:tr>
    </w:tbl>
    <w:p>
      <w:pPr>
        <w:pStyle w:val="Normal"/>
        <w:widowControl w:val="false"/>
        <w:numPr>
          <w:ilvl w:val="0"/>
          <w:numId w:val="16"/>
        </w:numPr>
        <w:shd w:fill="FFFFFF"/>
        <w:tabs>
          <w:tab w:val="left" w:pos="180" w:leader="none"/>
        </w:tabs>
        <w:bidi w:val="0"/>
        <w:spacing w:before="120" w:after="0"/>
        <w:ind w:left="181" w:right="0" w:hanging="0"/>
        <w:jc w:val="left"/>
        <w:textAlignment w:val="auto"/>
        <w:rPr>
          <w:lang w:val="ro-MD"/>
        </w:rPr>
      </w:pPr>
      <w:r>
        <w:rPr>
          <w:bCs/>
          <w:i/>
          <w:iCs/>
          <w:spacing w:val="2"/>
          <w:sz w:val="22"/>
          <w:szCs w:val="22"/>
          <w:lang w:val="ro-MD"/>
        </w:rPr>
        <w:t>Informa</w:t>
      </w:r>
      <w:r>
        <w:rPr>
          <w:rFonts w:cs="Times New Roman CE" w:ascii="Times New Roman CE" w:hAnsi="Times New Roman CE"/>
          <w:bCs/>
          <w:i/>
          <w:iCs/>
          <w:spacing w:val="2"/>
          <w:sz w:val="22"/>
          <w:szCs w:val="22"/>
          <w:lang w:val="ro-MD"/>
        </w:rPr>
        <w:t>ţ</w:t>
      </w:r>
      <w:r>
        <w:rPr>
          <w:bCs/>
          <w:i/>
          <w:iCs/>
          <w:spacing w:val="2"/>
          <w:sz w:val="22"/>
          <w:szCs w:val="22"/>
          <w:lang w:val="ro-MD"/>
        </w:rPr>
        <w:t xml:space="preserve">ii </w:t>
      </w:r>
      <w:r>
        <w:rPr>
          <w:i/>
          <w:iCs/>
          <w:spacing w:val="2"/>
          <w:sz w:val="22"/>
          <w:szCs w:val="22"/>
          <w:lang w:val="ro-MD"/>
        </w:rPr>
        <w:t>generale</w:t>
      </w:r>
      <w:r>
        <w:rPr>
          <w:spacing w:val="-1"/>
          <w:sz w:val="22"/>
          <w:szCs w:val="22"/>
          <w:lang w:val="ro-MD"/>
        </w:rPr>
        <w:t xml:space="preserve"> </w:t>
      </w:r>
    </w:p>
    <w:p>
      <w:pPr>
        <w:pStyle w:val="Normal"/>
        <w:widowControl/>
        <w:bidi w:val="0"/>
        <w:ind w:left="240" w:right="0" w:hanging="0"/>
        <w:jc w:val="left"/>
        <w:textAlignment w:val="auto"/>
        <w:rPr>
          <w:lang w:val="en-US"/>
        </w:rPr>
      </w:pPr>
      <w:r>
        <w:rPr>
          <w:sz w:val="22"/>
          <w:szCs w:val="22"/>
          <w:lang w:val="en-US"/>
        </w:rPr>
        <w:t>In anul 2016 decorat cu ordinul  “Gloria Muncii”</w:t>
      </w:r>
    </w:p>
    <w:p>
      <w:pPr>
        <w:pStyle w:val="Normal"/>
        <w:widowControl w:val="false"/>
        <w:numPr>
          <w:ilvl w:val="0"/>
          <w:numId w:val="16"/>
        </w:numPr>
        <w:shd w:fill="FFFFFF"/>
        <w:tabs>
          <w:tab w:val="left" w:pos="180" w:leader="none"/>
        </w:tabs>
        <w:bidi w:val="0"/>
        <w:spacing w:before="60" w:after="60"/>
        <w:ind w:left="181" w:right="0" w:hanging="0"/>
        <w:jc w:val="left"/>
        <w:textAlignment w:val="auto"/>
        <w:rPr>
          <w:lang w:val="ro-RO"/>
        </w:rPr>
      </w:pPr>
      <w:r>
        <w:rPr>
          <w:i/>
          <w:sz w:val="22"/>
          <w:szCs w:val="22"/>
          <w:lang w:val="ro-RO"/>
        </w:rPr>
        <w:t>Alte a</w:t>
      </w:r>
      <w:r>
        <w:rPr>
          <w:rFonts w:cs="Times New Roman CE" w:ascii="Times New Roman CE" w:hAnsi="Times New Roman CE"/>
          <w:i/>
          <w:sz w:val="22"/>
          <w:szCs w:val="22"/>
          <w:lang w:val="ro-RO"/>
        </w:rPr>
        <w:t>ctivităţ</w:t>
      </w:r>
      <w:r>
        <w:rPr>
          <w:i/>
          <w:sz w:val="22"/>
          <w:szCs w:val="22"/>
          <w:lang w:val="ro-RO"/>
        </w:rPr>
        <w:t>i</w:t>
      </w:r>
      <w:r>
        <w:rPr>
          <w:sz w:val="22"/>
          <w:szCs w:val="22"/>
          <w:lang w:val="ro-RO"/>
        </w:rPr>
        <w:t xml:space="preserve"> </w:t>
      </w:r>
    </w:p>
    <w:p>
      <w:pPr>
        <w:pStyle w:val="Normal"/>
        <w:widowControl/>
        <w:bidi w:val="0"/>
        <w:ind w:left="0" w:right="0" w:hanging="0"/>
        <w:jc w:val="left"/>
        <w:textAlignment w:val="auto"/>
        <w:rPr>
          <w:lang w:val="fr-FR"/>
        </w:rPr>
      </w:pPr>
      <w:r>
        <w:rPr>
          <w:rFonts w:cs="Times New Roman CE" w:ascii="Times New Roman CE" w:hAnsi="Times New Roman CE"/>
          <w:sz w:val="22"/>
          <w:szCs w:val="22"/>
          <w:lang w:val="fr-FR"/>
        </w:rPr>
        <w:t xml:space="preserve">Preşedinte al Consiliului Specializat de sustinere de la USM ( teza de dr. </w:t>
      </w:r>
      <w:r>
        <w:rPr>
          <w:rFonts w:cs="Times New Roman CE" w:ascii="Times New Roman CE" w:hAnsi="Times New Roman CE"/>
          <w:sz w:val="22"/>
          <w:szCs w:val="22"/>
          <w:lang w:val="es-ES"/>
        </w:rPr>
        <w:t>S. Grigoriu); membru al Biroului Consiliului de Expertiză ASM; membru al Comisiei de Expertiză CNAA şi a.</w:t>
      </w:r>
      <w:r>
        <w:rPr>
          <w:sz w:val="22"/>
          <w:szCs w:val="22"/>
          <w:lang w:val="es-ES"/>
        </w:rPr>
        <w:t xml:space="preserve"> </w:t>
      </w:r>
    </w:p>
    <w:p>
      <w:pPr>
        <w:pStyle w:val="Normal"/>
        <w:widowControl/>
        <w:bidi w:val="0"/>
        <w:ind w:left="0" w:right="0" w:hanging="0"/>
        <w:jc w:val="left"/>
        <w:textAlignment w:val="auto"/>
        <w:rPr>
          <w:rFonts w:ascii="Times New Roman" w:hAnsi="Times New Roman"/>
          <w:sz w:val="22"/>
          <w:szCs w:val="22"/>
          <w:lang w:val="es-ES"/>
        </w:rPr>
      </w:pPr>
      <w:r>
        <w:rPr>
          <w:sz w:val="22"/>
          <w:szCs w:val="22"/>
          <w:lang w:val="es-ES"/>
        </w:rPr>
      </w:r>
    </w:p>
    <w:p>
      <w:pPr>
        <w:pStyle w:val="Normal"/>
        <w:widowControl/>
        <w:bidi w:val="0"/>
        <w:ind w:left="0" w:right="0" w:hanging="0"/>
        <w:jc w:val="left"/>
        <w:textAlignment w:val="auto"/>
        <w:rPr>
          <w:lang w:val="es-ES"/>
        </w:rPr>
      </w:pPr>
      <w:r>
        <w:rPr>
          <w:b/>
          <w:i/>
          <w:sz w:val="22"/>
          <w:szCs w:val="22"/>
          <w:lang w:val="es-ES"/>
        </w:rPr>
        <w:t>Semn</w:t>
      </w:r>
      <w:r>
        <w:rPr>
          <w:rFonts w:cs="Times New Roman CE" w:ascii="Times New Roman CE" w:hAnsi="Times New Roman CE"/>
          <w:b/>
          <w:i/>
          <w:sz w:val="22"/>
          <w:szCs w:val="22"/>
          <w:lang w:val="ro-RO"/>
        </w:rPr>
        <w:t>ă</w:t>
      </w:r>
      <w:r>
        <w:rPr>
          <w:b/>
          <w:i/>
          <w:sz w:val="22"/>
          <w:szCs w:val="22"/>
          <w:lang w:val="es-ES"/>
        </w:rPr>
        <w:t>tura</w:t>
      </w:r>
      <w:r>
        <w:rPr>
          <w:b/>
          <w:i/>
          <w:sz w:val="22"/>
          <w:szCs w:val="22"/>
          <w:lang w:val="ro-RO"/>
        </w:rPr>
        <w:t xml:space="preserve"> </w:t>
        <w:tab/>
        <w:tab/>
        <w:tab/>
        <w:tab/>
        <w:tab/>
        <w:tab/>
        <w:tab/>
        <w:tab/>
        <w:t>M</w:t>
      </w:r>
      <w:r>
        <w:rPr>
          <w:rFonts w:cs="Times New Roman CE" w:ascii="Times New Roman CE" w:hAnsi="Times New Roman CE"/>
          <w:b/>
          <w:i/>
          <w:sz w:val="22"/>
          <w:szCs w:val="22"/>
          <w:lang w:val="ro-RO"/>
        </w:rPr>
        <w:t>IŞCOI</w:t>
      </w:r>
      <w:r>
        <w:rPr>
          <w:b/>
          <w:i/>
          <w:sz w:val="22"/>
          <w:szCs w:val="22"/>
          <w:lang w:val="ro-RO"/>
        </w:rPr>
        <w:t xml:space="preserve"> Gheorghe</w:t>
      </w:r>
    </w:p>
    <w:p>
      <w:pPr>
        <w:pStyle w:val="2"/>
        <w:keepNext/>
        <w:widowControl/>
        <w:numPr>
          <w:ilvl w:val="0"/>
          <w:numId w:val="0"/>
        </w:numPr>
        <w:bidi w:val="0"/>
        <w:ind w:left="0" w:right="0" w:hanging="0"/>
        <w:jc w:val="left"/>
        <w:textAlignment w:val="auto"/>
        <w:outlineLvl w:val="1"/>
        <w:rPr/>
      </w:pPr>
      <w:bookmarkStart w:id="87" w:name="_Toc469651892"/>
      <w:bookmarkEnd w:id="87"/>
      <w:r>
        <w:rPr>
          <w:i/>
          <w:sz w:val="26"/>
          <w:szCs w:val="26"/>
        </w:rPr>
        <w:t>Membru corespondent VULPE Nicolae</w:t>
      </w:r>
    </w:p>
    <w:p>
      <w:pPr>
        <w:pStyle w:val="Normal"/>
        <w:widowControl/>
        <w:shd w:fill="FFFFFF"/>
        <w:bidi w:val="0"/>
        <w:spacing w:lineRule="exact" w:line="266"/>
        <w:ind w:left="164" w:right="0" w:hanging="0"/>
        <w:jc w:val="center"/>
        <w:textAlignment w:val="auto"/>
        <w:rPr>
          <w:lang w:val="ro-MD"/>
        </w:rPr>
      </w:pPr>
      <w:r>
        <w:rPr>
          <w:rFonts w:cs="Times New Roman CE" w:ascii="Times New Roman CE" w:hAnsi="Times New Roman CE"/>
          <w:spacing w:val="40"/>
          <w:sz w:val="22"/>
          <w:szCs w:val="22"/>
          <w:lang w:val="ro-MD"/>
        </w:rPr>
        <w:t>FIŞA</w:t>
      </w:r>
    </w:p>
    <w:p>
      <w:pPr>
        <w:pStyle w:val="Normal"/>
        <w:widowControl/>
        <w:shd w:fill="FFFFFF"/>
        <w:bidi w:val="0"/>
        <w:spacing w:lineRule="exact" w:line="266"/>
        <w:ind w:left="0" w:right="58" w:hanging="0"/>
        <w:jc w:val="center"/>
        <w:textAlignment w:val="auto"/>
        <w:rPr>
          <w:lang w:val="ro-MD"/>
        </w:rPr>
      </w:pPr>
      <w:r>
        <w:rPr>
          <w:rFonts w:cs="Times New Roman CE" w:ascii="Times New Roman CE" w:hAnsi="Times New Roman CE"/>
          <w:sz w:val="22"/>
          <w:szCs w:val="22"/>
          <w:lang w:val="ro-MD"/>
        </w:rPr>
        <w:t>raportului de activitate în anul</w:t>
      </w:r>
      <w:r>
        <w:rPr>
          <w:color w:val="C00000"/>
          <w:spacing w:val="4"/>
          <w:sz w:val="22"/>
          <w:szCs w:val="22"/>
          <w:lang w:val="ro-MD"/>
        </w:rPr>
        <w:t xml:space="preserve"> </w:t>
      </w:r>
      <w:r>
        <w:rPr>
          <w:spacing w:val="4"/>
          <w:sz w:val="22"/>
          <w:szCs w:val="22"/>
          <w:lang w:val="ro-MD"/>
        </w:rPr>
        <w:t>2016</w:t>
      </w:r>
    </w:p>
    <w:p>
      <w:pPr>
        <w:pStyle w:val="Normal"/>
        <w:widowControl w:val="false"/>
        <w:numPr>
          <w:ilvl w:val="0"/>
          <w:numId w:val="18"/>
        </w:numPr>
        <w:shd w:fill="FFFFFF"/>
        <w:bidi w:val="0"/>
        <w:ind w:left="1080" w:right="0" w:hanging="0"/>
        <w:jc w:val="left"/>
        <w:textAlignment w:val="auto"/>
        <w:rPr>
          <w:lang w:val="ro-MD"/>
        </w:rPr>
      </w:pPr>
      <w:r>
        <w:rPr>
          <w:rFonts w:cs="Times New Roman CE" w:ascii="Times New Roman CE" w:hAnsi="Times New Roman CE"/>
          <w:spacing w:val="-1"/>
          <w:sz w:val="22"/>
          <w:szCs w:val="22"/>
          <w:lang w:val="ro-MD"/>
        </w:rPr>
        <w:t xml:space="preserve">Titlul, numele şi prenumele  </w:t>
      </w:r>
      <w:r>
        <w:rPr>
          <w:rFonts w:cs="Times New Roman CE" w:ascii="Times New Roman CE" w:hAnsi="Times New Roman CE"/>
          <w:b/>
          <w:spacing w:val="-1"/>
          <w:sz w:val="22"/>
          <w:szCs w:val="22"/>
          <w:lang w:val="ro-MD"/>
        </w:rPr>
        <w:t>m. cor. A.Ş.M.</w:t>
      </w:r>
      <w:r>
        <w:rPr>
          <w:spacing w:val="-1"/>
          <w:sz w:val="22"/>
          <w:szCs w:val="22"/>
          <w:lang w:val="ro-MD"/>
        </w:rPr>
        <w:t xml:space="preserve"> </w:t>
      </w:r>
      <w:r>
        <w:rPr>
          <w:b/>
          <w:spacing w:val="-1"/>
          <w:sz w:val="22"/>
          <w:szCs w:val="22"/>
          <w:lang w:val="ro-MD"/>
        </w:rPr>
        <w:t>VULPE Nicolae</w:t>
      </w:r>
    </w:p>
    <w:p>
      <w:pPr>
        <w:pStyle w:val="Normal"/>
        <w:widowControl w:val="false"/>
        <w:numPr>
          <w:ilvl w:val="0"/>
          <w:numId w:val="69"/>
        </w:numPr>
        <w:shd w:fill="FFFFFF"/>
        <w:tabs>
          <w:tab w:val="left" w:pos="180" w:leader="none"/>
        </w:tabs>
        <w:bidi w:val="0"/>
        <w:ind w:left="180" w:right="0" w:hanging="0"/>
        <w:jc w:val="left"/>
        <w:textAlignment w:val="auto"/>
        <w:rPr>
          <w:lang w:val="ro-MD"/>
        </w:rPr>
      </w:pPr>
      <w:r>
        <w:rPr>
          <w:rFonts w:cs="Times New Roman CE" w:ascii="Times New Roman CE" w:hAnsi="Times New Roman CE"/>
          <w:iCs/>
          <w:spacing w:val="1"/>
          <w:sz w:val="22"/>
          <w:szCs w:val="22"/>
          <w:lang w:val="ro-MD"/>
        </w:rPr>
        <w:t>Activitatea ştiinţifică</w:t>
      </w:r>
    </w:p>
    <w:tbl>
      <w:tblPr>
        <w:tblW w:w="10029" w:type="dxa"/>
        <w:jc w:val="left"/>
        <w:tblInd w:w="601" w:type="dxa"/>
        <w:tblBorders>
          <w:top w:val="dashed" w:sz="4" w:space="0" w:color="000001"/>
          <w:left w:val="dashed" w:sz="4" w:space="0" w:color="000001"/>
          <w:bottom w:val="dashed" w:sz="4" w:space="0" w:color="000001"/>
          <w:right w:val="dashed" w:sz="4" w:space="0" w:color="000001"/>
          <w:insideH w:val="dashed" w:sz="4" w:space="0" w:color="000001"/>
          <w:insideV w:val="dashed" w:sz="4" w:space="0" w:color="000001"/>
        </w:tblBorders>
        <w:tblCellMar>
          <w:top w:w="0" w:type="dxa"/>
          <w:left w:w="103" w:type="dxa"/>
          <w:bottom w:w="0" w:type="dxa"/>
          <w:right w:w="108" w:type="dxa"/>
        </w:tblCellMar>
      </w:tblPr>
      <w:tblGrid>
        <w:gridCol w:w="10029"/>
      </w:tblGrid>
      <w:tr>
        <w:trPr>
          <w:trHeight w:val="553" w:hRule="atLeast"/>
        </w:trPr>
        <w:tc>
          <w:tcPr>
            <w:tcW w:w="10029"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tabs>
                <w:tab w:val="left" w:pos="605" w:leader="none"/>
              </w:tabs>
              <w:bidi w:val="0"/>
              <w:ind w:left="0" w:right="0" w:hanging="0"/>
              <w:jc w:val="left"/>
              <w:textAlignment w:val="auto"/>
              <w:rPr>
                <w:lang w:val="ro-MD"/>
              </w:rPr>
            </w:pPr>
            <w:r>
              <w:rPr>
                <w:rFonts w:cs="Times New Roman CE" w:ascii="Times New Roman CE" w:hAnsi="Times New Roman CE"/>
                <w:b/>
                <w:spacing w:val="-1"/>
                <w:sz w:val="22"/>
                <w:szCs w:val="22"/>
                <w:lang w:val="ro-MD"/>
              </w:rPr>
              <w:t xml:space="preserve">Conducător  </w:t>
            </w:r>
            <w:r>
              <w:rPr>
                <w:b/>
                <w:spacing w:val="-1"/>
                <w:sz w:val="22"/>
                <w:szCs w:val="22"/>
                <w:lang w:val="ro-MD"/>
              </w:rPr>
              <w:t xml:space="preserve">al </w:t>
            </w:r>
            <w:r>
              <w:rPr>
                <w:rFonts w:cs="Times New Roman CE" w:ascii="Times New Roman CE" w:hAnsi="Times New Roman CE"/>
                <w:b/>
                <w:spacing w:val="-1"/>
                <w:sz w:val="22"/>
                <w:szCs w:val="22"/>
                <w:lang w:val="ro-MD"/>
              </w:rPr>
              <w:t xml:space="preserve"> proiectului  de cercetări </w:t>
            </w:r>
            <w:r>
              <w:rPr>
                <w:b/>
                <w:spacing w:val="-1"/>
                <w:sz w:val="22"/>
                <w:szCs w:val="22"/>
                <w:lang w:val="ro-MD"/>
              </w:rPr>
              <w:t xml:space="preserve">fundamentale </w:t>
            </w:r>
            <w:r>
              <w:rPr>
                <w:b/>
                <w:sz w:val="22"/>
                <w:szCs w:val="22"/>
                <w:lang w:val="ro-MD"/>
              </w:rPr>
              <w:t xml:space="preserve"> „</w:t>
            </w:r>
            <w:r>
              <w:rPr>
                <w:i/>
                <w:sz w:val="22"/>
                <w:szCs w:val="22"/>
                <w:lang w:val="ro-MD"/>
              </w:rPr>
              <w:t>15.817.02.03F Invarian</w:t>
            </w:r>
            <w:r>
              <w:rPr>
                <w:rFonts w:cs="Cambria Math" w:ascii="Cambria Math" w:hAnsi="Cambria Math"/>
                <w:i/>
                <w:sz w:val="22"/>
                <w:szCs w:val="22"/>
                <w:lang w:val="ro-RO"/>
              </w:rPr>
              <w:t>ț</w:t>
            </w:r>
            <w:r>
              <w:rPr>
                <w:i/>
                <w:sz w:val="22"/>
                <w:szCs w:val="22"/>
                <w:lang w:val="ro-RO"/>
              </w:rPr>
              <w:t xml:space="preserve">ii algebrici </w:t>
            </w:r>
            <w:r>
              <w:rPr>
                <w:rFonts w:cs="Cambria Math" w:ascii="Cambria Math" w:hAnsi="Cambria Math"/>
                <w:i/>
                <w:sz w:val="22"/>
                <w:szCs w:val="22"/>
                <w:lang w:val="ro-RO"/>
              </w:rPr>
              <w:t>ș</w:t>
            </w:r>
            <w:r>
              <w:rPr>
                <w:rFonts w:cs="Times New Roman CE" w:ascii="Times New Roman CE" w:hAnsi="Times New Roman CE"/>
                <w:i/>
                <w:sz w:val="22"/>
                <w:szCs w:val="22"/>
                <w:lang w:val="ro-RO"/>
              </w:rPr>
              <w:t>i geometrici în studiul calitat</w:t>
            </w:r>
            <w:r>
              <w:rPr>
                <w:i/>
                <w:sz w:val="22"/>
                <w:szCs w:val="22"/>
                <w:lang w:val="ro-RO"/>
              </w:rPr>
              <w:t>iv al sistemelor diferen</w:t>
            </w:r>
            <w:r>
              <w:rPr>
                <w:rFonts w:cs="Times New Roman CE" w:ascii="Times New Roman CE" w:hAnsi="Times New Roman CE"/>
                <w:i/>
                <w:sz w:val="22"/>
                <w:szCs w:val="22"/>
                <w:lang w:val="ro-RO"/>
              </w:rPr>
              <w:t>ţ</w:t>
            </w:r>
            <w:r>
              <w:rPr>
                <w:i/>
                <w:sz w:val="22"/>
                <w:szCs w:val="22"/>
                <w:lang w:val="ro-RO"/>
              </w:rPr>
              <w:t>iale polinomiale</w:t>
            </w:r>
            <w:r>
              <w:rPr>
                <w:b/>
                <w:sz w:val="22"/>
                <w:szCs w:val="22"/>
                <w:lang w:val="ro-RO"/>
              </w:rPr>
              <w:t>”</w:t>
            </w:r>
          </w:p>
        </w:tc>
      </w:tr>
    </w:tbl>
    <w:p>
      <w:pPr>
        <w:pStyle w:val="Normal"/>
        <w:widowControl/>
        <w:numPr>
          <w:ilvl w:val="0"/>
          <w:numId w:val="69"/>
        </w:numPr>
        <w:shd w:fill="FFFFFF"/>
        <w:tabs>
          <w:tab w:val="left" w:pos="180" w:leader="none"/>
          <w:tab w:val="left" w:pos="709" w:leader="none"/>
          <w:tab w:val="left" w:pos="1134" w:leader="none"/>
        </w:tabs>
        <w:bidi w:val="0"/>
        <w:ind w:left="180" w:right="0" w:hanging="0"/>
        <w:jc w:val="left"/>
        <w:textAlignment w:val="auto"/>
        <w:rPr>
          <w:lang w:val="ro-MD"/>
        </w:rPr>
      </w:pPr>
      <w:r>
        <w:rPr>
          <w:rFonts w:cs="Times New Roman CE" w:ascii="Times New Roman CE" w:hAnsi="Times New Roman CE"/>
          <w:i/>
          <w:spacing w:val="-1"/>
          <w:sz w:val="22"/>
          <w:szCs w:val="22"/>
          <w:lang w:val="ro-MD"/>
        </w:rPr>
        <w:t>Rezultatele ştiinţifice principale</w:t>
      </w:r>
    </w:p>
    <w:tbl>
      <w:tblPr>
        <w:tblW w:w="7921" w:type="dxa"/>
        <w:jc w:val="left"/>
        <w:tblInd w:w="601" w:type="dxa"/>
        <w:tblBorders>
          <w:top w:val="dashed" w:sz="4" w:space="0" w:color="000001"/>
          <w:left w:val="dashed" w:sz="4" w:space="0" w:color="000001"/>
          <w:bottom w:val="dashed" w:sz="4" w:space="0" w:color="000001"/>
          <w:right w:val="dashed" w:sz="4" w:space="0" w:color="000001"/>
          <w:insideH w:val="dashed" w:sz="4" w:space="0" w:color="000001"/>
          <w:insideV w:val="dashed" w:sz="4" w:space="0" w:color="000001"/>
        </w:tblBorders>
        <w:tblCellMar>
          <w:top w:w="0" w:type="dxa"/>
          <w:left w:w="103" w:type="dxa"/>
          <w:bottom w:w="0" w:type="dxa"/>
          <w:right w:w="108" w:type="dxa"/>
        </w:tblCellMar>
      </w:tblPr>
      <w:tblGrid>
        <w:gridCol w:w="5940"/>
        <w:gridCol w:w="1980"/>
      </w:tblGrid>
      <w:tr>
        <w:trPr/>
        <w:tc>
          <w:tcPr>
            <w:tcW w:w="594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lang w:val="ro-RO"/>
              </w:rPr>
            </w:pPr>
            <w:r>
              <w:rPr>
                <w:rFonts w:cs="Times New Roman CE" w:ascii="Times New Roman CE" w:hAnsi="Times New Roman CE"/>
                <w:sz w:val="22"/>
                <w:szCs w:val="22"/>
                <w:lang w:val="ro-RO"/>
              </w:rPr>
              <w:t>Monografii în ediţii internaţionale</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lang w:val="ro-MD"/>
              </w:rPr>
            </w:pPr>
            <w:r>
              <w:rPr>
                <w:spacing w:val="-1"/>
                <w:sz w:val="22"/>
                <w:szCs w:val="22"/>
                <w:lang w:val="ro-MD"/>
              </w:rPr>
              <w:t>0</w:t>
            </w:r>
          </w:p>
        </w:tc>
      </w:tr>
      <w:tr>
        <w:trPr/>
        <w:tc>
          <w:tcPr>
            <w:tcW w:w="594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lang w:val="ro-RO"/>
              </w:rPr>
            </w:pPr>
            <w:r>
              <w:rPr>
                <w:rFonts w:cs="Times New Roman CE" w:ascii="Times New Roman CE" w:hAnsi="Times New Roman CE"/>
                <w:sz w:val="22"/>
                <w:szCs w:val="22"/>
                <w:lang w:val="ro-RO"/>
              </w:rPr>
              <w:t>Monografii în alte ediţii din străinătate</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lang w:val="ro-MD"/>
              </w:rPr>
            </w:pPr>
            <w:r>
              <w:rPr>
                <w:spacing w:val="-1"/>
                <w:sz w:val="22"/>
                <w:szCs w:val="22"/>
                <w:lang w:val="ro-MD"/>
              </w:rPr>
              <w:t>0</w:t>
            </w:r>
          </w:p>
        </w:tc>
      </w:tr>
      <w:tr>
        <w:trPr/>
        <w:tc>
          <w:tcPr>
            <w:tcW w:w="594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vAlign w:val="bottom"/>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Articole în reviste cu factor de impact mai mare de 1</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lang w:val="ro-MD"/>
              </w:rPr>
            </w:pPr>
            <w:r>
              <w:rPr>
                <w:spacing w:val="-1"/>
                <w:sz w:val="22"/>
                <w:szCs w:val="22"/>
                <w:lang w:val="ro-MD"/>
              </w:rPr>
              <w:t>0</w:t>
            </w:r>
          </w:p>
        </w:tc>
      </w:tr>
      <w:tr>
        <w:trPr/>
        <w:tc>
          <w:tcPr>
            <w:tcW w:w="594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vAlign w:val="bottom"/>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Articole în reviste cu factor de imp</w:t>
            </w:r>
            <w:r>
              <w:rPr>
                <w:sz w:val="22"/>
                <w:szCs w:val="22"/>
                <w:lang w:val="ro-RO"/>
              </w:rPr>
              <w:t>act 0,1-1.0</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lang w:val="ro-MD"/>
              </w:rPr>
            </w:pPr>
            <w:r>
              <w:rPr>
                <w:spacing w:val="-1"/>
                <w:sz w:val="22"/>
                <w:szCs w:val="22"/>
                <w:lang w:val="ro-MD"/>
              </w:rPr>
              <w:t>3</w:t>
            </w:r>
          </w:p>
        </w:tc>
      </w:tr>
      <w:tr>
        <w:trPr/>
        <w:tc>
          <w:tcPr>
            <w:tcW w:w="594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vAlign w:val="bottom"/>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Articole în reviste cu factor de impact 0,01- 0,1</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rFonts w:ascii="Times New Roman" w:hAnsi="Times New Roman"/>
                <w:spacing w:val="-1"/>
                <w:sz w:val="22"/>
                <w:szCs w:val="22"/>
                <w:lang w:val="ro-MD"/>
              </w:rPr>
            </w:pPr>
            <w:r>
              <w:rPr>
                <w:spacing w:val="-1"/>
                <w:sz w:val="22"/>
                <w:szCs w:val="22"/>
                <w:lang w:val="ro-MD"/>
              </w:rPr>
            </w:r>
          </w:p>
        </w:tc>
      </w:tr>
      <w:tr>
        <w:trPr/>
        <w:tc>
          <w:tcPr>
            <w:tcW w:w="594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lang w:val="ro-RO"/>
              </w:rPr>
            </w:pPr>
            <w:r>
              <w:rPr>
                <w:rFonts w:cs="Times New Roman CE" w:ascii="Times New Roman CE" w:hAnsi="Times New Roman CE"/>
                <w:sz w:val="22"/>
                <w:szCs w:val="22"/>
                <w:lang w:val="ro-RO"/>
              </w:rPr>
              <w:t>Articole în alte reviste editate în străinătate</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rFonts w:ascii="Times New Roman" w:hAnsi="Times New Roman"/>
                <w:spacing w:val="-2"/>
                <w:sz w:val="22"/>
                <w:szCs w:val="22"/>
                <w:lang w:val="ro-MD"/>
              </w:rPr>
            </w:pPr>
            <w:r>
              <w:rPr>
                <w:spacing w:val="-2"/>
                <w:sz w:val="22"/>
                <w:szCs w:val="22"/>
                <w:lang w:val="ro-MD"/>
              </w:rPr>
            </w:r>
          </w:p>
        </w:tc>
      </w:tr>
      <w:tr>
        <w:trPr/>
        <w:tc>
          <w:tcPr>
            <w:tcW w:w="594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lang w:val="ro-RO"/>
              </w:rPr>
            </w:pPr>
            <w:r>
              <w:rPr>
                <w:sz w:val="22"/>
                <w:szCs w:val="22"/>
                <w:lang w:val="ro-RO"/>
              </w:rPr>
              <w:t xml:space="preserve">Preprinturi </w:t>
            </w:r>
            <w:r>
              <w:rPr>
                <w:rFonts w:cs="Times New Roman CE" w:ascii="Times New Roman CE" w:hAnsi="Times New Roman CE"/>
                <w:sz w:val="22"/>
                <w:szCs w:val="22"/>
                <w:lang w:val="ro-RO"/>
              </w:rPr>
              <w:t xml:space="preserve">editate în </w:t>
            </w:r>
            <w:r>
              <w:rPr>
                <w:sz w:val="22"/>
                <w:szCs w:val="22"/>
                <w:lang w:val="ro-RO"/>
              </w:rPr>
              <w:t>st</w:t>
            </w:r>
            <w:r>
              <w:rPr>
                <w:rFonts w:cs="Times New Roman CE" w:ascii="Times New Roman CE" w:hAnsi="Times New Roman CE"/>
                <w:sz w:val="22"/>
                <w:szCs w:val="22"/>
                <w:lang w:val="ro-RO"/>
              </w:rPr>
              <w:t>răinătate</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lang w:val="ro-MD"/>
              </w:rPr>
            </w:pPr>
            <w:r>
              <w:rPr>
                <w:spacing w:val="-2"/>
                <w:sz w:val="22"/>
                <w:szCs w:val="22"/>
                <w:lang w:val="ro-MD"/>
              </w:rPr>
              <w:t>1</w:t>
            </w:r>
          </w:p>
        </w:tc>
      </w:tr>
      <w:tr>
        <w:trPr/>
        <w:tc>
          <w:tcPr>
            <w:tcW w:w="594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vAlign w:val="bottom"/>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Articole în reviste naţionale, categoria A</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rFonts w:ascii="Times New Roman" w:hAnsi="Times New Roman"/>
                <w:spacing w:val="-3"/>
                <w:sz w:val="22"/>
                <w:szCs w:val="22"/>
                <w:lang w:val="ro-MD"/>
              </w:rPr>
            </w:pPr>
            <w:r>
              <w:rPr>
                <w:spacing w:val="-3"/>
                <w:sz w:val="22"/>
                <w:szCs w:val="22"/>
                <w:lang w:val="ro-MD"/>
              </w:rPr>
            </w:r>
          </w:p>
        </w:tc>
      </w:tr>
      <w:tr>
        <w:trPr/>
        <w:tc>
          <w:tcPr>
            <w:tcW w:w="594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vAlign w:val="bottom"/>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Articole în reviste naţionale, categoria B</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rFonts w:ascii="Times New Roman" w:hAnsi="Times New Roman"/>
                <w:spacing w:val="-3"/>
                <w:sz w:val="22"/>
                <w:szCs w:val="22"/>
                <w:lang w:val="ro-MD"/>
              </w:rPr>
            </w:pPr>
            <w:r>
              <w:rPr>
                <w:spacing w:val="-3"/>
                <w:sz w:val="22"/>
                <w:szCs w:val="22"/>
                <w:lang w:val="ro-MD"/>
              </w:rPr>
            </w:r>
          </w:p>
        </w:tc>
      </w:tr>
      <w:tr>
        <w:trPr/>
        <w:tc>
          <w:tcPr>
            <w:tcW w:w="594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vAlign w:val="bottom"/>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Articole în</w:t>
            </w:r>
            <w:r>
              <w:rPr>
                <w:sz w:val="22"/>
                <w:szCs w:val="22"/>
                <w:lang w:val="ro-RO"/>
              </w:rPr>
              <w:t xml:space="preserve"> culegeri</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rFonts w:ascii="Times New Roman" w:hAnsi="Times New Roman"/>
                <w:spacing w:val="-2"/>
                <w:sz w:val="22"/>
                <w:szCs w:val="22"/>
                <w:lang w:val="ro-MD"/>
              </w:rPr>
            </w:pPr>
            <w:r>
              <w:rPr>
                <w:spacing w:val="-2"/>
                <w:sz w:val="22"/>
                <w:szCs w:val="22"/>
                <w:lang w:val="ro-MD"/>
              </w:rPr>
            </w:r>
          </w:p>
        </w:tc>
      </w:tr>
      <w:tr>
        <w:trPr/>
        <w:tc>
          <w:tcPr>
            <w:tcW w:w="594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lang w:val="ro-MD"/>
              </w:rPr>
            </w:pPr>
            <w:r>
              <w:rPr>
                <w:rFonts w:cs="Times New Roman CE" w:ascii="Times New Roman CE" w:hAnsi="Times New Roman CE"/>
                <w:sz w:val="22"/>
                <w:szCs w:val="22"/>
                <w:lang w:val="ro-MD"/>
              </w:rPr>
              <w:t>Participarea la foruri ştiinţifice</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rFonts w:ascii="Times New Roman" w:hAnsi="Times New Roman"/>
                <w:spacing w:val="-2"/>
                <w:sz w:val="22"/>
                <w:szCs w:val="22"/>
                <w:lang w:val="ro-MD"/>
              </w:rPr>
            </w:pPr>
            <w:r>
              <w:rPr>
                <w:spacing w:val="-2"/>
                <w:sz w:val="22"/>
                <w:szCs w:val="22"/>
                <w:lang w:val="ro-MD"/>
              </w:rPr>
            </w:r>
          </w:p>
        </w:tc>
      </w:tr>
    </w:tbl>
    <w:p>
      <w:pPr>
        <w:pStyle w:val="Normal"/>
        <w:widowControl/>
        <w:bidi w:val="0"/>
        <w:ind w:left="709" w:right="0" w:hanging="0"/>
        <w:jc w:val="left"/>
        <w:textAlignment w:val="auto"/>
        <w:rPr>
          <w:lang w:val="ro-MD"/>
        </w:rPr>
      </w:pPr>
      <w:r>
        <w:rPr>
          <w:rFonts w:cs="Times New Roman CE" w:ascii="Times New Roman CE" w:hAnsi="Times New Roman CE"/>
          <w:bCs/>
          <w:i/>
          <w:sz w:val="22"/>
          <w:szCs w:val="22"/>
          <w:lang w:val="ro-MD"/>
        </w:rPr>
        <w:t>Activitatea inovaţională</w:t>
      </w:r>
    </w:p>
    <w:tbl>
      <w:tblPr>
        <w:tblW w:w="7859" w:type="dxa"/>
        <w:jc w:val="left"/>
        <w:tblInd w:w="540" w:type="dxa"/>
        <w:tblBorders>
          <w:top w:val="dashed" w:sz="4" w:space="0" w:color="000001"/>
          <w:left w:val="dashed" w:sz="4" w:space="0" w:color="000001"/>
          <w:bottom w:val="dashed" w:sz="4" w:space="0" w:color="000001"/>
          <w:right w:val="dashed" w:sz="4" w:space="0" w:color="000001"/>
          <w:insideH w:val="dashed" w:sz="4" w:space="0" w:color="000001"/>
          <w:insideV w:val="dashed" w:sz="4" w:space="0" w:color="000001"/>
        </w:tblBorders>
        <w:tblCellMar>
          <w:top w:w="0" w:type="dxa"/>
          <w:left w:w="103" w:type="dxa"/>
          <w:bottom w:w="0" w:type="dxa"/>
          <w:right w:w="108" w:type="dxa"/>
        </w:tblCellMar>
      </w:tblPr>
      <w:tblGrid>
        <w:gridCol w:w="5878"/>
        <w:gridCol w:w="1980"/>
      </w:tblGrid>
      <w:tr>
        <w:trPr/>
        <w:tc>
          <w:tcPr>
            <w:tcW w:w="5878"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bidi w:val="0"/>
              <w:ind w:left="0" w:right="0" w:hanging="0"/>
              <w:jc w:val="left"/>
              <w:textAlignment w:val="auto"/>
              <w:rPr>
                <w:lang w:val="ro-MD"/>
              </w:rPr>
            </w:pPr>
            <w:r>
              <w:rPr>
                <w:rFonts w:cs="Times New Roman CE" w:ascii="Times New Roman CE" w:hAnsi="Times New Roman CE"/>
                <w:sz w:val="22"/>
                <w:szCs w:val="22"/>
                <w:lang w:val="ro-MD"/>
              </w:rPr>
              <w:t xml:space="preserve">Numărul de cereri prezentate </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bidi w:val="0"/>
              <w:ind w:left="0" w:right="0" w:hanging="0"/>
              <w:jc w:val="left"/>
              <w:textAlignment w:val="auto"/>
              <w:rPr>
                <w:rFonts w:ascii="Times New Roman" w:hAnsi="Times New Roman"/>
                <w:spacing w:val="-1"/>
                <w:sz w:val="22"/>
                <w:szCs w:val="22"/>
                <w:lang w:val="ro-MD"/>
              </w:rPr>
            </w:pPr>
            <w:r>
              <w:rPr>
                <w:spacing w:val="-1"/>
                <w:sz w:val="22"/>
                <w:szCs w:val="22"/>
                <w:lang w:val="ro-MD"/>
              </w:rPr>
            </w:r>
          </w:p>
        </w:tc>
      </w:tr>
      <w:tr>
        <w:trPr/>
        <w:tc>
          <w:tcPr>
            <w:tcW w:w="5878"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bidi w:val="0"/>
              <w:ind w:left="0" w:right="0" w:hanging="0"/>
              <w:jc w:val="left"/>
              <w:textAlignment w:val="auto"/>
              <w:rPr>
                <w:lang w:val="ro-MD"/>
              </w:rPr>
            </w:pPr>
            <w:r>
              <w:rPr>
                <w:rFonts w:cs="Times New Roman CE" w:ascii="Times New Roman CE" w:hAnsi="Times New Roman CE"/>
                <w:sz w:val="22"/>
                <w:szCs w:val="22"/>
                <w:lang w:val="ro-MD"/>
              </w:rPr>
              <w:t>Numărul de hotărîri pozitive obţinute</w:t>
            </w:r>
          </w:p>
        </w:tc>
        <w:tc>
          <w:tcPr>
            <w:tcW w:w="1980"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bidi w:val="0"/>
              <w:ind w:left="0" w:right="0" w:hanging="0"/>
              <w:jc w:val="left"/>
              <w:textAlignment w:val="auto"/>
              <w:rPr>
                <w:rFonts w:ascii="Times New Roman" w:hAnsi="Times New Roman"/>
                <w:spacing w:val="-1"/>
                <w:sz w:val="22"/>
                <w:szCs w:val="22"/>
                <w:lang w:val="ro-MD"/>
              </w:rPr>
            </w:pPr>
            <w:r>
              <w:rPr>
                <w:spacing w:val="-1"/>
                <w:sz w:val="22"/>
                <w:szCs w:val="22"/>
                <w:lang w:val="ro-MD"/>
              </w:rPr>
            </w:r>
          </w:p>
        </w:tc>
      </w:tr>
    </w:tbl>
    <w:p>
      <w:pPr>
        <w:pStyle w:val="Normal"/>
        <w:widowControl w:val="false"/>
        <w:numPr>
          <w:ilvl w:val="0"/>
          <w:numId w:val="69"/>
        </w:numPr>
        <w:shd w:fill="FFFFFF"/>
        <w:tabs>
          <w:tab w:val="left" w:pos="180" w:leader="none"/>
        </w:tabs>
        <w:bidi w:val="0"/>
        <w:ind w:left="180" w:right="0" w:hanging="0"/>
        <w:jc w:val="left"/>
        <w:textAlignment w:val="auto"/>
        <w:rPr>
          <w:lang w:val="ro-MD"/>
        </w:rPr>
      </w:pPr>
      <w:r>
        <w:rPr>
          <w:rFonts w:cs="Times New Roman CE" w:ascii="Times New Roman CE" w:hAnsi="Times New Roman CE"/>
          <w:i/>
          <w:sz w:val="22"/>
          <w:szCs w:val="22"/>
          <w:lang w:val="ro-MD"/>
        </w:rPr>
        <w:t xml:space="preserve">Rezultatele ştiinţifice obţinute în anul de referinţă ( până la 100 </w:t>
      </w:r>
      <w:r>
        <w:rPr>
          <w:i/>
          <w:sz w:val="22"/>
          <w:szCs w:val="22"/>
          <w:lang w:val="ro-MD"/>
        </w:rPr>
        <w:t>de cuvinte)</w:t>
      </w:r>
    </w:p>
    <w:tbl>
      <w:tblPr>
        <w:tblW w:w="10029" w:type="dxa"/>
        <w:jc w:val="left"/>
        <w:tblInd w:w="540" w:type="dxa"/>
        <w:tblBorders>
          <w:top w:val="dashed" w:sz="4" w:space="0" w:color="000001"/>
          <w:left w:val="dashed" w:sz="4" w:space="0" w:color="000001"/>
          <w:bottom w:val="dashed" w:sz="4" w:space="0" w:color="000001"/>
          <w:right w:val="dashed" w:sz="4" w:space="0" w:color="000001"/>
          <w:insideH w:val="dashed" w:sz="4" w:space="0" w:color="000001"/>
          <w:insideV w:val="dashed" w:sz="4" w:space="0" w:color="000001"/>
        </w:tblBorders>
        <w:tblCellMar>
          <w:top w:w="0" w:type="dxa"/>
          <w:left w:w="103" w:type="dxa"/>
          <w:bottom w:w="0" w:type="dxa"/>
          <w:right w:w="108" w:type="dxa"/>
        </w:tblCellMar>
      </w:tblPr>
      <w:tblGrid>
        <w:gridCol w:w="10029"/>
      </w:tblGrid>
      <w:tr>
        <w:trPr>
          <w:trHeight w:val="714" w:hRule="atLeast"/>
        </w:trPr>
        <w:tc>
          <w:tcPr>
            <w:tcW w:w="10029" w:type="dxa"/>
            <w:tcBorders>
              <w:top w:val="dashed" w:sz="4" w:space="0" w:color="000001"/>
              <w:left w:val="dashed" w:sz="4" w:space="0" w:color="000001"/>
              <w:bottom w:val="dashed" w:sz="4" w:space="0" w:color="000001"/>
              <w:right w:val="dashed" w:sz="4" w:space="0" w:color="000001"/>
              <w:insideH w:val="dashed" w:sz="4" w:space="0" w:color="000001"/>
              <w:insideV w:val="dashed" w:sz="4" w:space="0" w:color="000001"/>
            </w:tcBorders>
            <w:shd w:fill="auto" w:val="clear"/>
            <w:tcMar>
              <w:left w:w="103" w:type="dxa"/>
            </w:tcMar>
          </w:tcPr>
          <w:p>
            <w:pPr>
              <w:pStyle w:val="Normal"/>
              <w:widowControl/>
              <w:shd w:fill="FFFFFF"/>
              <w:bidi w:val="0"/>
              <w:ind w:left="0" w:right="0" w:hanging="0"/>
              <w:jc w:val="left"/>
              <w:textAlignment w:val="auto"/>
              <w:rPr>
                <w:lang w:val="ro-MD"/>
              </w:rPr>
            </w:pPr>
            <w:r>
              <w:rPr>
                <w:rFonts w:cs="Times New Roman CE" w:ascii="Times New Roman CE" w:hAnsi="Times New Roman CE"/>
                <w:color w:val="000000"/>
                <w:sz w:val="22"/>
                <w:szCs w:val="22"/>
                <w:lang w:val="ro-MD"/>
              </w:rPr>
              <w:t>A fost efectuată clasificarea geometrică a singularităţilor finite şi infinite pentru sistemele patratice ce posedă 4 singularităti finite distincte dintre care cel putin doua sunt complexe</w:t>
            </w:r>
            <w:r>
              <w:rPr>
                <w:sz w:val="22"/>
                <w:szCs w:val="22"/>
                <w:lang w:val="ro-MD"/>
              </w:rPr>
              <w:t xml:space="preserve">.  </w:t>
            </w:r>
          </w:p>
          <w:p>
            <w:pPr>
              <w:pStyle w:val="Normal"/>
              <w:widowControl/>
              <w:shd w:fill="FFFFFF"/>
              <w:bidi w:val="0"/>
              <w:ind w:left="0" w:right="0" w:hanging="0"/>
              <w:jc w:val="left"/>
              <w:textAlignment w:val="auto"/>
              <w:rPr>
                <w:lang w:val="fr-FR"/>
              </w:rPr>
            </w:pPr>
            <w:r>
              <w:rPr>
                <w:rFonts w:cs="Times New Roman CE" w:ascii="Times New Roman CE" w:hAnsi="Times New Roman CE"/>
                <w:sz w:val="22"/>
                <w:szCs w:val="22"/>
                <w:lang w:val="fr-FR"/>
              </w:rPr>
              <w:t>Pentru familia de sisteme cubice cu drepte invariante de multiplicitate totală 9 au fost construite: a) integralele prime şi factorii integran</w:t>
            </w:r>
            <w:r>
              <w:rPr>
                <w:rFonts w:cs="Cambria Math" w:ascii="Cambria Math" w:hAnsi="Cambria Math"/>
                <w:sz w:val="22"/>
                <w:szCs w:val="22"/>
                <w:lang w:val="fr-FR"/>
              </w:rPr>
              <w:t>ț</w:t>
            </w:r>
            <w:r>
              <w:rPr>
                <w:rFonts w:cs="Times New Roman CE" w:ascii="Times New Roman CE" w:hAnsi="Times New Roman CE"/>
                <w:sz w:val="22"/>
                <w:szCs w:val="22"/>
                <w:lang w:val="fr-FR"/>
              </w:rPr>
              <w:t xml:space="preserve">i pentru fiecare dintre cele 24 de clase de sisteme posibile pentru aceasta families b) portretele de fază </w:t>
            </w:r>
            <w:r>
              <w:rPr>
                <w:rFonts w:cs="Cambria Math" w:ascii="Cambria Math" w:hAnsi="Cambria Math"/>
                <w:sz w:val="22"/>
                <w:szCs w:val="22"/>
                <w:lang w:val="fr-FR"/>
              </w:rPr>
              <w:t>ș</w:t>
            </w:r>
            <w:r>
              <w:rPr>
                <w:rFonts w:cs="Times New Roman CE" w:ascii="Times New Roman CE" w:hAnsi="Times New Roman CE"/>
                <w:sz w:val="22"/>
                <w:szCs w:val="22"/>
                <w:lang w:val="fr-FR"/>
              </w:rPr>
              <w:t>i condiţiile necesare şi suficiente afin invariante pentru realizarea fiecăruia dintre ele.</w:t>
            </w:r>
            <w:r>
              <w:rPr>
                <w:b/>
                <w:sz w:val="22"/>
                <w:szCs w:val="22"/>
                <w:lang w:val="fr-FR"/>
              </w:rPr>
              <w:t xml:space="preserve"> </w:t>
            </w:r>
          </w:p>
        </w:tc>
      </w:tr>
    </w:tbl>
    <w:p>
      <w:pPr>
        <w:pStyle w:val="Normal"/>
        <w:widowControl w:val="false"/>
        <w:numPr>
          <w:ilvl w:val="0"/>
          <w:numId w:val="69"/>
        </w:numPr>
        <w:shd w:fill="FFFFFF"/>
        <w:tabs>
          <w:tab w:val="left" w:pos="180" w:leader="none"/>
        </w:tabs>
        <w:bidi w:val="0"/>
        <w:ind w:left="180" w:right="0" w:hanging="0"/>
        <w:jc w:val="left"/>
        <w:textAlignment w:val="auto"/>
        <w:rPr>
          <w:lang w:val="ro-MD"/>
        </w:rPr>
      </w:pPr>
      <w:r>
        <w:rPr>
          <w:i/>
          <w:iCs/>
          <w:spacing w:val="4"/>
          <w:sz w:val="22"/>
          <w:szCs w:val="22"/>
          <w:lang w:val="ro-MD"/>
        </w:rPr>
        <w:t>Acti</w:t>
      </w:r>
      <w:r>
        <w:rPr>
          <w:rFonts w:cs="Times New Roman CE" w:ascii="Times New Roman CE" w:hAnsi="Times New Roman CE"/>
          <w:i/>
          <w:iCs/>
          <w:spacing w:val="4"/>
          <w:sz w:val="22"/>
          <w:szCs w:val="22"/>
          <w:lang w:val="ro-MD"/>
        </w:rPr>
        <w:t>vitatea didactică</w:t>
      </w:r>
    </w:p>
    <w:tbl>
      <w:tblPr>
        <w:tblW w:w="9923" w:type="dxa"/>
        <w:jc w:val="left"/>
        <w:tblInd w:w="284" w:type="dxa"/>
        <w:tblBorders>
          <w:top w:val="dashed" w:sz="4" w:space="0" w:color="999999"/>
          <w:left w:val="dashed" w:sz="4" w:space="0" w:color="999999"/>
          <w:bottom w:val="dashed" w:sz="4" w:space="0" w:color="999999"/>
          <w:right w:val="dashed" w:sz="4" w:space="0" w:color="999999"/>
          <w:insideH w:val="dashed" w:sz="4" w:space="0" w:color="999999"/>
          <w:insideV w:val="dashed" w:sz="4" w:space="0" w:color="999999"/>
        </w:tblBorders>
        <w:tblCellMar>
          <w:top w:w="0" w:type="dxa"/>
          <w:left w:w="103" w:type="dxa"/>
          <w:bottom w:w="0" w:type="dxa"/>
          <w:right w:w="108" w:type="dxa"/>
        </w:tblCellMar>
      </w:tblPr>
      <w:tblGrid>
        <w:gridCol w:w="8222"/>
        <w:gridCol w:w="1700"/>
      </w:tblGrid>
      <w:tr>
        <w:trPr/>
        <w:tc>
          <w:tcPr>
            <w:tcW w:w="8222" w:type="dxa"/>
            <w:tcBorders>
              <w:top w:val="dashed" w:sz="4" w:space="0" w:color="999999"/>
              <w:left w:val="dashed" w:sz="4" w:space="0" w:color="999999"/>
              <w:bottom w:val="dashed" w:sz="4" w:space="0" w:color="999999"/>
              <w:right w:val="dashed" w:sz="4" w:space="0" w:color="999999"/>
              <w:insideH w:val="dashed" w:sz="4" w:space="0" w:color="999999"/>
              <w:insideV w:val="dashed" w:sz="4" w:space="0" w:color="999999"/>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lang w:val="ro-MD"/>
              </w:rPr>
            </w:pPr>
            <w:r>
              <w:rPr>
                <w:rFonts w:cs="Times New Roman CE" w:ascii="Times New Roman CE" w:hAnsi="Times New Roman CE"/>
                <w:sz w:val="22"/>
                <w:szCs w:val="22"/>
                <w:lang w:val="ro-MD"/>
              </w:rPr>
              <w:t>Numărul total de persoane la care a</w:t>
            </w:r>
            <w:r>
              <w:rPr>
                <w:sz w:val="22"/>
                <w:szCs w:val="22"/>
                <w:lang w:val="ro-MD"/>
              </w:rPr>
              <w:t xml:space="preserve"> </w:t>
            </w:r>
            <w:r>
              <w:rPr>
                <w:rFonts w:cs="Times New Roman CE" w:ascii="Times New Roman CE" w:hAnsi="Times New Roman CE"/>
                <w:sz w:val="22"/>
                <w:szCs w:val="22"/>
                <w:lang w:val="ro-MD"/>
              </w:rPr>
              <w:t xml:space="preserve"> fost conducător ştiinţific al tezei de doctorat</w:t>
            </w:r>
          </w:p>
        </w:tc>
        <w:tc>
          <w:tcPr>
            <w:tcW w:w="1700" w:type="dxa"/>
            <w:tcBorders>
              <w:top w:val="dashed" w:sz="4" w:space="0" w:color="999999"/>
              <w:left w:val="dashed" w:sz="4" w:space="0" w:color="999999"/>
              <w:bottom w:val="dashed" w:sz="4" w:space="0" w:color="999999"/>
              <w:right w:val="dashed" w:sz="4" w:space="0" w:color="999999"/>
              <w:insideH w:val="dashed" w:sz="4" w:space="0" w:color="999999"/>
              <w:insideV w:val="dashed" w:sz="4" w:space="0" w:color="999999"/>
            </w:tcBorders>
            <w:shd w:fill="auto" w:val="clear"/>
            <w:tcMar>
              <w:left w:w="103" w:type="dxa"/>
            </w:tcMar>
          </w:tcPr>
          <w:p>
            <w:pPr>
              <w:pStyle w:val="Normal"/>
              <w:widowControl/>
              <w:shd w:fill="FFFFFF"/>
              <w:tabs>
                <w:tab w:val="left" w:pos="709" w:leader="none"/>
                <w:tab w:val="left" w:pos="1134" w:leader="none"/>
              </w:tabs>
              <w:bidi w:val="0"/>
              <w:spacing w:before="2" w:after="0"/>
              <w:ind w:left="0" w:right="0" w:hanging="0"/>
              <w:jc w:val="left"/>
              <w:textAlignment w:val="auto"/>
              <w:rPr>
                <w:lang w:val="ro-MD"/>
              </w:rPr>
            </w:pPr>
            <w:r>
              <w:rPr>
                <w:spacing w:val="-1"/>
                <w:sz w:val="22"/>
                <w:szCs w:val="22"/>
                <w:lang w:val="ro-MD"/>
              </w:rPr>
              <w:t>7</w:t>
            </w:r>
          </w:p>
        </w:tc>
      </w:tr>
      <w:tr>
        <w:trPr/>
        <w:tc>
          <w:tcPr>
            <w:tcW w:w="8222" w:type="dxa"/>
            <w:tcBorders>
              <w:top w:val="dashed" w:sz="4" w:space="0" w:color="999999"/>
              <w:left w:val="dashed" w:sz="4" w:space="0" w:color="999999"/>
              <w:bottom w:val="dashed" w:sz="4" w:space="0" w:color="999999"/>
              <w:right w:val="dashed" w:sz="4" w:space="0" w:color="999999"/>
              <w:insideH w:val="dashed" w:sz="4" w:space="0" w:color="999999"/>
              <w:insideV w:val="dashed" w:sz="4" w:space="0" w:color="999999"/>
            </w:tcBorders>
            <w:shd w:fill="auto" w:val="clear"/>
            <w:tcMar>
              <w:left w:w="103" w:type="dxa"/>
            </w:tcMar>
          </w:tcPr>
          <w:p>
            <w:pPr>
              <w:pStyle w:val="Normal"/>
              <w:widowControl/>
              <w:shd w:fill="FFFFFF"/>
              <w:tabs>
                <w:tab w:val="left" w:pos="709" w:leader="none"/>
                <w:tab w:val="left" w:pos="1134" w:leader="none"/>
              </w:tabs>
              <w:bidi w:val="0"/>
              <w:spacing w:before="2" w:after="0"/>
              <w:ind w:left="0" w:right="0" w:hanging="0"/>
              <w:jc w:val="left"/>
              <w:textAlignment w:val="auto"/>
              <w:rPr>
                <w:lang w:val="ro-MD"/>
              </w:rPr>
            </w:pPr>
            <w:r>
              <w:rPr>
                <w:rFonts w:cs="Times New Roman CE" w:ascii="Times New Roman CE" w:hAnsi="Times New Roman CE"/>
                <w:sz w:val="22"/>
                <w:szCs w:val="22"/>
                <w:lang w:val="ro-MD"/>
              </w:rPr>
              <w:t>Numărul persoanelor la care a</w:t>
            </w:r>
            <w:r>
              <w:rPr>
                <w:sz w:val="22"/>
                <w:szCs w:val="22"/>
                <w:lang w:val="ro-MD"/>
              </w:rPr>
              <w:t xml:space="preserve"> </w:t>
            </w:r>
            <w:r>
              <w:rPr>
                <w:rFonts w:cs="Times New Roman CE" w:ascii="Times New Roman CE" w:hAnsi="Times New Roman CE"/>
                <w:sz w:val="22"/>
                <w:szCs w:val="22"/>
                <w:lang w:val="ro-MD"/>
              </w:rPr>
              <w:t xml:space="preserve"> fost conducător ştiinţific şi care au susţinut teza </w:t>
            </w:r>
          </w:p>
        </w:tc>
        <w:tc>
          <w:tcPr>
            <w:tcW w:w="1700" w:type="dxa"/>
            <w:tcBorders>
              <w:top w:val="dashed" w:sz="4" w:space="0" w:color="999999"/>
              <w:left w:val="dashed" w:sz="4" w:space="0" w:color="999999"/>
              <w:bottom w:val="dashed" w:sz="4" w:space="0" w:color="999999"/>
              <w:right w:val="dashed" w:sz="4" w:space="0" w:color="999999"/>
              <w:insideH w:val="dashed" w:sz="4" w:space="0" w:color="999999"/>
              <w:insideV w:val="dashed" w:sz="4" w:space="0" w:color="999999"/>
            </w:tcBorders>
            <w:shd w:fill="auto" w:val="clear"/>
            <w:tcMar>
              <w:left w:w="103" w:type="dxa"/>
            </w:tcMar>
          </w:tcPr>
          <w:p>
            <w:pPr>
              <w:pStyle w:val="Normal"/>
              <w:widowControl/>
              <w:shd w:fill="FFFFFF"/>
              <w:tabs>
                <w:tab w:val="left" w:pos="709" w:leader="none"/>
                <w:tab w:val="left" w:pos="1134" w:leader="none"/>
              </w:tabs>
              <w:bidi w:val="0"/>
              <w:spacing w:before="2" w:after="0"/>
              <w:ind w:left="0" w:right="0" w:hanging="0"/>
              <w:jc w:val="left"/>
              <w:textAlignment w:val="auto"/>
              <w:rPr>
                <w:lang w:val="ro-MD"/>
              </w:rPr>
            </w:pPr>
            <w:r>
              <w:rPr>
                <w:spacing w:val="-1"/>
                <w:sz w:val="22"/>
                <w:szCs w:val="22"/>
                <w:lang w:val="ro-MD"/>
              </w:rPr>
              <w:t>1</w:t>
            </w:r>
          </w:p>
        </w:tc>
      </w:tr>
    </w:tbl>
    <w:p>
      <w:pPr>
        <w:pStyle w:val="Normal"/>
        <w:widowControl w:val="false"/>
        <w:numPr>
          <w:ilvl w:val="0"/>
          <w:numId w:val="69"/>
        </w:numPr>
        <w:shd w:fill="FFFFFF"/>
        <w:tabs>
          <w:tab w:val="left" w:pos="180" w:leader="none"/>
        </w:tabs>
        <w:bidi w:val="0"/>
        <w:ind w:left="180" w:right="0" w:hanging="0"/>
        <w:jc w:val="left"/>
        <w:textAlignment w:val="auto"/>
        <w:rPr>
          <w:lang w:val="ro-MD"/>
        </w:rPr>
      </w:pPr>
      <w:r>
        <w:rPr>
          <w:rFonts w:cs="Times New Roman CE" w:ascii="Times New Roman CE" w:hAnsi="Times New Roman CE"/>
          <w:i/>
          <w:iCs/>
          <w:w w:val="121"/>
          <w:sz w:val="22"/>
          <w:szCs w:val="22"/>
          <w:lang w:val="ro-MD"/>
        </w:rPr>
        <w:t>Activitatea managerială</w:t>
      </w:r>
    </w:p>
    <w:tbl>
      <w:tblPr>
        <w:tblW w:w="9414" w:type="dxa"/>
        <w:jc w:val="left"/>
        <w:tblInd w:w="284" w:type="dxa"/>
        <w:tblBorders>
          <w:top w:val="dashed" w:sz="4" w:space="0" w:color="999999"/>
          <w:left w:val="dashed" w:sz="4" w:space="0" w:color="999999"/>
          <w:bottom w:val="dashed" w:sz="4" w:space="0" w:color="999999"/>
          <w:right w:val="dashed" w:sz="4" w:space="0" w:color="999999"/>
          <w:insideH w:val="dashed" w:sz="4" w:space="0" w:color="999999"/>
          <w:insideV w:val="dashed" w:sz="4" w:space="0" w:color="999999"/>
        </w:tblBorders>
        <w:tblCellMar>
          <w:top w:w="0" w:type="dxa"/>
          <w:left w:w="103" w:type="dxa"/>
          <w:bottom w:w="0" w:type="dxa"/>
          <w:right w:w="108" w:type="dxa"/>
        </w:tblCellMar>
      </w:tblPr>
      <w:tblGrid>
        <w:gridCol w:w="9414"/>
      </w:tblGrid>
      <w:tr>
        <w:trPr/>
        <w:tc>
          <w:tcPr>
            <w:tcW w:w="9414" w:type="dxa"/>
            <w:tcBorders>
              <w:top w:val="dashed" w:sz="4" w:space="0" w:color="999999"/>
              <w:left w:val="dashed" w:sz="4" w:space="0" w:color="999999"/>
              <w:bottom w:val="dashed" w:sz="4" w:space="0" w:color="999999"/>
              <w:right w:val="dashed" w:sz="4" w:space="0" w:color="999999"/>
              <w:insideH w:val="dashed" w:sz="4" w:space="0" w:color="999999"/>
              <w:insideV w:val="dashed" w:sz="4" w:space="0" w:color="999999"/>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lang w:val="ro-MD"/>
              </w:rPr>
            </w:pPr>
            <w:r>
              <w:rPr>
                <w:spacing w:val="-1"/>
                <w:sz w:val="22"/>
                <w:szCs w:val="22"/>
                <w:lang w:val="ro-MD"/>
              </w:rPr>
              <w:t>Nu</w:t>
            </w:r>
          </w:p>
        </w:tc>
      </w:tr>
    </w:tbl>
    <w:p>
      <w:pPr>
        <w:pStyle w:val="Normal"/>
        <w:widowControl w:val="false"/>
        <w:numPr>
          <w:ilvl w:val="0"/>
          <w:numId w:val="69"/>
        </w:numPr>
        <w:shd w:fill="FFFFFF"/>
        <w:tabs>
          <w:tab w:val="left" w:pos="180" w:leader="none"/>
        </w:tabs>
        <w:bidi w:val="0"/>
        <w:ind w:left="180" w:right="0" w:hanging="0"/>
        <w:jc w:val="left"/>
        <w:textAlignment w:val="auto"/>
        <w:rPr>
          <w:lang w:val="ro-MD"/>
        </w:rPr>
      </w:pPr>
      <w:r>
        <w:rPr>
          <w:rFonts w:cs="Times New Roman CE" w:ascii="Times New Roman CE" w:hAnsi="Times New Roman CE"/>
          <w:bCs/>
          <w:i/>
          <w:iCs/>
          <w:spacing w:val="2"/>
          <w:sz w:val="22"/>
          <w:szCs w:val="22"/>
          <w:lang w:val="ro-MD"/>
        </w:rPr>
        <w:t xml:space="preserve">Informaţii </w:t>
      </w:r>
      <w:r>
        <w:rPr>
          <w:i/>
          <w:iCs/>
          <w:spacing w:val="2"/>
          <w:sz w:val="22"/>
          <w:szCs w:val="22"/>
          <w:lang w:val="ro-MD"/>
        </w:rPr>
        <w:t>generale</w:t>
      </w:r>
      <w:r>
        <w:rPr>
          <w:spacing w:val="-1"/>
          <w:sz w:val="22"/>
          <w:szCs w:val="22"/>
          <w:lang w:val="ro-MD"/>
        </w:rPr>
        <w:t xml:space="preserve"> </w:t>
      </w:r>
      <w:r>
        <w:rPr/>
        <w:br/>
      </w:r>
      <w:r>
        <w:rPr>
          <w:spacing w:val="-1"/>
          <w:sz w:val="22"/>
          <w:szCs w:val="22"/>
          <w:lang w:val="ro-MD"/>
        </w:rPr>
        <w:t>Premii, medalii, titluri etc</w:t>
      </w:r>
      <w:r>
        <w:rPr>
          <w:b/>
          <w:spacing w:val="-1"/>
          <w:sz w:val="22"/>
          <w:szCs w:val="22"/>
          <w:lang w:val="ro-MD"/>
        </w:rPr>
        <w:t>.  Nu am primit</w:t>
      </w:r>
    </w:p>
    <w:p>
      <w:pPr>
        <w:pStyle w:val="Normal"/>
        <w:widowControl w:val="false"/>
        <w:numPr>
          <w:ilvl w:val="0"/>
          <w:numId w:val="69"/>
        </w:numPr>
        <w:shd w:fill="FFFFFF"/>
        <w:tabs>
          <w:tab w:val="left" w:pos="180" w:leader="none"/>
        </w:tabs>
        <w:bidi w:val="0"/>
        <w:ind w:left="180" w:right="0" w:hanging="0"/>
        <w:jc w:val="left"/>
        <w:textAlignment w:val="auto"/>
        <w:rPr/>
      </w:pPr>
      <w:r>
        <w:rPr>
          <w:rFonts w:cs="Times New Roman CE" w:ascii="Times New Roman CE" w:hAnsi="Times New Roman CE"/>
          <w:i/>
          <w:sz w:val="22"/>
          <w:szCs w:val="22"/>
        </w:rPr>
        <w:t>Alte activităţi</w:t>
      </w:r>
    </w:p>
    <w:p>
      <w:pPr>
        <w:pStyle w:val="Normal"/>
        <w:widowControl w:val="false"/>
        <w:numPr>
          <w:ilvl w:val="0"/>
          <w:numId w:val="68"/>
        </w:numPr>
        <w:shd w:fill="FFFFFF"/>
        <w:bidi w:val="0"/>
        <w:ind w:left="720" w:right="0" w:hanging="0"/>
        <w:jc w:val="left"/>
        <w:textAlignment w:val="auto"/>
        <w:rPr>
          <w:lang w:val="en-US"/>
        </w:rPr>
      </w:pPr>
      <w:r>
        <w:rPr>
          <w:rFonts w:cs="Times New Roman CE" w:ascii="Times New Roman CE" w:hAnsi="Times New Roman CE"/>
          <w:sz w:val="22"/>
          <w:szCs w:val="22"/>
          <w:lang w:val="en-US"/>
        </w:rPr>
        <w:t>Am fost membru al comitetelor de program la conferinţele:</w:t>
      </w:r>
    </w:p>
    <w:p>
      <w:pPr>
        <w:pStyle w:val="Normal"/>
        <w:widowControl w:val="false"/>
        <w:numPr>
          <w:ilvl w:val="0"/>
          <w:numId w:val="17"/>
        </w:numPr>
        <w:shd w:fill="FFFFFF"/>
        <w:bidi w:val="0"/>
        <w:ind w:left="720" w:right="0" w:hanging="0"/>
        <w:jc w:val="left"/>
        <w:textAlignment w:val="auto"/>
        <w:rPr/>
      </w:pPr>
      <w:r>
        <w:rPr>
          <w:spacing w:val="-1"/>
          <w:sz w:val="22"/>
          <w:szCs w:val="22"/>
          <w:lang w:val="ro-MD"/>
        </w:rPr>
        <w:t>I</w:t>
      </w:r>
      <w:hyperlink r:id="rId41">
        <w:r>
          <w:rPr>
            <w:webHidden/>
            <w:rStyle w:val="Style5"/>
            <w:spacing w:val="-1"/>
            <w:sz w:val="22"/>
            <w:szCs w:val="22"/>
            <w:lang w:val="ro-MD"/>
          </w:rPr>
          <w:t>nternational Scientific Conference Mathematics &amp; IT: Research and Education</w:t>
        </w:r>
        <w:r>
          <w:rPr>
            <w:rStyle w:val="Style5"/>
          </w:rPr>
          <w:br/>
        </w:r>
        <w:r>
          <w:rPr>
            <w:rStyle w:val="Style5"/>
            <w:spacing w:val="-1"/>
            <w:sz w:val="22"/>
            <w:szCs w:val="22"/>
            <w:lang w:val="ro-MD"/>
          </w:rPr>
          <w:t>MITRE-2015</w:t>
        </w:r>
      </w:hyperlink>
      <w:r>
        <w:rPr>
          <w:spacing w:val="-1"/>
          <w:sz w:val="22"/>
          <w:szCs w:val="22"/>
          <w:lang w:val="ro-MD"/>
        </w:rPr>
        <w:t xml:space="preserve">,Chisinau, Republic of Moldova,   June, 23-25, 2016. </w:t>
      </w:r>
    </w:p>
    <w:p>
      <w:pPr>
        <w:pStyle w:val="Normal"/>
        <w:widowControl w:val="false"/>
        <w:numPr>
          <w:ilvl w:val="0"/>
          <w:numId w:val="17"/>
        </w:numPr>
        <w:shd w:fill="FFFFFF"/>
        <w:bidi w:val="0"/>
        <w:ind w:left="720" w:right="0" w:hanging="0"/>
        <w:jc w:val="left"/>
        <w:textAlignment w:val="auto"/>
        <w:rPr/>
      </w:pPr>
      <w:r>
        <w:rPr>
          <w:spacing w:val="-1"/>
          <w:sz w:val="22"/>
          <w:szCs w:val="22"/>
          <w:lang w:val="ro-MD"/>
        </w:rPr>
        <w:t>I</w:t>
      </w:r>
      <w:hyperlink r:id="rId42">
        <w:r>
          <w:rPr>
            <w:webHidden/>
            <w:rStyle w:val="Style5"/>
            <w:spacing w:val="-1"/>
            <w:sz w:val="22"/>
            <w:szCs w:val="22"/>
            <w:lang w:val="ro-MD"/>
          </w:rPr>
          <w:t>nternational Scientific Conference in Applied and Industrial Mathematics CAIM-201</w:t>
        </w:r>
      </w:hyperlink>
      <w:r>
        <w:rPr>
          <w:spacing w:val="-1"/>
          <w:sz w:val="22"/>
          <w:szCs w:val="22"/>
          <w:lang w:val="ro-MD"/>
        </w:rPr>
        <w:t xml:space="preserve">6, Craiova, Romania, September 15-18, 2016.   </w:t>
      </w:r>
    </w:p>
    <w:p>
      <w:pPr>
        <w:pStyle w:val="Normal"/>
        <w:widowControl w:val="false"/>
        <w:numPr>
          <w:ilvl w:val="0"/>
          <w:numId w:val="68"/>
        </w:numPr>
        <w:shd w:fill="FFFFFF"/>
        <w:bidi w:val="0"/>
        <w:ind w:left="720" w:right="0" w:hanging="0"/>
        <w:jc w:val="left"/>
        <w:textAlignment w:val="auto"/>
        <w:rPr>
          <w:lang w:val="ro-RO"/>
        </w:rPr>
      </w:pPr>
      <w:r>
        <w:rPr>
          <w:rFonts w:cs="Times New Roman CE" w:ascii="Times New Roman CE" w:hAnsi="Times New Roman CE"/>
          <w:sz w:val="22"/>
          <w:szCs w:val="22"/>
          <w:lang w:val="ro-RO"/>
        </w:rPr>
        <w:t>Deplasări peste hotare la diferite centre  în cadrul colaborării ştiinţifice</w:t>
      </w:r>
      <w:r>
        <w:rPr>
          <w:sz w:val="22"/>
          <w:szCs w:val="22"/>
          <w:lang w:val="fr-FR"/>
        </w:rPr>
        <w:t>:</w:t>
      </w:r>
      <w:r>
        <w:rPr>
          <w:sz w:val="22"/>
          <w:szCs w:val="22"/>
          <w:lang w:val="ro-RO"/>
        </w:rPr>
        <w:t xml:space="preserve"> </w:t>
      </w:r>
    </w:p>
    <w:p>
      <w:pPr>
        <w:pStyle w:val="ListParagraph"/>
        <w:widowControl/>
        <w:numPr>
          <w:ilvl w:val="1"/>
          <w:numId w:val="68"/>
        </w:numPr>
        <w:tabs>
          <w:tab w:val="left" w:pos="440" w:leader="none"/>
        </w:tabs>
        <w:bidi w:val="0"/>
        <w:spacing w:before="0" w:after="0"/>
        <w:ind w:left="1440" w:right="0" w:hanging="0"/>
        <w:contextualSpacing/>
        <w:jc w:val="both"/>
        <w:textAlignment w:val="auto"/>
        <w:rPr>
          <w:lang w:val="en-US"/>
        </w:rPr>
      </w:pPr>
      <w:r>
        <w:rPr>
          <w:sz w:val="22"/>
          <w:szCs w:val="22"/>
          <w:lang w:val="en-US"/>
        </w:rPr>
        <w:t>Instituto de Ciências Matemáticas e de Computação (ICMC) of University of São Paulo, in São Carlos, Brazilia:  25 ianuarie – 25 martie 2016</w:t>
      </w:r>
    </w:p>
    <w:p>
      <w:pPr>
        <w:pStyle w:val="ListParagraph"/>
        <w:widowControl/>
        <w:numPr>
          <w:ilvl w:val="1"/>
          <w:numId w:val="68"/>
        </w:numPr>
        <w:tabs>
          <w:tab w:val="left" w:pos="440" w:leader="none"/>
        </w:tabs>
        <w:bidi w:val="0"/>
        <w:spacing w:before="0" w:after="0"/>
        <w:ind w:left="1440" w:right="0" w:hanging="0"/>
        <w:contextualSpacing/>
        <w:jc w:val="both"/>
        <w:textAlignment w:val="auto"/>
        <w:rPr>
          <w:lang w:val="fr-FR"/>
        </w:rPr>
      </w:pPr>
      <w:r>
        <w:rPr>
          <w:sz w:val="22"/>
          <w:szCs w:val="22"/>
          <w:lang w:val="fr-FR"/>
        </w:rPr>
        <w:t>Universitat Autónoma de Barcelona, Departament de Matematiques, Barcelona, Spania: 17 mai – 15 iulie 2016</w:t>
      </w:r>
    </w:p>
    <w:p>
      <w:pPr>
        <w:pStyle w:val="ListParagraph"/>
        <w:widowControl w:val="false"/>
        <w:numPr>
          <w:ilvl w:val="1"/>
          <w:numId w:val="68"/>
        </w:numPr>
        <w:shd w:fill="FFFFFF"/>
        <w:tabs>
          <w:tab w:val="left" w:pos="440" w:leader="none"/>
        </w:tabs>
        <w:bidi w:val="0"/>
        <w:spacing w:before="240" w:after="0"/>
        <w:ind w:left="731" w:right="0" w:hanging="0"/>
        <w:contextualSpacing/>
        <w:jc w:val="both"/>
        <w:textAlignment w:val="auto"/>
        <w:rPr>
          <w:lang w:val="es-ES"/>
        </w:rPr>
      </w:pPr>
      <w:r>
        <w:rPr>
          <w:sz w:val="22"/>
          <w:szCs w:val="22"/>
          <w:lang w:val="es-ES"/>
        </w:rPr>
        <w:t>Université de Montréal</w:t>
      </w:r>
      <w:r>
        <w:rPr>
          <w:sz w:val="22"/>
          <w:szCs w:val="22"/>
          <w:lang w:val="fr-FR"/>
        </w:rPr>
        <w:t>, D</w:t>
      </w:r>
      <w:r>
        <w:rPr>
          <w:sz w:val="22"/>
          <w:szCs w:val="22"/>
          <w:lang w:val="es-ES"/>
        </w:rPr>
        <w:t>é</w:t>
      </w:r>
      <w:r>
        <w:rPr>
          <w:sz w:val="22"/>
          <w:szCs w:val="22"/>
          <w:lang w:val="fr-FR"/>
        </w:rPr>
        <w:t>partement de Math</w:t>
      </w:r>
      <w:r>
        <w:rPr>
          <w:sz w:val="22"/>
          <w:szCs w:val="22"/>
          <w:lang w:val="es-ES"/>
        </w:rPr>
        <w:t>é</w:t>
      </w:r>
      <w:r>
        <w:rPr>
          <w:sz w:val="22"/>
          <w:szCs w:val="22"/>
          <w:lang w:val="fr-FR"/>
        </w:rPr>
        <w:t>matiques et de Statistique, Montreal, Canada: 28 octombrie – 23 decembrie 2016</w:t>
      </w:r>
    </w:p>
    <w:p>
      <w:pPr>
        <w:pStyle w:val="Normal"/>
        <w:widowControl w:val="false"/>
        <w:shd w:fill="FFFFFF"/>
        <w:bidi w:val="0"/>
        <w:ind w:left="180" w:right="0" w:hanging="0"/>
        <w:jc w:val="left"/>
        <w:textAlignment w:val="auto"/>
        <w:rPr>
          <w:lang w:val="fr-FR"/>
        </w:rPr>
      </w:pPr>
      <w:r>
        <w:rPr>
          <w:b/>
          <w:i/>
          <w:sz w:val="22"/>
          <w:szCs w:val="22"/>
          <w:lang w:val="fr-FR"/>
        </w:rPr>
        <w:t>S</w:t>
      </w:r>
      <w:r>
        <w:rPr>
          <w:rFonts w:cs="Times New Roman CE" w:ascii="Times New Roman CE" w:hAnsi="Times New Roman CE"/>
          <w:b/>
          <w:i/>
          <w:sz w:val="22"/>
          <w:szCs w:val="22"/>
          <w:lang w:val="fr-FR"/>
        </w:rPr>
        <w:t>emnătura</w:t>
      </w:r>
      <w:r>
        <w:rPr>
          <w:b/>
          <w:i/>
          <w:sz w:val="22"/>
          <w:szCs w:val="22"/>
          <w:lang w:val="ro-RO"/>
        </w:rPr>
        <w:t xml:space="preserve"> </w:t>
        <w:tab/>
        <w:tab/>
        <w:tab/>
        <w:tab/>
        <w:tab/>
        <w:tab/>
        <w:tab/>
        <w:tab/>
        <w:tab/>
      </w:r>
      <w:r>
        <w:rPr>
          <w:b/>
          <w:i/>
          <w:spacing w:val="-1"/>
          <w:sz w:val="22"/>
          <w:szCs w:val="22"/>
          <w:lang w:val="ro-MD"/>
        </w:rPr>
        <w:t>VULPE Nicolae</w:t>
      </w:r>
    </w:p>
    <w:p>
      <w:pPr>
        <w:pStyle w:val="2"/>
        <w:keepNext/>
        <w:widowControl/>
        <w:numPr>
          <w:ilvl w:val="0"/>
          <w:numId w:val="0"/>
        </w:numPr>
        <w:bidi w:val="0"/>
        <w:ind w:left="0" w:right="0" w:hanging="0"/>
        <w:jc w:val="left"/>
        <w:textAlignment w:val="auto"/>
        <w:outlineLvl w:val="1"/>
        <w:rPr>
          <w:lang w:val="ro-MD"/>
        </w:rPr>
      </w:pPr>
      <w:r>
        <w:rPr>
          <w:lang w:val="ro-MD"/>
        </w:rPr>
      </w:r>
      <w:r>
        <w:br w:type="page"/>
      </w:r>
    </w:p>
    <w:p>
      <w:pPr>
        <w:pStyle w:val="2"/>
        <w:keepNext/>
        <w:widowControl/>
        <w:numPr>
          <w:ilvl w:val="0"/>
          <w:numId w:val="0"/>
        </w:numPr>
        <w:bidi w:val="0"/>
        <w:ind w:left="0" w:right="0" w:hanging="0"/>
        <w:jc w:val="left"/>
        <w:textAlignment w:val="auto"/>
        <w:outlineLvl w:val="1"/>
        <w:rPr/>
      </w:pPr>
      <w:bookmarkStart w:id="88" w:name="_Toc469651893"/>
      <w:bookmarkEnd w:id="88"/>
      <w:r>
        <w:rPr>
          <w:i/>
          <w:sz w:val="26"/>
          <w:szCs w:val="26"/>
        </w:rPr>
        <w:t>Membru corespondent GAINDRIC Constantin</w:t>
      </w:r>
    </w:p>
    <w:p>
      <w:pPr>
        <w:pStyle w:val="Normal"/>
        <w:widowControl/>
        <w:shd w:fill="FFFFFF"/>
        <w:bidi w:val="0"/>
        <w:spacing w:lineRule="exact" w:line="266"/>
        <w:ind w:left="164" w:right="0" w:hanging="0"/>
        <w:jc w:val="center"/>
        <w:textAlignment w:val="auto"/>
        <w:rPr>
          <w:lang w:val="ro-MD"/>
        </w:rPr>
      </w:pPr>
      <w:r>
        <w:rPr>
          <w:rFonts w:cs="Times New Roman CE" w:ascii="Times New Roman CE" w:hAnsi="Times New Roman CE"/>
          <w:spacing w:val="40"/>
          <w:sz w:val="22"/>
          <w:szCs w:val="22"/>
          <w:lang w:val="ro-MD"/>
        </w:rPr>
        <w:t>FIŞA</w:t>
      </w:r>
    </w:p>
    <w:p>
      <w:pPr>
        <w:pStyle w:val="Normal"/>
        <w:widowControl/>
        <w:shd w:fill="FFFFFF"/>
        <w:bidi w:val="0"/>
        <w:spacing w:lineRule="exact" w:line="266"/>
        <w:ind w:left="0" w:right="58" w:hanging="0"/>
        <w:jc w:val="center"/>
        <w:textAlignment w:val="auto"/>
        <w:rPr>
          <w:lang w:val="ro-MD"/>
        </w:rPr>
      </w:pPr>
      <w:r>
        <w:rPr>
          <w:sz w:val="22"/>
          <w:szCs w:val="22"/>
          <w:lang w:val="ro-MD"/>
        </w:rPr>
        <w:t xml:space="preserve">raportului </w:t>
      </w:r>
      <w:r>
        <w:rPr>
          <w:rFonts w:cs="Times New Roman CE" w:ascii="Times New Roman CE" w:hAnsi="Times New Roman CE"/>
          <w:sz w:val="22"/>
          <w:szCs w:val="22"/>
          <w:lang w:val="ro-MD"/>
        </w:rPr>
        <w:t>de activitate în anul</w:t>
      </w:r>
      <w:r>
        <w:rPr>
          <w:color w:val="C00000"/>
          <w:spacing w:val="4"/>
          <w:sz w:val="22"/>
          <w:szCs w:val="22"/>
          <w:lang w:val="ro-MD"/>
        </w:rPr>
        <w:t xml:space="preserve"> </w:t>
      </w:r>
      <w:r>
        <w:rPr>
          <w:spacing w:val="4"/>
          <w:sz w:val="22"/>
          <w:szCs w:val="22"/>
          <w:lang w:val="ro-MD"/>
        </w:rPr>
        <w:t>2016</w:t>
      </w:r>
    </w:p>
    <w:p>
      <w:pPr>
        <w:pStyle w:val="Normal"/>
        <w:widowControl/>
        <w:shd w:fill="FFFFFF"/>
        <w:bidi w:val="0"/>
        <w:ind w:left="0" w:right="58" w:hanging="0"/>
        <w:jc w:val="center"/>
        <w:textAlignment w:val="auto"/>
        <w:rPr>
          <w:rFonts w:ascii="Times New Roman" w:hAnsi="Times New Roman"/>
          <w:spacing w:val="-1"/>
          <w:sz w:val="22"/>
          <w:szCs w:val="22"/>
          <w:lang w:val="ro-MD"/>
        </w:rPr>
      </w:pPr>
      <w:r>
        <w:rPr>
          <w:spacing w:val="-1"/>
          <w:sz w:val="22"/>
          <w:szCs w:val="22"/>
          <w:lang w:val="ro-MD"/>
        </w:rPr>
      </w:r>
    </w:p>
    <w:p>
      <w:pPr>
        <w:pStyle w:val="Normal"/>
        <w:widowControl w:val="false"/>
        <w:numPr>
          <w:ilvl w:val="0"/>
          <w:numId w:val="4"/>
        </w:numPr>
        <w:shd w:fill="FFFFFF"/>
        <w:bidi w:val="0"/>
        <w:ind w:left="1080" w:right="0" w:hanging="0"/>
        <w:jc w:val="left"/>
        <w:textAlignment w:val="auto"/>
        <w:rPr>
          <w:lang w:val="ro-MD"/>
        </w:rPr>
      </w:pPr>
      <w:r>
        <w:rPr>
          <w:rFonts w:cs="Times New Roman CE" w:ascii="Times New Roman CE" w:hAnsi="Times New Roman CE"/>
          <w:spacing w:val="-1"/>
          <w:sz w:val="22"/>
          <w:szCs w:val="22"/>
          <w:lang w:val="ro-MD"/>
        </w:rPr>
        <w:t xml:space="preserve">Titlul, numele şi prenumele </w:t>
      </w:r>
      <w:r>
        <w:rPr>
          <w:spacing w:val="-1"/>
          <w:sz w:val="22"/>
          <w:szCs w:val="22"/>
          <w:lang w:val="ro-MD"/>
        </w:rPr>
        <w:t xml:space="preserve"> </w:t>
      </w:r>
      <w:r>
        <w:rPr>
          <w:rFonts w:cs="Times New Roman CE" w:ascii="Times New Roman CE" w:hAnsi="Times New Roman CE"/>
          <w:b/>
          <w:spacing w:val="-1"/>
          <w:sz w:val="22"/>
          <w:szCs w:val="22"/>
          <w:lang w:val="ro-MD"/>
        </w:rPr>
        <w:t>m.cor. A.Ş.M. G</w:t>
      </w:r>
      <w:r>
        <w:rPr>
          <w:b/>
          <w:spacing w:val="-1"/>
          <w:sz w:val="22"/>
          <w:szCs w:val="22"/>
          <w:lang w:val="ro-MD"/>
        </w:rPr>
        <w:t>AINDRIC Constantin</w:t>
      </w:r>
    </w:p>
    <w:p>
      <w:pPr>
        <w:pStyle w:val="Normal"/>
        <w:widowControl w:val="false"/>
        <w:numPr>
          <w:ilvl w:val="0"/>
          <w:numId w:val="4"/>
        </w:numPr>
        <w:shd w:fill="FFFFFF"/>
        <w:suppressAutoHyphens w:val="true"/>
        <w:bidi w:val="0"/>
        <w:ind w:left="1080" w:right="0" w:hanging="0"/>
        <w:jc w:val="left"/>
        <w:textAlignment w:val="auto"/>
        <w:rPr>
          <w:lang w:val="ro-MD"/>
        </w:rPr>
      </w:pPr>
      <w:r>
        <w:rPr>
          <w:rFonts w:cs="Times New Roman CE" w:ascii="Times New Roman CE" w:hAnsi="Times New Roman CE"/>
          <w:iCs/>
          <w:spacing w:val="1"/>
          <w:sz w:val="22"/>
          <w:szCs w:val="22"/>
          <w:lang w:val="ro-MD"/>
        </w:rPr>
        <w:t>Activitatea ştiinţifică</w:t>
      </w:r>
    </w:p>
    <w:tbl>
      <w:tblPr>
        <w:tblW w:w="10064" w:type="dxa"/>
        <w:jc w:val="left"/>
        <w:tblInd w:w="67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3" w:type="dxa"/>
          <w:bottom w:w="0" w:type="dxa"/>
          <w:right w:w="108" w:type="dxa"/>
        </w:tblCellMar>
      </w:tblPr>
      <w:tblGrid>
        <w:gridCol w:w="10064"/>
      </w:tblGrid>
      <w:tr>
        <w:trPr>
          <w:trHeight w:val="1006" w:hRule="atLeast"/>
        </w:trPr>
        <w:tc>
          <w:tcPr>
            <w:tcW w:w="1006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605" w:leader="none"/>
              </w:tabs>
              <w:bidi w:val="0"/>
              <w:ind w:left="0" w:right="0" w:hanging="0"/>
              <w:jc w:val="left"/>
              <w:textAlignment w:val="auto"/>
              <w:rPr>
                <w:lang w:val="ro-MD"/>
              </w:rPr>
            </w:pPr>
            <w:r>
              <w:rPr>
                <w:rFonts w:cs="Times New Roman CE" w:ascii="Times New Roman CE" w:hAnsi="Times New Roman CE"/>
                <w:spacing w:val="-1"/>
                <w:sz w:val="22"/>
                <w:szCs w:val="22"/>
                <w:lang w:val="ro-MD"/>
              </w:rPr>
              <w:t xml:space="preserve">Conducător al programului de stat, proiectelor din cadrul programelor de stat, proiectelor de cercetări </w:t>
            </w:r>
            <w:r>
              <w:rPr>
                <w:sz w:val="22"/>
                <w:szCs w:val="22"/>
                <w:lang w:val="ro-MD"/>
              </w:rPr>
              <w:t xml:space="preserve">proiectelor bilaterale, </w:t>
            </w:r>
            <w:r>
              <w:rPr>
                <w:rFonts w:cs="Times New Roman CE" w:ascii="Times New Roman CE" w:hAnsi="Times New Roman CE"/>
                <w:sz w:val="22"/>
                <w:szCs w:val="22"/>
                <w:lang w:val="ro-RO"/>
              </w:rPr>
              <w:t>internaţional</w:t>
            </w:r>
            <w:r>
              <w:rPr>
                <w:sz w:val="22"/>
                <w:szCs w:val="22"/>
                <w:lang w:val="ro-RO"/>
              </w:rPr>
              <w:t>e</w:t>
            </w:r>
          </w:p>
          <w:p>
            <w:pPr>
              <w:pStyle w:val="Normal"/>
              <w:widowControl/>
              <w:tabs>
                <w:tab w:val="left" w:pos="605" w:leader="none"/>
              </w:tabs>
              <w:bidi w:val="0"/>
              <w:ind w:left="0" w:right="0" w:hanging="0"/>
              <w:jc w:val="left"/>
              <w:textAlignment w:val="auto"/>
              <w:rPr>
                <w:lang w:val="ro-RO"/>
              </w:rPr>
            </w:pPr>
            <w:r>
              <w:rPr>
                <w:rFonts w:cs="Times New Roman CE" w:ascii="Times New Roman CE" w:hAnsi="Times New Roman CE"/>
                <w:lang w:val="ro-RO"/>
              </w:rPr>
              <w:t>Executant al proiectului – 15.817.02.02A Modele şi tehnologii în inginera sistemelor inteligente şi a calculului performant</w:t>
            </w:r>
          </w:p>
          <w:p>
            <w:pPr>
              <w:pStyle w:val="Normal"/>
              <w:widowControl/>
              <w:tabs>
                <w:tab w:val="left" w:pos="605" w:leader="none"/>
              </w:tabs>
              <w:bidi w:val="0"/>
              <w:ind w:left="0" w:right="0" w:hanging="0"/>
              <w:jc w:val="left"/>
              <w:textAlignment w:val="auto"/>
              <w:rPr>
                <w:lang w:val="ro-RO"/>
              </w:rPr>
            </w:pPr>
            <w:r>
              <w:rPr>
                <w:rFonts w:cs="Times New Roman CE" w:ascii="Times New Roman CE" w:hAnsi="Times New Roman CE"/>
                <w:lang w:val="ro-RO"/>
              </w:rPr>
              <w:t xml:space="preserve">Executant al proiectului -15.856.02.04A  Sistem Informaţional pentru cercetare, tratament, recuperare </w:t>
            </w:r>
            <w:r>
              <w:rPr>
                <w:rFonts w:cs="Cambria Math" w:ascii="Cambria Math" w:hAnsi="Cambria Math"/>
                <w:lang w:val="ro-RO"/>
              </w:rPr>
              <w:t>ș</w:t>
            </w:r>
            <w:r>
              <w:rPr>
                <w:rFonts w:cs="Times New Roman CE" w:ascii="Times New Roman CE" w:hAnsi="Times New Roman CE"/>
                <w:lang w:val="ro-RO"/>
              </w:rPr>
              <w:t>i reabilitare în accidentel</w:t>
            </w:r>
            <w:r>
              <w:rPr>
                <w:lang w:val="ro-RO"/>
              </w:rPr>
              <w:t>e vasculare cerebrale</w:t>
            </w:r>
          </w:p>
        </w:tc>
      </w:tr>
    </w:tbl>
    <w:p>
      <w:pPr>
        <w:pStyle w:val="Normal"/>
        <w:widowControl/>
        <w:numPr>
          <w:ilvl w:val="0"/>
          <w:numId w:val="4"/>
        </w:numPr>
        <w:shd w:fill="FFFFFF"/>
        <w:tabs>
          <w:tab w:val="left" w:pos="709" w:leader="none"/>
          <w:tab w:val="left" w:pos="1134" w:leader="none"/>
        </w:tabs>
        <w:suppressAutoHyphens w:val="true"/>
        <w:bidi w:val="0"/>
        <w:spacing w:before="120" w:after="0"/>
        <w:ind w:left="1080" w:right="0" w:hanging="0"/>
        <w:jc w:val="left"/>
        <w:textAlignment w:val="auto"/>
        <w:rPr>
          <w:lang w:val="ro-MD"/>
        </w:rPr>
      </w:pPr>
      <w:r>
        <w:rPr>
          <w:rFonts w:cs="Times New Roman CE" w:ascii="Times New Roman CE" w:hAnsi="Times New Roman CE"/>
          <w:i/>
          <w:spacing w:val="-1"/>
          <w:sz w:val="22"/>
          <w:szCs w:val="22"/>
          <w:lang w:val="ro-MD"/>
        </w:rPr>
        <w:t>Rezultatele ştiinţifice principale</w:t>
      </w:r>
    </w:p>
    <w:tbl>
      <w:tblPr>
        <w:tblW w:w="7955" w:type="dxa"/>
        <w:jc w:val="left"/>
        <w:tblInd w:w="674" w:type="dxa"/>
        <w:tblBorders>
          <w:top w:val="single" w:sz="4" w:space="0" w:color="000001"/>
          <w:left w:val="single" w:sz="4" w:space="0" w:color="000001"/>
          <w:bottom w:val="single" w:sz="4" w:space="0" w:color="000001"/>
          <w:insideH w:val="single" w:sz="4" w:space="0" w:color="000001"/>
        </w:tblBorders>
        <w:tblCellMar>
          <w:top w:w="0" w:type="dxa"/>
          <w:left w:w="103" w:type="dxa"/>
          <w:bottom w:w="0" w:type="dxa"/>
          <w:right w:w="108" w:type="dxa"/>
        </w:tblCellMar>
      </w:tblPr>
      <w:tblGrid>
        <w:gridCol w:w="5904"/>
        <w:gridCol w:w="2050"/>
      </w:tblGrid>
      <w:tr>
        <w:trPr/>
        <w:tc>
          <w:tcPr>
            <w:tcW w:w="5904"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lang w:val="ro-RO"/>
              </w:rPr>
            </w:pPr>
            <w:r>
              <w:rPr>
                <w:rFonts w:cs="Times New Roman CE" w:ascii="Times New Roman CE" w:hAnsi="Times New Roman CE"/>
                <w:sz w:val="22"/>
                <w:szCs w:val="22"/>
                <w:lang w:val="ro-RO"/>
              </w:rPr>
              <w:t>Monografii în ediţii internaţionale</w:t>
            </w:r>
          </w:p>
        </w:tc>
        <w:tc>
          <w:tcPr>
            <w:tcW w:w="20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lang w:val="ro-MD"/>
              </w:rPr>
            </w:pPr>
            <w:r>
              <w:rPr>
                <w:spacing w:val="-1"/>
                <w:sz w:val="22"/>
                <w:szCs w:val="22"/>
                <w:lang w:val="ro-MD"/>
              </w:rPr>
              <w:t>0</w:t>
            </w:r>
          </w:p>
        </w:tc>
      </w:tr>
      <w:tr>
        <w:trPr/>
        <w:tc>
          <w:tcPr>
            <w:tcW w:w="5904"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lang w:val="ro-RO"/>
              </w:rPr>
            </w:pPr>
            <w:r>
              <w:rPr>
                <w:rFonts w:cs="Times New Roman CE" w:ascii="Times New Roman CE" w:hAnsi="Times New Roman CE"/>
                <w:sz w:val="22"/>
                <w:szCs w:val="22"/>
                <w:lang w:val="ro-RO"/>
              </w:rPr>
              <w:t>Monografii în alte ediţii din străinătate</w:t>
            </w:r>
          </w:p>
        </w:tc>
        <w:tc>
          <w:tcPr>
            <w:tcW w:w="20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lang w:val="ro-MD"/>
              </w:rPr>
            </w:pPr>
            <w:r>
              <w:rPr>
                <w:spacing w:val="-1"/>
                <w:sz w:val="22"/>
                <w:szCs w:val="22"/>
                <w:lang w:val="ro-MD"/>
              </w:rPr>
              <w:t>0</w:t>
            </w:r>
          </w:p>
        </w:tc>
      </w:tr>
      <w:tr>
        <w:trPr/>
        <w:tc>
          <w:tcPr>
            <w:tcW w:w="5904"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bottom"/>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Articole în reviste cu factor de impact mai mare de 1</w:t>
            </w:r>
          </w:p>
        </w:tc>
        <w:tc>
          <w:tcPr>
            <w:tcW w:w="20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lang w:val="ro-MD"/>
              </w:rPr>
            </w:pPr>
            <w:r>
              <w:rPr>
                <w:spacing w:val="-1"/>
                <w:sz w:val="22"/>
                <w:szCs w:val="22"/>
                <w:lang w:val="ro-MD"/>
              </w:rPr>
              <w:t>0</w:t>
            </w:r>
          </w:p>
        </w:tc>
      </w:tr>
      <w:tr>
        <w:trPr/>
        <w:tc>
          <w:tcPr>
            <w:tcW w:w="5904"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bottom"/>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Articole în reviste cu factor de impact 0,1-1.0</w:t>
            </w:r>
          </w:p>
        </w:tc>
        <w:tc>
          <w:tcPr>
            <w:tcW w:w="20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lang w:val="ro-MD"/>
              </w:rPr>
            </w:pPr>
            <w:r>
              <w:rPr>
                <w:spacing w:val="-1"/>
                <w:sz w:val="22"/>
                <w:szCs w:val="22"/>
                <w:lang w:val="ro-MD"/>
              </w:rPr>
              <w:t>0</w:t>
            </w:r>
          </w:p>
        </w:tc>
      </w:tr>
      <w:tr>
        <w:trPr/>
        <w:tc>
          <w:tcPr>
            <w:tcW w:w="5904"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bottom"/>
          </w:tcPr>
          <w:p>
            <w:pPr>
              <w:pStyle w:val="Normal"/>
              <w:widowControl/>
              <w:bidi w:val="0"/>
              <w:ind w:left="0" w:right="0" w:hanging="0"/>
              <w:jc w:val="left"/>
              <w:textAlignment w:val="auto"/>
              <w:rPr>
                <w:lang w:val="ro-RO"/>
              </w:rPr>
            </w:pPr>
            <w:r>
              <w:rPr>
                <w:sz w:val="22"/>
                <w:szCs w:val="22"/>
                <w:lang w:val="ro-RO"/>
              </w:rPr>
              <w:t>Artico</w:t>
            </w:r>
            <w:r>
              <w:rPr>
                <w:rFonts w:cs="Times New Roman CE" w:ascii="Times New Roman CE" w:hAnsi="Times New Roman CE"/>
                <w:sz w:val="22"/>
                <w:szCs w:val="22"/>
                <w:lang w:val="ro-RO"/>
              </w:rPr>
              <w:t>le în reviste cu factor de impact 0,01- 0,1</w:t>
            </w:r>
          </w:p>
        </w:tc>
        <w:tc>
          <w:tcPr>
            <w:tcW w:w="20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lang w:val="ro-MD"/>
              </w:rPr>
            </w:pPr>
            <w:r>
              <w:rPr>
                <w:spacing w:val="-1"/>
                <w:sz w:val="22"/>
                <w:szCs w:val="22"/>
                <w:lang w:val="ro-MD"/>
              </w:rPr>
              <w:t>0</w:t>
            </w:r>
          </w:p>
        </w:tc>
      </w:tr>
      <w:tr>
        <w:trPr/>
        <w:tc>
          <w:tcPr>
            <w:tcW w:w="5904"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lang w:val="ro-RO"/>
              </w:rPr>
            </w:pPr>
            <w:r>
              <w:rPr>
                <w:rFonts w:cs="Times New Roman CE" w:ascii="Times New Roman CE" w:hAnsi="Times New Roman CE"/>
                <w:sz w:val="22"/>
                <w:szCs w:val="22"/>
                <w:lang w:val="ro-RO"/>
              </w:rPr>
              <w:t>Articole în alte reviste editate în străinătate</w:t>
            </w:r>
          </w:p>
        </w:tc>
        <w:tc>
          <w:tcPr>
            <w:tcW w:w="20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lang w:val="ro-MD"/>
              </w:rPr>
            </w:pPr>
            <w:r>
              <w:rPr>
                <w:spacing w:val="-2"/>
                <w:sz w:val="22"/>
                <w:szCs w:val="22"/>
                <w:lang w:val="ro-MD"/>
              </w:rPr>
              <w:t>0</w:t>
            </w:r>
          </w:p>
        </w:tc>
      </w:tr>
      <w:tr>
        <w:trPr/>
        <w:tc>
          <w:tcPr>
            <w:tcW w:w="5904"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lang w:val="ro-RO"/>
              </w:rPr>
            </w:pPr>
            <w:r>
              <w:rPr>
                <w:rFonts w:cs="Times New Roman CE" w:ascii="Times New Roman CE" w:hAnsi="Times New Roman CE"/>
                <w:sz w:val="22"/>
                <w:szCs w:val="22"/>
                <w:lang w:val="ro-RO"/>
              </w:rPr>
              <w:t>Monografii editate în ţară</w:t>
            </w:r>
          </w:p>
        </w:tc>
        <w:tc>
          <w:tcPr>
            <w:tcW w:w="20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lang w:val="ro-MD"/>
              </w:rPr>
            </w:pPr>
            <w:r>
              <w:rPr>
                <w:rFonts w:cs="Times New Roman CE" w:ascii="Times New Roman CE" w:hAnsi="Times New Roman CE"/>
                <w:spacing w:val="-2"/>
                <w:sz w:val="22"/>
                <w:szCs w:val="22"/>
                <w:lang w:val="ro-MD"/>
              </w:rPr>
              <w:t>1 - Proceedings MFOI 2016, Editor şef</w:t>
            </w:r>
          </w:p>
        </w:tc>
      </w:tr>
      <w:tr>
        <w:trPr/>
        <w:tc>
          <w:tcPr>
            <w:tcW w:w="5904"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bottom"/>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Articole în reviste naţionale, categoria A</w:t>
            </w:r>
          </w:p>
        </w:tc>
        <w:tc>
          <w:tcPr>
            <w:tcW w:w="20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lang w:val="ro-MD"/>
              </w:rPr>
            </w:pPr>
            <w:r>
              <w:rPr>
                <w:spacing w:val="-3"/>
                <w:sz w:val="22"/>
                <w:szCs w:val="22"/>
                <w:lang w:val="ro-MD"/>
              </w:rPr>
              <w:t>0</w:t>
            </w:r>
          </w:p>
        </w:tc>
      </w:tr>
      <w:tr>
        <w:trPr/>
        <w:tc>
          <w:tcPr>
            <w:tcW w:w="5904"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bottom"/>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Articole în reviste naţionale, categoria B</w:t>
            </w:r>
            <w:r>
              <w:rPr>
                <w:spacing w:val="-3"/>
                <w:sz w:val="22"/>
                <w:szCs w:val="22"/>
                <w:lang w:val="ro-MD"/>
              </w:rPr>
              <w:t>+</w:t>
            </w:r>
          </w:p>
        </w:tc>
        <w:tc>
          <w:tcPr>
            <w:tcW w:w="20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lang w:val="ro-MD"/>
              </w:rPr>
            </w:pPr>
            <w:r>
              <w:rPr>
                <w:spacing w:val="-3"/>
                <w:sz w:val="22"/>
                <w:szCs w:val="22"/>
                <w:lang w:val="ro-MD"/>
              </w:rPr>
              <w:t>0</w:t>
            </w:r>
          </w:p>
        </w:tc>
      </w:tr>
      <w:tr>
        <w:trPr/>
        <w:tc>
          <w:tcPr>
            <w:tcW w:w="5904"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bottom"/>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Articole în reviste naţionale, categoria C</w:t>
            </w:r>
          </w:p>
        </w:tc>
        <w:tc>
          <w:tcPr>
            <w:tcW w:w="20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lang w:val="ro-MD"/>
              </w:rPr>
            </w:pPr>
            <w:r>
              <w:rPr>
                <w:spacing w:val="-2"/>
                <w:sz w:val="22"/>
                <w:szCs w:val="22"/>
                <w:lang w:val="ro-MD"/>
              </w:rPr>
              <w:t>0</w:t>
            </w:r>
          </w:p>
        </w:tc>
      </w:tr>
      <w:tr>
        <w:trPr/>
        <w:tc>
          <w:tcPr>
            <w:tcW w:w="5904" w:type="dxa"/>
            <w:tcBorders>
              <w:top w:val="single" w:sz="4" w:space="0" w:color="000001"/>
              <w:left w:val="single" w:sz="4" w:space="0" w:color="000001"/>
              <w:bottom w:val="single" w:sz="4" w:space="0" w:color="000001"/>
              <w:insideH w:val="single" w:sz="4" w:space="0" w:color="000001"/>
            </w:tcBorders>
            <w:shd w:fill="auto" w:val="clear"/>
            <w:tcMar>
              <w:left w:w="103" w:type="dxa"/>
            </w:tcMar>
            <w:vAlign w:val="bottom"/>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Articole în culegeri</w:t>
            </w:r>
          </w:p>
        </w:tc>
        <w:tc>
          <w:tcPr>
            <w:tcW w:w="20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lang w:val="ro-MD"/>
              </w:rPr>
            </w:pPr>
            <w:r>
              <w:rPr>
                <w:spacing w:val="-2"/>
                <w:sz w:val="22"/>
                <w:szCs w:val="22"/>
                <w:lang w:val="ro-MD"/>
              </w:rPr>
              <w:t>1- MFOI Proceedings, 2016</w:t>
            </w:r>
          </w:p>
        </w:tc>
      </w:tr>
      <w:tr>
        <w:trPr/>
        <w:tc>
          <w:tcPr>
            <w:tcW w:w="5904"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lang w:val="ro-MD"/>
              </w:rPr>
            </w:pPr>
            <w:r>
              <w:rPr>
                <w:rFonts w:cs="Times New Roman CE" w:ascii="Times New Roman CE" w:hAnsi="Times New Roman CE"/>
                <w:sz w:val="22"/>
                <w:szCs w:val="22"/>
                <w:lang w:val="ro-MD"/>
              </w:rPr>
              <w:t>Participarea la foruri ştiinţifice</w:t>
            </w:r>
          </w:p>
        </w:tc>
        <w:tc>
          <w:tcPr>
            <w:tcW w:w="20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shd w:fill="FFFFFF"/>
              <w:tabs>
                <w:tab w:val="left" w:pos="709" w:leader="none"/>
                <w:tab w:val="left" w:pos="1134" w:leader="none"/>
              </w:tabs>
              <w:bidi w:val="0"/>
              <w:ind w:left="0" w:right="0" w:hanging="0"/>
              <w:jc w:val="left"/>
              <w:textAlignment w:val="auto"/>
              <w:rPr>
                <w:lang w:val="ro-MD"/>
              </w:rPr>
            </w:pPr>
            <w:r>
              <w:rPr>
                <w:spacing w:val="-2"/>
                <w:sz w:val="22"/>
                <w:szCs w:val="22"/>
                <w:lang w:val="ro-MD"/>
              </w:rPr>
              <w:t>5</w:t>
            </w:r>
          </w:p>
        </w:tc>
      </w:tr>
    </w:tbl>
    <w:p>
      <w:pPr>
        <w:pStyle w:val="Normal"/>
        <w:widowControl/>
        <w:bidi w:val="0"/>
        <w:ind w:left="709" w:right="0" w:hanging="0"/>
        <w:jc w:val="left"/>
        <w:textAlignment w:val="auto"/>
        <w:rPr>
          <w:lang w:val="ro-MD"/>
        </w:rPr>
      </w:pPr>
      <w:r>
        <w:rPr>
          <w:rFonts w:cs="Times New Roman CE" w:ascii="Times New Roman CE" w:hAnsi="Times New Roman CE"/>
          <w:bCs/>
          <w:i/>
          <w:sz w:val="22"/>
          <w:szCs w:val="22"/>
          <w:lang w:val="ro-MD"/>
        </w:rPr>
        <w:t>Activitatea inovaţională</w:t>
      </w:r>
    </w:p>
    <w:tbl>
      <w:tblPr>
        <w:tblW w:w="7894" w:type="dxa"/>
        <w:jc w:val="left"/>
        <w:tblInd w:w="613" w:type="dxa"/>
        <w:tblBorders>
          <w:top w:val="single" w:sz="4" w:space="0" w:color="000001"/>
          <w:left w:val="single" w:sz="4" w:space="0" w:color="000001"/>
          <w:bottom w:val="single" w:sz="4" w:space="0" w:color="000001"/>
          <w:insideH w:val="single" w:sz="4" w:space="0" w:color="000001"/>
        </w:tblBorders>
        <w:tblCellMar>
          <w:top w:w="0" w:type="dxa"/>
          <w:left w:w="103" w:type="dxa"/>
          <w:bottom w:w="0" w:type="dxa"/>
          <w:right w:w="108" w:type="dxa"/>
        </w:tblCellMar>
      </w:tblPr>
      <w:tblGrid>
        <w:gridCol w:w="5843"/>
        <w:gridCol w:w="2050"/>
      </w:tblGrid>
      <w:tr>
        <w:trPr/>
        <w:tc>
          <w:tcPr>
            <w:tcW w:w="5843"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shd w:fill="FFFFFF"/>
              <w:bidi w:val="0"/>
              <w:ind w:left="0" w:right="0" w:hanging="0"/>
              <w:jc w:val="left"/>
              <w:textAlignment w:val="auto"/>
              <w:rPr>
                <w:lang w:val="ro-MD"/>
              </w:rPr>
            </w:pPr>
            <w:r>
              <w:rPr>
                <w:rFonts w:cs="Times New Roman CE" w:ascii="Times New Roman CE" w:hAnsi="Times New Roman CE"/>
                <w:sz w:val="22"/>
                <w:szCs w:val="22"/>
                <w:lang w:val="ro-MD"/>
              </w:rPr>
              <w:t xml:space="preserve">Numărul de cereri prezentate </w:t>
            </w:r>
          </w:p>
        </w:tc>
        <w:tc>
          <w:tcPr>
            <w:tcW w:w="20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shd w:fill="FFFFFF"/>
              <w:bidi w:val="0"/>
              <w:ind w:left="0" w:right="0" w:hanging="0"/>
              <w:jc w:val="left"/>
              <w:textAlignment w:val="auto"/>
              <w:rPr>
                <w:lang w:val="ro-MD"/>
              </w:rPr>
            </w:pPr>
            <w:r>
              <w:rPr>
                <w:spacing w:val="-1"/>
                <w:sz w:val="22"/>
                <w:szCs w:val="22"/>
                <w:lang w:val="ro-MD"/>
              </w:rPr>
              <w:t>0</w:t>
            </w:r>
          </w:p>
        </w:tc>
      </w:tr>
      <w:tr>
        <w:trPr/>
        <w:tc>
          <w:tcPr>
            <w:tcW w:w="5843"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shd w:fill="FFFFFF"/>
              <w:bidi w:val="0"/>
              <w:ind w:left="0" w:right="0" w:hanging="0"/>
              <w:jc w:val="left"/>
              <w:textAlignment w:val="auto"/>
              <w:rPr>
                <w:lang w:val="ro-MD"/>
              </w:rPr>
            </w:pPr>
            <w:r>
              <w:rPr>
                <w:rFonts w:cs="Times New Roman CE" w:ascii="Times New Roman CE" w:hAnsi="Times New Roman CE"/>
                <w:sz w:val="22"/>
                <w:szCs w:val="22"/>
                <w:lang w:val="ro-MD"/>
              </w:rPr>
              <w:t>Numărul de hotărîri pozitive obţinute</w:t>
            </w:r>
          </w:p>
        </w:tc>
        <w:tc>
          <w:tcPr>
            <w:tcW w:w="20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shd w:fill="FFFFFF"/>
              <w:bidi w:val="0"/>
              <w:ind w:left="0" w:right="0" w:hanging="0"/>
              <w:jc w:val="left"/>
              <w:textAlignment w:val="auto"/>
              <w:rPr>
                <w:lang w:val="ro-MD"/>
              </w:rPr>
            </w:pPr>
            <w:r>
              <w:rPr>
                <w:spacing w:val="-1"/>
                <w:sz w:val="22"/>
                <w:szCs w:val="22"/>
                <w:lang w:val="ro-MD"/>
              </w:rPr>
              <w:t>0</w:t>
            </w:r>
          </w:p>
        </w:tc>
      </w:tr>
      <w:tr>
        <w:trPr/>
        <w:tc>
          <w:tcPr>
            <w:tcW w:w="5843"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shd w:fill="FFFFFF"/>
              <w:bidi w:val="0"/>
              <w:ind w:left="0" w:right="0" w:hanging="0"/>
              <w:jc w:val="left"/>
              <w:textAlignment w:val="auto"/>
              <w:rPr>
                <w:lang w:val="ro-MD"/>
              </w:rPr>
            </w:pPr>
            <w:r>
              <w:rPr>
                <w:rFonts w:cs="Times New Roman CE" w:ascii="Times New Roman CE" w:hAnsi="Times New Roman CE"/>
                <w:sz w:val="22"/>
                <w:szCs w:val="22"/>
                <w:lang w:val="ro-MD"/>
              </w:rPr>
              <w:t>Numărul de brevete obţin</w:t>
            </w:r>
            <w:r>
              <w:rPr>
                <w:sz w:val="22"/>
                <w:szCs w:val="22"/>
                <w:lang w:val="ro-MD"/>
              </w:rPr>
              <w:t>ute</w:t>
            </w:r>
          </w:p>
        </w:tc>
        <w:tc>
          <w:tcPr>
            <w:tcW w:w="20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shd w:fill="FFFFFF"/>
              <w:bidi w:val="0"/>
              <w:ind w:left="0" w:right="0" w:hanging="0"/>
              <w:jc w:val="left"/>
              <w:textAlignment w:val="auto"/>
              <w:rPr>
                <w:lang w:val="ro-MD"/>
              </w:rPr>
            </w:pPr>
            <w:r>
              <w:rPr>
                <w:spacing w:val="-1"/>
                <w:sz w:val="22"/>
                <w:szCs w:val="22"/>
                <w:lang w:val="ro-MD"/>
              </w:rPr>
              <w:t>0</w:t>
            </w:r>
          </w:p>
        </w:tc>
      </w:tr>
      <w:tr>
        <w:trPr/>
        <w:tc>
          <w:tcPr>
            <w:tcW w:w="5843"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shd w:fill="FFFFFF"/>
              <w:bidi w:val="0"/>
              <w:ind w:left="0" w:right="0" w:hanging="0"/>
              <w:jc w:val="left"/>
              <w:textAlignment w:val="auto"/>
              <w:rPr>
                <w:lang w:val="ro-MD"/>
              </w:rPr>
            </w:pPr>
            <w:r>
              <w:rPr>
                <w:rFonts w:cs="Times New Roman CE" w:ascii="Times New Roman CE" w:hAnsi="Times New Roman CE"/>
                <w:sz w:val="22"/>
                <w:szCs w:val="22"/>
                <w:lang w:val="ro-MD"/>
              </w:rPr>
              <w:t>Numărul de brevete implementate</w:t>
            </w:r>
          </w:p>
        </w:tc>
        <w:tc>
          <w:tcPr>
            <w:tcW w:w="20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shd w:fill="FFFFFF"/>
              <w:bidi w:val="0"/>
              <w:ind w:left="0" w:right="0" w:hanging="0"/>
              <w:jc w:val="left"/>
              <w:textAlignment w:val="auto"/>
              <w:rPr>
                <w:lang w:val="ro-MD"/>
              </w:rPr>
            </w:pPr>
            <w:r>
              <w:rPr>
                <w:spacing w:val="-1"/>
                <w:sz w:val="22"/>
                <w:szCs w:val="22"/>
                <w:lang w:val="ro-MD"/>
              </w:rPr>
              <w:t>0</w:t>
            </w:r>
          </w:p>
        </w:tc>
      </w:tr>
    </w:tbl>
    <w:p>
      <w:pPr>
        <w:pStyle w:val="Normal"/>
        <w:widowControl w:val="false"/>
        <w:numPr>
          <w:ilvl w:val="0"/>
          <w:numId w:val="4"/>
        </w:numPr>
        <w:shd w:fill="FFFFFF"/>
        <w:suppressAutoHyphens w:val="true"/>
        <w:bidi w:val="0"/>
        <w:ind w:left="1080" w:right="0" w:hanging="0"/>
        <w:jc w:val="left"/>
        <w:textAlignment w:val="auto"/>
        <w:rPr>
          <w:lang w:val="ro-MD"/>
        </w:rPr>
      </w:pPr>
      <w:r>
        <w:rPr>
          <w:rFonts w:cs="Times New Roman CE" w:ascii="Times New Roman CE" w:hAnsi="Times New Roman CE"/>
          <w:i/>
          <w:sz w:val="22"/>
          <w:szCs w:val="22"/>
          <w:lang w:val="ro-MD"/>
        </w:rPr>
        <w:t>Rezultatele ştiinţifice obţinute în anul de referinţă ( până la 100 de cuvinte)</w:t>
      </w:r>
    </w:p>
    <w:tbl>
      <w:tblPr>
        <w:tblW w:w="10064" w:type="dxa"/>
        <w:jc w:val="left"/>
        <w:tblInd w:w="6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3" w:type="dxa"/>
          <w:bottom w:w="0" w:type="dxa"/>
          <w:right w:w="108" w:type="dxa"/>
        </w:tblCellMar>
      </w:tblPr>
      <w:tblGrid>
        <w:gridCol w:w="10064"/>
      </w:tblGrid>
      <w:tr>
        <w:trPr>
          <w:trHeight w:val="714" w:hRule="atLeast"/>
        </w:trPr>
        <w:tc>
          <w:tcPr>
            <w:tcW w:w="1006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color w:val="000000"/>
                <w:sz w:val="22"/>
                <w:szCs w:val="22"/>
                <w:lang w:val="ro-MD"/>
              </w:rPr>
              <w:t>A fost formulat şi propus conceptul de remodelare a bazei de cunoştinţe Sonares cu scopul utilizării acesteea în triajul medical la lo</w:t>
            </w:r>
            <w:r>
              <w:rPr>
                <w:color w:val="000000"/>
                <w:sz w:val="22"/>
                <w:szCs w:val="22"/>
                <w:lang w:val="ro-MD"/>
              </w:rPr>
              <w:t xml:space="preserve">cul accidentelor cu multiple victime. </w:t>
            </w:r>
            <w:r>
              <w:rPr>
                <w:color w:val="000000"/>
                <w:sz w:val="22"/>
                <w:szCs w:val="22"/>
                <w:lang w:val="fr-FR"/>
              </w:rPr>
              <w:t>Abordarea propus</w:t>
            </w:r>
            <w:r>
              <w:rPr>
                <w:rFonts w:cs="Times New Roman CE" w:ascii="Times New Roman CE" w:hAnsi="Times New Roman CE"/>
                <w:color w:val="000000"/>
                <w:sz w:val="22"/>
                <w:szCs w:val="22"/>
                <w:lang w:val="ro-RO"/>
              </w:rPr>
              <w:t>ă</w:t>
            </w:r>
            <w:r>
              <w:rPr>
                <w:color w:val="000000"/>
                <w:sz w:val="22"/>
                <w:szCs w:val="22"/>
                <w:lang w:val="fr-FR"/>
              </w:rPr>
              <w:t xml:space="preserve"> </w:t>
            </w:r>
            <w:r>
              <w:rPr>
                <w:rFonts w:cs="Times New Roman CE" w:ascii="Times New Roman CE" w:hAnsi="Times New Roman CE"/>
                <w:color w:val="000000"/>
                <w:sz w:val="22"/>
                <w:szCs w:val="22"/>
                <w:lang w:val="ro-RO"/>
              </w:rPr>
              <w:t>ş</w:t>
            </w:r>
            <w:r>
              <w:rPr>
                <w:color w:val="000000"/>
                <w:sz w:val="22"/>
                <w:szCs w:val="22"/>
                <w:lang w:val="fr-FR"/>
              </w:rPr>
              <w:t>i implementat</w:t>
            </w:r>
            <w:r>
              <w:rPr>
                <w:rFonts w:cs="Times New Roman CE" w:ascii="Times New Roman CE" w:hAnsi="Times New Roman CE"/>
                <w:color w:val="000000"/>
                <w:sz w:val="22"/>
                <w:szCs w:val="22"/>
                <w:lang w:val="ro-RO"/>
              </w:rPr>
              <w:t>ă</w:t>
            </w:r>
            <w:r>
              <w:rPr>
                <w:color w:val="000000"/>
                <w:sz w:val="22"/>
                <w:szCs w:val="22"/>
                <w:lang w:val="fr-FR"/>
              </w:rPr>
              <w:t xml:space="preserve"> </w:t>
            </w:r>
            <w:r>
              <w:rPr>
                <w:color w:val="000000"/>
                <w:sz w:val="22"/>
                <w:szCs w:val="22"/>
                <w:lang w:val="ro-RO"/>
              </w:rPr>
              <w:t>include t</w:t>
            </w:r>
            <w:r>
              <w:rPr>
                <w:rFonts w:cs="Times New Roman CE" w:ascii="Times New Roman CE" w:hAnsi="Times New Roman CE"/>
                <w:color w:val="000000"/>
                <w:sz w:val="22"/>
                <w:szCs w:val="22"/>
                <w:lang w:val="ro-MD"/>
              </w:rPr>
              <w:t>ehnologii de integrare a informaţiei medicale centrate pe pacient cu baze de cunoştinţe destinate diagnosticului medical.</w:t>
            </w:r>
            <w:r>
              <w:rPr>
                <w:color w:val="000000"/>
                <w:sz w:val="22"/>
                <w:szCs w:val="22"/>
                <w:lang w:val="ro-MD"/>
              </w:rPr>
              <w:t xml:space="preserve"> </w:t>
            </w:r>
            <w:r>
              <w:rPr>
                <w:rFonts w:cs="Times New Roman CE" w:ascii="Times New Roman CE" w:hAnsi="Times New Roman CE"/>
                <w:color w:val="000000"/>
                <w:sz w:val="22"/>
                <w:szCs w:val="22"/>
                <w:lang w:val="fr-FR"/>
              </w:rPr>
              <w:t xml:space="preserve">Abordarea permite diferenţierea procesului de triaj la faţa locului, în funcţie de timpul disponibil pentru luarea deciziilor. </w:t>
              <w:tab/>
            </w:r>
          </w:p>
        </w:tc>
      </w:tr>
    </w:tbl>
    <w:p>
      <w:pPr>
        <w:pStyle w:val="Normal"/>
        <w:widowControl w:val="false"/>
        <w:numPr>
          <w:ilvl w:val="0"/>
          <w:numId w:val="4"/>
        </w:numPr>
        <w:shd w:fill="FFFFFF"/>
        <w:suppressAutoHyphens w:val="true"/>
        <w:bidi w:val="0"/>
        <w:ind w:left="1080" w:right="0" w:hanging="0"/>
        <w:jc w:val="left"/>
        <w:textAlignment w:val="auto"/>
        <w:rPr>
          <w:lang w:val="ro-MD"/>
        </w:rPr>
      </w:pPr>
      <w:r>
        <w:rPr>
          <w:rFonts w:cs="Times New Roman CE" w:ascii="Times New Roman CE" w:hAnsi="Times New Roman CE"/>
          <w:i/>
          <w:iCs/>
          <w:spacing w:val="4"/>
          <w:sz w:val="22"/>
          <w:szCs w:val="22"/>
          <w:lang w:val="ro-MD"/>
        </w:rPr>
        <w:t>Activitatea didactică</w:t>
      </w:r>
    </w:p>
    <w:tbl>
      <w:tblPr>
        <w:tblW w:w="9958" w:type="dxa"/>
        <w:jc w:val="left"/>
        <w:tblInd w:w="357" w:type="dxa"/>
        <w:tblBorders>
          <w:top w:val="single" w:sz="4" w:space="0" w:color="808080"/>
          <w:left w:val="single" w:sz="4" w:space="0" w:color="808080"/>
          <w:bottom w:val="single" w:sz="4" w:space="0" w:color="808080"/>
          <w:insideH w:val="single" w:sz="4" w:space="0" w:color="808080"/>
        </w:tblBorders>
        <w:tblCellMar>
          <w:top w:w="0" w:type="dxa"/>
          <w:left w:w="103" w:type="dxa"/>
          <w:bottom w:w="0" w:type="dxa"/>
          <w:right w:w="108" w:type="dxa"/>
        </w:tblCellMar>
      </w:tblPr>
      <w:tblGrid>
        <w:gridCol w:w="8186"/>
        <w:gridCol w:w="1771"/>
      </w:tblGrid>
      <w:tr>
        <w:trPr/>
        <w:tc>
          <w:tcPr>
            <w:tcW w:w="8186" w:type="dxa"/>
            <w:tcBorders>
              <w:top w:val="single" w:sz="4" w:space="0" w:color="808080"/>
              <w:left w:val="single" w:sz="4" w:space="0" w:color="808080"/>
              <w:bottom w:val="single" w:sz="4" w:space="0" w:color="808080"/>
              <w:insideH w:val="single" w:sz="4" w:space="0" w:color="808080"/>
            </w:tcBorders>
            <w:shd w:fill="auto" w:val="clear"/>
            <w:tcMar>
              <w:left w:w="103" w:type="dxa"/>
            </w:tcMar>
          </w:tcPr>
          <w:p>
            <w:pPr>
              <w:pStyle w:val="Normal"/>
              <w:widowControl/>
              <w:shd w:fill="FFFFFF"/>
              <w:tabs>
                <w:tab w:val="left" w:pos="709" w:leader="none"/>
                <w:tab w:val="left" w:pos="1134" w:leader="none"/>
              </w:tabs>
              <w:bidi w:val="0"/>
              <w:spacing w:lineRule="exact" w:line="271"/>
              <w:ind w:left="0" w:right="0" w:hanging="0"/>
              <w:jc w:val="left"/>
              <w:textAlignment w:val="auto"/>
              <w:rPr>
                <w:lang w:val="ro-MD"/>
              </w:rPr>
            </w:pPr>
            <w:r>
              <w:rPr>
                <w:rFonts w:cs="Times New Roman CE" w:ascii="Times New Roman CE" w:hAnsi="Times New Roman CE"/>
                <w:sz w:val="22"/>
                <w:szCs w:val="22"/>
                <w:lang w:val="ro-MD"/>
              </w:rPr>
              <w:t>Numărul</w:t>
            </w:r>
            <w:r>
              <w:rPr>
                <w:rFonts w:cs="Times New Roman CE" w:ascii="Times New Roman CE" w:hAnsi="Times New Roman CE"/>
                <w:spacing w:val="-2"/>
                <w:sz w:val="22"/>
                <w:szCs w:val="22"/>
                <w:lang w:val="ro-MD"/>
              </w:rPr>
              <w:t xml:space="preserve"> cursurilor ţinute</w:t>
            </w:r>
          </w:p>
        </w:tc>
        <w:tc>
          <w:tcPr>
            <w:tcW w:w="1771"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tcMar>
              <w:left w:w="103" w:type="dxa"/>
            </w:tcMar>
          </w:tcPr>
          <w:p>
            <w:pPr>
              <w:pStyle w:val="Normal"/>
              <w:widowControl/>
              <w:shd w:fill="FFFFFF"/>
              <w:tabs>
                <w:tab w:val="left" w:pos="709" w:leader="none"/>
                <w:tab w:val="left" w:pos="1134" w:leader="none"/>
              </w:tabs>
              <w:bidi w:val="0"/>
              <w:ind w:left="0" w:right="0" w:hanging="0"/>
              <w:jc w:val="center"/>
              <w:textAlignment w:val="auto"/>
              <w:rPr>
                <w:lang w:val="ro-MD"/>
              </w:rPr>
            </w:pPr>
            <w:r>
              <w:rPr>
                <w:spacing w:val="-1"/>
                <w:sz w:val="22"/>
                <w:szCs w:val="22"/>
                <w:lang w:val="ro-MD"/>
              </w:rPr>
              <w:t>1</w:t>
            </w:r>
          </w:p>
        </w:tc>
      </w:tr>
      <w:tr>
        <w:trPr/>
        <w:tc>
          <w:tcPr>
            <w:tcW w:w="8186" w:type="dxa"/>
            <w:tcBorders>
              <w:top w:val="single" w:sz="4" w:space="0" w:color="808080"/>
              <w:left w:val="single" w:sz="4" w:space="0" w:color="808080"/>
              <w:bottom w:val="single" w:sz="4" w:space="0" w:color="808080"/>
              <w:insideH w:val="single" w:sz="4" w:space="0" w:color="808080"/>
            </w:tcBorders>
            <w:shd w:fill="auto" w:val="clear"/>
            <w:tcMar>
              <w:left w:w="103" w:type="dxa"/>
            </w:tcMar>
          </w:tcPr>
          <w:p>
            <w:pPr>
              <w:pStyle w:val="Normal"/>
              <w:widowControl/>
              <w:shd w:fill="FFFFFF"/>
              <w:tabs>
                <w:tab w:val="left" w:pos="709" w:leader="none"/>
                <w:tab w:val="left" w:pos="1134" w:leader="none"/>
              </w:tabs>
              <w:bidi w:val="0"/>
              <w:spacing w:lineRule="exact" w:line="271" w:before="2" w:after="0"/>
              <w:ind w:left="0" w:right="0" w:hanging="0"/>
              <w:jc w:val="left"/>
              <w:textAlignment w:val="auto"/>
              <w:rPr>
                <w:lang w:val="ro-MD"/>
              </w:rPr>
            </w:pPr>
            <w:r>
              <w:rPr>
                <w:rFonts w:cs="Times New Roman CE" w:ascii="Times New Roman CE" w:hAnsi="Times New Roman CE"/>
                <w:sz w:val="22"/>
                <w:szCs w:val="22"/>
                <w:lang w:val="ro-MD"/>
              </w:rPr>
              <w:t>Numărul total de persoane la care a  fost conducător ştiinţific al tezei de doctorat</w:t>
            </w:r>
          </w:p>
        </w:tc>
        <w:tc>
          <w:tcPr>
            <w:tcW w:w="1771"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tcMar>
              <w:left w:w="103" w:type="dxa"/>
            </w:tcMar>
          </w:tcPr>
          <w:p>
            <w:pPr>
              <w:pStyle w:val="Normal"/>
              <w:widowControl/>
              <w:shd w:fill="FFFFFF"/>
              <w:tabs>
                <w:tab w:val="left" w:pos="709" w:leader="none"/>
                <w:tab w:val="left" w:pos="1134" w:leader="none"/>
              </w:tabs>
              <w:bidi w:val="0"/>
              <w:spacing w:lineRule="exact" w:line="271" w:before="2" w:after="0"/>
              <w:ind w:left="0" w:right="0" w:hanging="0"/>
              <w:jc w:val="left"/>
              <w:textAlignment w:val="auto"/>
              <w:rPr>
                <w:lang w:val="ro-MD"/>
              </w:rPr>
            </w:pPr>
            <w:r>
              <w:rPr>
                <w:spacing w:val="-1"/>
                <w:sz w:val="22"/>
                <w:szCs w:val="22"/>
                <w:lang w:val="ro-MD"/>
              </w:rPr>
              <w:t>3+1(consultnt)</w:t>
            </w:r>
          </w:p>
        </w:tc>
      </w:tr>
      <w:tr>
        <w:trPr/>
        <w:tc>
          <w:tcPr>
            <w:tcW w:w="8186" w:type="dxa"/>
            <w:tcBorders>
              <w:top w:val="single" w:sz="4" w:space="0" w:color="808080"/>
              <w:left w:val="single" w:sz="4" w:space="0" w:color="808080"/>
              <w:bottom w:val="single" w:sz="4" w:space="0" w:color="808080"/>
              <w:insideH w:val="single" w:sz="4" w:space="0" w:color="808080"/>
            </w:tcBorders>
            <w:shd w:fill="auto" w:val="clear"/>
            <w:tcMar>
              <w:left w:w="103" w:type="dxa"/>
            </w:tcMar>
          </w:tcPr>
          <w:p>
            <w:pPr>
              <w:pStyle w:val="Normal"/>
              <w:widowControl/>
              <w:shd w:fill="FFFFFF"/>
              <w:tabs>
                <w:tab w:val="left" w:pos="709" w:leader="none"/>
                <w:tab w:val="left" w:pos="1134" w:leader="none"/>
              </w:tabs>
              <w:bidi w:val="0"/>
              <w:spacing w:lineRule="exact" w:line="271" w:before="2" w:after="0"/>
              <w:ind w:left="0" w:right="0" w:hanging="0"/>
              <w:jc w:val="left"/>
              <w:textAlignment w:val="auto"/>
              <w:rPr>
                <w:lang w:val="ro-MD"/>
              </w:rPr>
            </w:pPr>
            <w:r>
              <w:rPr>
                <w:rFonts w:cs="Times New Roman CE" w:ascii="Times New Roman CE" w:hAnsi="Times New Roman CE"/>
                <w:sz w:val="22"/>
                <w:szCs w:val="22"/>
                <w:lang w:val="ro-MD"/>
              </w:rPr>
              <w:t xml:space="preserve">Numărul persoanelor la care a  fost conducător ştiinţific şi care au susţinut teza </w:t>
            </w:r>
          </w:p>
        </w:tc>
        <w:tc>
          <w:tcPr>
            <w:tcW w:w="1771"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tcMar>
              <w:left w:w="103" w:type="dxa"/>
            </w:tcMar>
          </w:tcPr>
          <w:p>
            <w:pPr>
              <w:pStyle w:val="Normal"/>
              <w:widowControl/>
              <w:shd w:fill="FFFFFF"/>
              <w:tabs>
                <w:tab w:val="left" w:pos="709" w:leader="none"/>
                <w:tab w:val="left" w:pos="1134" w:leader="none"/>
              </w:tabs>
              <w:bidi w:val="0"/>
              <w:spacing w:lineRule="exact" w:line="271" w:before="2" w:after="0"/>
              <w:ind w:left="0" w:right="0" w:hanging="0"/>
              <w:jc w:val="left"/>
              <w:textAlignment w:val="auto"/>
              <w:rPr>
                <w:lang w:val="ro-MD"/>
              </w:rPr>
            </w:pPr>
            <w:r>
              <w:rPr>
                <w:spacing w:val="-1"/>
                <w:sz w:val="22"/>
                <w:szCs w:val="22"/>
                <w:lang w:val="ro-MD"/>
              </w:rPr>
              <w:t>0</w:t>
            </w:r>
          </w:p>
        </w:tc>
      </w:tr>
      <w:tr>
        <w:trPr/>
        <w:tc>
          <w:tcPr>
            <w:tcW w:w="8186" w:type="dxa"/>
            <w:tcBorders>
              <w:top w:val="single" w:sz="4" w:space="0" w:color="808080"/>
              <w:left w:val="single" w:sz="4" w:space="0" w:color="808080"/>
              <w:bottom w:val="single" w:sz="4" w:space="0" w:color="808080"/>
              <w:insideH w:val="single" w:sz="4" w:space="0" w:color="808080"/>
            </w:tcBorders>
            <w:shd w:fill="auto" w:val="clear"/>
            <w:tcMar>
              <w:left w:w="103" w:type="dxa"/>
            </w:tcMar>
          </w:tcPr>
          <w:p>
            <w:pPr>
              <w:pStyle w:val="Normal"/>
              <w:widowControl/>
              <w:shd w:fill="FFFFFF"/>
              <w:tabs>
                <w:tab w:val="left" w:pos="709" w:leader="none"/>
                <w:tab w:val="left" w:pos="1134" w:leader="none"/>
              </w:tabs>
              <w:bidi w:val="0"/>
              <w:spacing w:lineRule="exact" w:line="271" w:before="2" w:after="0"/>
              <w:ind w:left="0" w:right="0" w:hanging="0"/>
              <w:jc w:val="left"/>
              <w:textAlignment w:val="auto"/>
              <w:rPr>
                <w:lang w:val="ro-MD"/>
              </w:rPr>
            </w:pPr>
            <w:r>
              <w:rPr>
                <w:rFonts w:cs="Times New Roman CE" w:ascii="Times New Roman CE" w:hAnsi="Times New Roman CE"/>
                <w:sz w:val="22"/>
                <w:szCs w:val="22"/>
                <w:lang w:val="ro-MD"/>
              </w:rPr>
              <w:t>Numărul</w:t>
            </w:r>
            <w:r>
              <w:rPr>
                <w:spacing w:val="-1"/>
                <w:sz w:val="22"/>
                <w:szCs w:val="22"/>
                <w:lang w:val="ro-MD"/>
              </w:rPr>
              <w:t xml:space="preserve"> manualelor, materialelor didactice editate</w:t>
            </w:r>
          </w:p>
        </w:tc>
        <w:tc>
          <w:tcPr>
            <w:tcW w:w="1771"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tcMar>
              <w:left w:w="103" w:type="dxa"/>
            </w:tcMar>
          </w:tcPr>
          <w:p>
            <w:pPr>
              <w:pStyle w:val="Normal"/>
              <w:widowControl/>
              <w:shd w:fill="FFFFFF"/>
              <w:tabs>
                <w:tab w:val="left" w:pos="709" w:leader="none"/>
                <w:tab w:val="left" w:pos="1134" w:leader="none"/>
              </w:tabs>
              <w:bidi w:val="0"/>
              <w:spacing w:lineRule="exact" w:line="271" w:before="2" w:after="0"/>
              <w:ind w:left="0" w:right="0" w:hanging="0"/>
              <w:jc w:val="left"/>
              <w:textAlignment w:val="auto"/>
              <w:rPr>
                <w:lang w:val="ro-MD"/>
              </w:rPr>
            </w:pPr>
            <w:r>
              <w:rPr>
                <w:spacing w:val="-1"/>
                <w:sz w:val="22"/>
                <w:szCs w:val="22"/>
                <w:lang w:val="ro-MD"/>
              </w:rPr>
              <w:t>0</w:t>
            </w:r>
          </w:p>
        </w:tc>
      </w:tr>
    </w:tbl>
    <w:p>
      <w:pPr>
        <w:pStyle w:val="Normal"/>
        <w:widowControl w:val="false"/>
        <w:numPr>
          <w:ilvl w:val="0"/>
          <w:numId w:val="4"/>
        </w:numPr>
        <w:shd w:fill="FFFFFF"/>
        <w:suppressAutoHyphens w:val="true"/>
        <w:bidi w:val="0"/>
        <w:ind w:left="1080" w:right="0" w:hanging="0"/>
        <w:jc w:val="left"/>
        <w:textAlignment w:val="auto"/>
        <w:rPr>
          <w:lang w:val="ro-MD"/>
        </w:rPr>
      </w:pPr>
      <w:r>
        <w:rPr>
          <w:rFonts w:cs="Times New Roman CE" w:ascii="Times New Roman CE" w:hAnsi="Times New Roman CE"/>
          <w:i/>
          <w:iCs/>
          <w:spacing w:val="-1"/>
          <w:w w:val="121"/>
          <w:sz w:val="22"/>
          <w:szCs w:val="22"/>
          <w:lang w:val="ro-MD"/>
        </w:rPr>
        <w:t>Activitatea managerială</w:t>
      </w:r>
    </w:p>
    <w:tbl>
      <w:tblPr>
        <w:tblW w:w="9523" w:type="dxa"/>
        <w:jc w:val="left"/>
        <w:tblInd w:w="3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3" w:type="dxa"/>
          <w:bottom w:w="0" w:type="dxa"/>
          <w:right w:w="108" w:type="dxa"/>
        </w:tblCellMar>
      </w:tblPr>
      <w:tblGrid>
        <w:gridCol w:w="9523"/>
      </w:tblGrid>
      <w:tr>
        <w:trPr/>
        <w:tc>
          <w:tcPr>
            <w:tcW w:w="9523"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tcMar>
              <w:left w:w="103" w:type="dxa"/>
            </w:tcMar>
          </w:tcPr>
          <w:p>
            <w:pPr>
              <w:pStyle w:val="Normal"/>
              <w:widowControl/>
              <w:shd w:fill="FFFFFF"/>
              <w:tabs>
                <w:tab w:val="left" w:pos="709" w:leader="none"/>
                <w:tab w:val="left" w:pos="1134" w:leader="none"/>
              </w:tabs>
              <w:bidi w:val="0"/>
              <w:spacing w:lineRule="exact" w:line="271"/>
              <w:ind w:left="0" w:right="0" w:hanging="0"/>
              <w:jc w:val="left"/>
              <w:textAlignment w:val="auto"/>
              <w:rPr>
                <w:lang w:val="en-US"/>
              </w:rPr>
            </w:pPr>
            <w:r>
              <w:rPr>
                <w:lang w:val="en-US"/>
              </w:rPr>
              <w:t>Nu efectuiez</w:t>
            </w:r>
          </w:p>
        </w:tc>
      </w:tr>
    </w:tbl>
    <w:p>
      <w:pPr>
        <w:pStyle w:val="Normal"/>
        <w:widowControl w:val="false"/>
        <w:numPr>
          <w:ilvl w:val="0"/>
          <w:numId w:val="4"/>
        </w:numPr>
        <w:shd w:fill="FFFFFF"/>
        <w:suppressAutoHyphens w:val="true"/>
        <w:bidi w:val="0"/>
        <w:spacing w:before="240" w:after="0"/>
        <w:ind w:left="1080" w:right="0" w:hanging="0"/>
        <w:jc w:val="left"/>
        <w:textAlignment w:val="auto"/>
        <w:rPr>
          <w:lang w:val="ro-MD"/>
        </w:rPr>
      </w:pPr>
      <w:r>
        <w:rPr>
          <w:rFonts w:cs="Times New Roman CE" w:ascii="Times New Roman CE" w:hAnsi="Times New Roman CE"/>
          <w:bCs/>
          <w:i/>
          <w:iCs/>
          <w:spacing w:val="2"/>
          <w:sz w:val="22"/>
          <w:szCs w:val="22"/>
          <w:lang w:val="ro-MD"/>
        </w:rPr>
        <w:t xml:space="preserve">Informaţii </w:t>
      </w:r>
      <w:r>
        <w:rPr>
          <w:i/>
          <w:iCs/>
          <w:spacing w:val="2"/>
          <w:sz w:val="22"/>
          <w:szCs w:val="22"/>
          <w:lang w:val="ro-MD"/>
        </w:rPr>
        <w:t>generale</w:t>
      </w:r>
      <w:r>
        <w:rPr>
          <w:spacing w:val="-1"/>
          <w:sz w:val="22"/>
          <w:szCs w:val="22"/>
          <w:lang w:val="ro-MD"/>
        </w:rPr>
        <w:t xml:space="preserve"> </w:t>
      </w:r>
      <w:r>
        <w:rPr/>
        <w:br/>
      </w:r>
      <w:r>
        <w:rPr>
          <w:spacing w:val="-1"/>
          <w:sz w:val="22"/>
          <w:szCs w:val="22"/>
          <w:lang w:val="ro-MD"/>
        </w:rPr>
        <w:t>Premii, medalii, titluri etc.</w:t>
      </w:r>
      <w:r>
        <w:rPr>
          <w:i/>
          <w:spacing w:val="-1"/>
          <w:sz w:val="22"/>
          <w:szCs w:val="22"/>
          <w:lang w:val="ro-MD"/>
        </w:rPr>
        <w:t xml:space="preserve"> Nu am primit</w:t>
      </w:r>
    </w:p>
    <w:p>
      <w:pPr>
        <w:pStyle w:val="Normal"/>
        <w:widowControl w:val="false"/>
        <w:numPr>
          <w:ilvl w:val="0"/>
          <w:numId w:val="4"/>
        </w:numPr>
        <w:shd w:fill="FFFFFF"/>
        <w:suppressAutoHyphens w:val="true"/>
        <w:bidi w:val="0"/>
        <w:spacing w:before="240" w:after="0"/>
        <w:ind w:left="1080" w:right="0" w:hanging="0"/>
        <w:jc w:val="left"/>
        <w:textAlignment w:val="auto"/>
        <w:rPr/>
      </w:pPr>
      <w:r>
        <w:rPr>
          <w:rFonts w:cs="Times New Roman CE" w:ascii="Times New Roman CE" w:hAnsi="Times New Roman CE"/>
          <w:i/>
          <w:sz w:val="22"/>
          <w:szCs w:val="22"/>
        </w:rPr>
        <w:t>Alte activităţi</w:t>
      </w:r>
    </w:p>
    <w:p>
      <w:pPr>
        <w:pStyle w:val="Normal"/>
        <w:widowControl w:val="false"/>
        <w:shd w:fill="FFFFFF"/>
        <w:bidi w:val="0"/>
        <w:ind w:left="0" w:right="0" w:hanging="0"/>
        <w:jc w:val="left"/>
        <w:textAlignment w:val="auto"/>
        <w:rPr>
          <w:lang w:val="en-US"/>
        </w:rPr>
      </w:pPr>
      <w:bookmarkStart w:id="89" w:name="_Anexa_2"/>
      <w:bookmarkEnd w:id="89"/>
      <w:r>
        <w:rPr>
          <w:i/>
          <w:sz w:val="22"/>
          <w:szCs w:val="22"/>
          <w:lang w:val="en-US"/>
        </w:rPr>
        <w:t>1. Membru al comitetelor de program al conferin</w:t>
      </w:r>
      <w:r>
        <w:rPr>
          <w:rFonts w:cs="Cambria Math" w:ascii="Cambria Math" w:hAnsi="Cambria Math"/>
          <w:i/>
          <w:sz w:val="22"/>
          <w:szCs w:val="22"/>
          <w:lang w:val="en-US"/>
        </w:rPr>
        <w:t>ț</w:t>
      </w:r>
      <w:r>
        <w:rPr>
          <w:i/>
          <w:sz w:val="22"/>
          <w:szCs w:val="22"/>
          <w:lang w:val="en-US"/>
        </w:rPr>
        <w:t>elor:</w:t>
      </w:r>
      <w:r>
        <w:rPr/>
        <w:br/>
        <w:br/>
      </w:r>
      <w:r>
        <w:rPr>
          <w:i/>
          <w:sz w:val="22"/>
          <w:szCs w:val="22"/>
          <w:lang w:val="en-US"/>
        </w:rPr>
        <w:t>KDS 2015, XXI-th International Conference “Knowledge - Dialogue – Solution”,June 29 - July     12, 2015, Varna (Bulgaria)</w:t>
      </w:r>
      <w:r>
        <w:rPr/>
        <w:br/>
      </w:r>
      <w:r>
        <w:rPr>
          <w:i/>
          <w:sz w:val="22"/>
          <w:szCs w:val="22"/>
          <w:lang w:val="en-US"/>
        </w:rPr>
        <w:t>FOI-2015, 24-29 august 2015, Chisinau</w:t>
      </w:r>
      <w:r>
        <w:rPr/>
        <w:br/>
      </w:r>
      <w:r>
        <w:rPr>
          <w:i/>
          <w:sz w:val="22"/>
          <w:szCs w:val="22"/>
          <w:lang w:val="en-US"/>
        </w:rPr>
        <w:t xml:space="preserve">ICNBME-2015, September 23–26, 2015, Chisinau, Moldova, </w:t>
      </w:r>
      <w:r>
        <w:rPr/>
        <w:br/>
      </w:r>
      <w:r>
        <w:rPr>
          <w:i/>
          <w:sz w:val="22"/>
          <w:szCs w:val="22"/>
          <w:lang w:val="en-US"/>
        </w:rPr>
        <w:t>5-th edit</w:t>
      </w:r>
      <w:r>
        <w:rPr>
          <w:rFonts w:cs="Times New Roman CE" w:ascii="Times New Roman CE" w:hAnsi="Times New Roman CE"/>
          <w:i/>
          <w:sz w:val="22"/>
          <w:szCs w:val="22"/>
          <w:lang w:val="en-US"/>
        </w:rPr>
        <w:t xml:space="preserve">ion of the International Conference on e-Health and Bioengineering, EHB 2015, 19-21 November 2015 </w:t>
      </w:r>
      <w:r>
        <w:rPr/>
        <w:br/>
      </w:r>
      <w:r>
        <w:rPr>
          <w:rFonts w:cs="Times New Roman CE" w:ascii="Times New Roman CE" w:hAnsi="Times New Roman CE"/>
          <w:i/>
          <w:sz w:val="22"/>
          <w:szCs w:val="22"/>
          <w:lang w:val="en-US"/>
        </w:rPr>
        <w:t>2. Membru al Consiliului ştiinţific al I.M.I.</w:t>
      </w:r>
      <w:r>
        <w:rPr/>
        <w:br/>
      </w:r>
      <w:r>
        <w:rPr>
          <w:rFonts w:cs="Times New Roman CE" w:ascii="Times New Roman CE" w:hAnsi="Times New Roman CE"/>
          <w:i/>
          <w:sz w:val="22"/>
          <w:szCs w:val="22"/>
          <w:lang w:val="en-US"/>
        </w:rPr>
        <w:t>3. Membru al Colegiului de redacţie al revistelor:</w:t>
      </w:r>
      <w:r>
        <w:rPr/>
        <w:br/>
      </w:r>
      <w:r>
        <w:rPr>
          <w:rFonts w:cs="Times New Roman CE" w:ascii="Times New Roman CE" w:hAnsi="Times New Roman CE"/>
          <w:i/>
          <w:sz w:val="22"/>
          <w:szCs w:val="22"/>
          <w:lang w:val="en-US"/>
        </w:rPr>
        <w:t>-  Computer Science Journal of Moldova, Chişinău,( fondator, redactor şef)</w:t>
      </w:r>
      <w:r>
        <w:rPr/>
        <w:br/>
      </w:r>
      <w:r>
        <w:rPr>
          <w:rFonts w:cs="Times New Roman CE" w:ascii="Times New Roman CE" w:hAnsi="Times New Roman CE"/>
          <w:i/>
          <w:sz w:val="22"/>
          <w:szCs w:val="22"/>
          <w:lang w:val="en-US"/>
        </w:rPr>
        <w:t>- Buletinul A.S.M. Matematica, Chişinău;</w:t>
      </w:r>
      <w:r>
        <w:rPr/>
        <w:br/>
      </w:r>
      <w:r>
        <w:rPr>
          <w:rFonts w:cs="Times New Roman CE" w:ascii="Times New Roman CE" w:hAnsi="Times New Roman CE"/>
          <w:i/>
          <w:sz w:val="22"/>
          <w:szCs w:val="22"/>
          <w:lang w:val="en-US"/>
        </w:rPr>
        <w:t xml:space="preserve">- Studies in Informatics and Control, publicaţie a Academiei Române. Bucureşti;  </w:t>
      </w:r>
      <w:r>
        <w:rPr/>
        <w:br/>
      </w:r>
      <w:r>
        <w:rPr>
          <w:rFonts w:cs="Times New Roman CE" w:ascii="Times New Roman CE" w:hAnsi="Times New Roman CE"/>
          <w:i/>
          <w:sz w:val="22"/>
          <w:szCs w:val="22"/>
          <w:lang w:val="en-US"/>
        </w:rPr>
        <w:t>- International Journal on Information Theories and Applications, ,  publicaţie a Academiei de Ştiinţe a Bulgariei , S</w:t>
      </w:r>
      <w:r>
        <w:rPr>
          <w:i/>
          <w:sz w:val="22"/>
          <w:szCs w:val="22"/>
          <w:lang w:val="en-US"/>
        </w:rPr>
        <w:t xml:space="preserve">ofia, Bulgaria; </w:t>
      </w:r>
      <w:r>
        <w:rPr/>
        <w:br/>
      </w:r>
      <w:r>
        <w:rPr>
          <w:i/>
          <w:sz w:val="22"/>
          <w:szCs w:val="22"/>
          <w:lang w:val="en-US"/>
        </w:rPr>
        <w:t xml:space="preserve">- </w:t>
      </w:r>
      <w:r>
        <w:rPr>
          <w:i/>
          <w:sz w:val="22"/>
          <w:szCs w:val="22"/>
        </w:rPr>
        <w:t>Управляющие</w:t>
      </w:r>
      <w:r>
        <w:rPr>
          <w:i/>
          <w:sz w:val="22"/>
          <w:szCs w:val="22"/>
          <w:lang w:val="en-US"/>
        </w:rPr>
        <w:t xml:space="preserve"> </w:t>
      </w:r>
      <w:r>
        <w:rPr>
          <w:i/>
          <w:sz w:val="22"/>
          <w:szCs w:val="22"/>
        </w:rPr>
        <w:t>системы</w:t>
      </w:r>
      <w:r>
        <w:rPr>
          <w:i/>
          <w:sz w:val="22"/>
          <w:szCs w:val="22"/>
          <w:lang w:val="en-US"/>
        </w:rPr>
        <w:t xml:space="preserve"> </w:t>
      </w:r>
      <w:r>
        <w:rPr>
          <w:i/>
          <w:sz w:val="22"/>
          <w:szCs w:val="22"/>
        </w:rPr>
        <w:t>и</w:t>
      </w:r>
      <w:r>
        <w:rPr>
          <w:i/>
          <w:sz w:val="22"/>
          <w:szCs w:val="22"/>
          <w:lang w:val="en-US"/>
        </w:rPr>
        <w:t xml:space="preserve"> </w:t>
      </w:r>
      <w:r>
        <w:rPr>
          <w:i/>
          <w:sz w:val="22"/>
          <w:szCs w:val="22"/>
        </w:rPr>
        <w:t>машины</w:t>
      </w:r>
      <w:r>
        <w:rPr>
          <w:rFonts w:cs="Times New Roman CE" w:ascii="Times New Roman CE" w:hAnsi="Times New Roman CE"/>
          <w:i/>
          <w:sz w:val="22"/>
          <w:szCs w:val="22"/>
          <w:lang w:val="en-US"/>
        </w:rPr>
        <w:t xml:space="preserve"> (Academia Naţională de Ştiinţe a Ucrainei), Kiev; - </w:t>
      </w:r>
      <w:r>
        <w:rPr>
          <w:i/>
          <w:sz w:val="22"/>
          <w:szCs w:val="22"/>
        </w:rPr>
        <w:t>Известия</w:t>
      </w:r>
      <w:r>
        <w:rPr>
          <w:i/>
          <w:sz w:val="22"/>
          <w:szCs w:val="22"/>
          <w:lang w:val="en-US"/>
        </w:rPr>
        <w:t xml:space="preserve"> </w:t>
      </w:r>
      <w:r>
        <w:rPr>
          <w:i/>
          <w:sz w:val="22"/>
          <w:szCs w:val="22"/>
        </w:rPr>
        <w:t>Орловского</w:t>
      </w:r>
      <w:r>
        <w:rPr>
          <w:i/>
          <w:sz w:val="22"/>
          <w:szCs w:val="22"/>
          <w:lang w:val="en-US"/>
        </w:rPr>
        <w:t xml:space="preserve"> </w:t>
      </w:r>
      <w:r>
        <w:rPr>
          <w:i/>
          <w:sz w:val="22"/>
          <w:szCs w:val="22"/>
        </w:rPr>
        <w:t>Государственного</w:t>
      </w:r>
      <w:r>
        <w:rPr>
          <w:i/>
          <w:sz w:val="22"/>
          <w:szCs w:val="22"/>
          <w:lang w:val="en-US"/>
        </w:rPr>
        <w:t xml:space="preserve"> </w:t>
      </w:r>
      <w:r>
        <w:rPr>
          <w:i/>
          <w:sz w:val="22"/>
          <w:szCs w:val="22"/>
        </w:rPr>
        <w:t>Технического</w:t>
      </w:r>
      <w:r>
        <w:rPr>
          <w:i/>
          <w:sz w:val="22"/>
          <w:szCs w:val="22"/>
          <w:lang w:val="en-US"/>
        </w:rPr>
        <w:t xml:space="preserve"> </w:t>
      </w:r>
      <w:r>
        <w:rPr>
          <w:i/>
          <w:sz w:val="22"/>
          <w:szCs w:val="22"/>
        </w:rPr>
        <w:t>Университета</w:t>
      </w:r>
      <w:r>
        <w:rPr>
          <w:i/>
          <w:sz w:val="22"/>
          <w:szCs w:val="22"/>
          <w:lang w:val="en-US"/>
        </w:rPr>
        <w:t xml:space="preserve">, </w:t>
      </w:r>
      <w:r>
        <w:rPr>
          <w:i/>
          <w:sz w:val="22"/>
          <w:szCs w:val="22"/>
        </w:rPr>
        <w:t>серия</w:t>
      </w:r>
      <w:r>
        <w:rPr>
          <w:i/>
          <w:sz w:val="22"/>
          <w:szCs w:val="22"/>
          <w:lang w:val="en-US"/>
        </w:rPr>
        <w:t xml:space="preserve"> </w:t>
      </w:r>
      <w:r>
        <w:rPr>
          <w:i/>
          <w:sz w:val="22"/>
          <w:szCs w:val="22"/>
        </w:rPr>
        <w:t>Информационные</w:t>
      </w:r>
      <w:r>
        <w:rPr>
          <w:i/>
          <w:sz w:val="22"/>
          <w:szCs w:val="22"/>
          <w:lang w:val="en-US"/>
        </w:rPr>
        <w:t xml:space="preserve"> </w:t>
      </w:r>
      <w:r>
        <w:rPr>
          <w:i/>
          <w:sz w:val="22"/>
          <w:szCs w:val="22"/>
        </w:rPr>
        <w:t>системы</w:t>
      </w:r>
      <w:r>
        <w:rPr>
          <w:i/>
          <w:sz w:val="22"/>
          <w:szCs w:val="22"/>
          <w:lang w:val="en-US"/>
        </w:rPr>
        <w:t xml:space="preserve"> </w:t>
      </w:r>
      <w:r>
        <w:rPr>
          <w:i/>
          <w:sz w:val="22"/>
          <w:szCs w:val="22"/>
        </w:rPr>
        <w:t>и</w:t>
      </w:r>
      <w:r>
        <w:rPr>
          <w:i/>
          <w:sz w:val="22"/>
          <w:szCs w:val="22"/>
          <w:lang w:val="en-US"/>
        </w:rPr>
        <w:t xml:space="preserve"> </w:t>
      </w:r>
      <w:r>
        <w:rPr>
          <w:i/>
          <w:sz w:val="22"/>
          <w:szCs w:val="22"/>
        </w:rPr>
        <w:t>технологии</w:t>
      </w:r>
      <w:r>
        <w:rPr>
          <w:i/>
          <w:sz w:val="22"/>
          <w:szCs w:val="22"/>
          <w:lang w:val="en-US"/>
        </w:rPr>
        <w:t xml:space="preserve">, </w:t>
      </w:r>
      <w:r>
        <w:rPr>
          <w:i/>
          <w:sz w:val="22"/>
          <w:szCs w:val="22"/>
        </w:rPr>
        <w:t>Орел</w:t>
      </w:r>
      <w:r>
        <w:rPr>
          <w:i/>
          <w:sz w:val="22"/>
          <w:szCs w:val="22"/>
          <w:lang w:val="en-US"/>
        </w:rPr>
        <w:t xml:space="preserve">, </w:t>
      </w:r>
      <w:r>
        <w:rPr>
          <w:i/>
          <w:sz w:val="22"/>
          <w:szCs w:val="22"/>
        </w:rPr>
        <w:t>Россия</w:t>
      </w:r>
      <w:r>
        <w:rPr>
          <w:i/>
          <w:sz w:val="22"/>
          <w:szCs w:val="22"/>
          <w:lang w:val="en-US"/>
        </w:rPr>
        <w:t xml:space="preserve">; </w:t>
      </w:r>
      <w:r>
        <w:rPr/>
        <w:br/>
      </w:r>
      <w:r>
        <w:rPr>
          <w:i/>
          <w:sz w:val="22"/>
          <w:szCs w:val="22"/>
          <w:lang w:val="en-US"/>
        </w:rPr>
        <w:t>- International Journal of Compute</w:t>
      </w:r>
      <w:r>
        <w:rPr>
          <w:rFonts w:cs="Times New Roman CE" w:ascii="Times New Roman CE" w:hAnsi="Times New Roman CE"/>
          <w:i/>
          <w:sz w:val="22"/>
          <w:szCs w:val="22"/>
          <w:lang w:val="en-US"/>
        </w:rPr>
        <w:t>rs, Communication and Control (IJCCC), Universitatea AGORA, Oradea;</w:t>
      </w:r>
      <w:r>
        <w:rPr/>
        <w:br/>
      </w:r>
      <w:r>
        <w:rPr>
          <w:rFonts w:cs="Times New Roman CE" w:ascii="Times New Roman CE" w:hAnsi="Times New Roman CE"/>
          <w:i/>
          <w:sz w:val="22"/>
          <w:szCs w:val="22"/>
          <w:lang w:val="en-US"/>
        </w:rPr>
        <w:t>- InternationalJournal of Information Communication Technologies and Human Development (IJICTHD)publicaţie a editurii IGI Global, Hershey, New York, SUA,din 2009 editorial rewiev board mem</w:t>
      </w:r>
      <w:r>
        <w:rPr>
          <w:i/>
          <w:sz w:val="22"/>
          <w:szCs w:val="22"/>
          <w:lang w:val="en-US"/>
        </w:rPr>
        <w:t>ber</w:t>
      </w:r>
      <w:r>
        <w:rPr/>
        <w:br/>
      </w:r>
      <w:r>
        <w:rPr>
          <w:i/>
          <w:sz w:val="22"/>
          <w:szCs w:val="22"/>
          <w:lang w:val="en-US"/>
        </w:rPr>
        <w:t xml:space="preserve">4. </w:t>
      </w:r>
      <w:r>
        <w:rPr>
          <w:rFonts w:cs="Times New Roman CE" w:ascii="Times New Roman CE" w:hAnsi="Times New Roman CE"/>
          <w:i/>
          <w:sz w:val="22"/>
          <w:szCs w:val="22"/>
          <w:lang w:val="fr-FR"/>
        </w:rPr>
        <w:t xml:space="preserve">Membru  al Societăţii de Matematică a Moldovei; </w:t>
      </w:r>
      <w:r>
        <w:rPr/>
        <w:br/>
      </w:r>
      <w:r>
        <w:rPr>
          <w:rFonts w:cs="Times New Roman CE" w:ascii="Times New Roman CE" w:hAnsi="Times New Roman CE"/>
          <w:i/>
          <w:sz w:val="22"/>
          <w:szCs w:val="22"/>
          <w:lang w:val="fr-FR"/>
        </w:rPr>
        <w:t>5. Membru  al Societăţii obşteşti „Constantin Sibirskii”;</w:t>
      </w:r>
      <w:r>
        <w:rPr/>
        <w:br/>
      </w:r>
      <w:r>
        <w:rPr>
          <w:rFonts w:cs="Times New Roman CE" w:ascii="Times New Roman CE" w:hAnsi="Times New Roman CE"/>
          <w:i/>
          <w:sz w:val="22"/>
          <w:szCs w:val="22"/>
          <w:lang w:val="fr-FR"/>
        </w:rPr>
        <w:t>6. Membru al comisiei de atestare al CNAA</w:t>
      </w:r>
    </w:p>
    <w:p>
      <w:pPr>
        <w:pStyle w:val="Normal"/>
        <w:widowControl w:val="false"/>
        <w:shd w:fill="FFFFFF"/>
        <w:bidi w:val="0"/>
        <w:ind w:left="0" w:right="0" w:hanging="0"/>
        <w:jc w:val="left"/>
        <w:textAlignment w:val="auto"/>
        <w:rPr>
          <w:rFonts w:ascii="Times New Roman" w:hAnsi="Times New Roman"/>
          <w:b/>
          <w:b/>
          <w:i/>
          <w:i/>
          <w:sz w:val="22"/>
          <w:szCs w:val="22"/>
          <w:lang w:val="fr-FR"/>
        </w:rPr>
      </w:pPr>
      <w:r>
        <w:rPr>
          <w:b/>
          <w:i/>
          <w:sz w:val="22"/>
          <w:szCs w:val="22"/>
          <w:lang w:val="fr-FR"/>
        </w:rPr>
      </w:r>
    </w:p>
    <w:p>
      <w:pPr>
        <w:pStyle w:val="Normal"/>
        <w:widowControl w:val="false"/>
        <w:shd w:fill="FFFFFF"/>
        <w:bidi w:val="0"/>
        <w:ind w:left="0" w:right="0" w:hanging="0"/>
        <w:jc w:val="left"/>
        <w:textAlignment w:val="auto"/>
        <w:rPr>
          <w:rFonts w:ascii="Times New Roman" w:hAnsi="Times New Roman"/>
          <w:b/>
          <w:b/>
          <w:i/>
          <w:i/>
          <w:sz w:val="22"/>
          <w:szCs w:val="22"/>
          <w:lang w:val="fr-FR"/>
        </w:rPr>
      </w:pPr>
      <w:r>
        <w:rPr>
          <w:b/>
          <w:i/>
          <w:sz w:val="22"/>
          <w:szCs w:val="22"/>
          <w:lang w:val="fr-FR"/>
        </w:rPr>
      </w:r>
    </w:p>
    <w:p>
      <w:pPr>
        <w:pStyle w:val="Normal"/>
        <w:widowControl w:val="false"/>
        <w:shd w:fill="FFFFFF"/>
        <w:bidi w:val="0"/>
        <w:ind w:left="0" w:right="0" w:hanging="0"/>
        <w:jc w:val="left"/>
        <w:textAlignment w:val="auto"/>
        <w:rPr>
          <w:lang w:val="fr-FR"/>
        </w:rPr>
      </w:pPr>
      <w:r>
        <w:rPr>
          <w:rFonts w:cs="Times New Roman CE" w:ascii="Times New Roman CE" w:hAnsi="Times New Roman CE"/>
          <w:b/>
          <w:i/>
          <w:sz w:val="22"/>
          <w:szCs w:val="22"/>
          <w:lang w:val="fr-FR"/>
        </w:rPr>
        <w:t>Semnătura</w:t>
      </w:r>
      <w:r>
        <w:rPr>
          <w:b/>
          <w:i/>
          <w:sz w:val="22"/>
          <w:szCs w:val="22"/>
          <w:lang w:val="ro-RO"/>
        </w:rPr>
        <w:t xml:space="preserve"> </w:t>
        <w:tab/>
        <w:tab/>
        <w:tab/>
        <w:tab/>
        <w:tab/>
        <w:tab/>
        <w:tab/>
        <w:tab/>
        <w:t>GAINDRIC Constantin</w:t>
      </w:r>
    </w:p>
    <w:p>
      <w:pPr>
        <w:pStyle w:val="Normal"/>
        <w:widowControl/>
        <w:shd w:fill="FFFFFF"/>
        <w:bidi w:val="0"/>
        <w:spacing w:lineRule="exact" w:line="266"/>
        <w:ind w:left="164" w:right="0" w:hanging="0"/>
        <w:jc w:val="center"/>
        <w:textAlignment w:val="auto"/>
        <w:rPr>
          <w:lang w:val="ro-MD"/>
        </w:rPr>
      </w:pPr>
      <w:r>
        <w:rPr>
          <w:lang w:val="ro-MD"/>
        </w:rPr>
      </w:r>
      <w:r>
        <w:br w:type="page"/>
      </w:r>
    </w:p>
    <w:p>
      <w:pPr>
        <w:pStyle w:val="Normal"/>
        <w:widowControl/>
        <w:shd w:fill="FFFFFF"/>
        <w:bidi w:val="0"/>
        <w:spacing w:lineRule="exact" w:line="266"/>
        <w:ind w:left="164" w:right="0" w:hanging="0"/>
        <w:jc w:val="center"/>
        <w:textAlignment w:val="auto"/>
        <w:rPr>
          <w:rFonts w:ascii="Times New Roman" w:hAnsi="Times New Roman"/>
          <w:spacing w:val="40"/>
          <w:sz w:val="22"/>
          <w:szCs w:val="22"/>
          <w:lang w:val="ro-MD"/>
        </w:rPr>
      </w:pPr>
      <w:r>
        <w:rPr>
          <w:spacing w:val="40"/>
          <w:sz w:val="22"/>
          <w:szCs w:val="22"/>
          <w:lang w:val="ro-MD"/>
        </w:rPr>
      </w:r>
    </w:p>
    <w:p>
      <w:pPr>
        <w:pStyle w:val="1"/>
        <w:keepNext/>
        <w:widowControl/>
        <w:numPr>
          <w:ilvl w:val="0"/>
          <w:numId w:val="0"/>
        </w:numPr>
        <w:bidi w:val="0"/>
        <w:spacing w:before="240" w:after="60"/>
        <w:ind w:left="0" w:right="0" w:hanging="0"/>
        <w:jc w:val="right"/>
        <w:textAlignment w:val="auto"/>
        <w:outlineLvl w:val="0"/>
        <w:rPr>
          <w:b w:val="false"/>
          <w:b w:val="false"/>
          <w:lang w:val="ro-MD"/>
        </w:rPr>
      </w:pPr>
      <w:bookmarkStart w:id="90" w:name="_Toc469651894"/>
      <w:r>
        <w:rPr>
          <w:rFonts w:cs="Times New Roman" w:ascii="Times New Roman" w:hAnsi="Times New Roman"/>
          <w:b w:val="false"/>
          <w:lang w:val="ro-MD"/>
        </w:rPr>
        <w:t>Anexe E1</w:t>
      </w:r>
      <w:bookmarkEnd w:id="90"/>
      <w:r>
        <w:rPr>
          <w:rFonts w:cs="Times New Roman" w:ascii="Times New Roman" w:hAnsi="Times New Roman"/>
          <w:b w:val="false"/>
          <w:lang w:val="ro-MD"/>
        </w:rPr>
        <w:t xml:space="preserve"> </w:t>
      </w:r>
    </w:p>
    <w:p>
      <w:pPr>
        <w:pStyle w:val="2"/>
        <w:keepNext/>
        <w:widowControl/>
        <w:numPr>
          <w:ilvl w:val="0"/>
          <w:numId w:val="0"/>
        </w:numPr>
        <w:bidi w:val="0"/>
        <w:ind w:left="0" w:right="0" w:hanging="0"/>
        <w:jc w:val="left"/>
        <w:textAlignment w:val="auto"/>
        <w:outlineLvl w:val="1"/>
        <w:rPr>
          <w:lang w:val="it-IT"/>
        </w:rPr>
      </w:pPr>
      <w:bookmarkStart w:id="91" w:name="_Toc469651895"/>
      <w:bookmarkEnd w:id="91"/>
      <w:r>
        <w:rPr>
          <w:rFonts w:cs="Times New Roman CE" w:ascii="Times New Roman CE" w:hAnsi="Times New Roman CE"/>
          <w:i/>
          <w:sz w:val="26"/>
          <w:lang w:val="it-IT" w:eastAsia="ru-RU"/>
        </w:rPr>
        <w:t>Metoda de apreciere a severităţii dereglărilor circulatorii în hipertensiunea portală asociată cirozei heppatice bazată pe ecografia doppler duplex color.</w:t>
      </w:r>
    </w:p>
    <w:tbl>
      <w:tblPr>
        <w:tblW w:w="10368" w:type="dxa"/>
        <w:jc w:val="left"/>
        <w:tblInd w:w="-10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3" w:type="dxa"/>
          <w:bottom w:w="0" w:type="dxa"/>
          <w:right w:w="108" w:type="dxa"/>
        </w:tblCellMar>
      </w:tblPr>
      <w:tblGrid>
        <w:gridCol w:w="2581"/>
        <w:gridCol w:w="7786"/>
      </w:tblGrid>
      <w:tr>
        <w:trPr>
          <w:trHeight w:val="3665" w:hRule="atLeast"/>
        </w:trPr>
        <w:tc>
          <w:tcPr>
            <w:tcW w:w="258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widowControl/>
              <w:numPr>
                <w:ilvl w:val="0"/>
                <w:numId w:val="0"/>
              </w:numPr>
              <w:bidi w:val="0"/>
              <w:spacing w:before="240" w:after="60"/>
              <w:ind w:left="0" w:right="0" w:hanging="0"/>
              <w:jc w:val="right"/>
              <w:textAlignment w:val="auto"/>
              <w:outlineLvl w:val="0"/>
              <w:rPr>
                <w:rFonts w:ascii="Times New Roman" w:hAnsi="Times New Roman"/>
                <w:b w:val="false"/>
                <w:b w:val="false"/>
                <w:bCs/>
                <w:sz w:val="32"/>
                <w:szCs w:val="32"/>
                <w:lang w:val="ro-MD"/>
              </w:rPr>
            </w:pPr>
            <w:r>
              <w:rPr>
                <w:rFonts w:ascii="Times New Roman" w:hAnsi="Times New Roman"/>
                <w:b w:val="false"/>
                <w:bCs/>
                <w:sz w:val="32"/>
                <w:szCs w:val="32"/>
                <w:lang w:val="ro-MD"/>
              </w:rPr>
            </w:r>
          </w:p>
        </w:tc>
        <w:tc>
          <w:tcPr>
            <w:tcW w:w="778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numPr>
                <w:ilvl w:val="0"/>
                <w:numId w:val="107"/>
              </w:numPr>
              <w:tabs>
                <w:tab w:val="left" w:pos="180" w:leader="none"/>
              </w:tabs>
              <w:suppressAutoHyphens w:val="true"/>
              <w:bidi w:val="0"/>
              <w:ind w:left="180" w:right="0" w:hanging="180"/>
              <w:jc w:val="left"/>
              <w:textAlignment w:val="auto"/>
              <w:rPr>
                <w:lang w:val="ro-MD"/>
              </w:rPr>
            </w:pPr>
            <w:r>
              <w:rPr>
                <w:rFonts w:cs="Times New Roman CE" w:ascii="Times New Roman CE" w:hAnsi="Times New Roman CE"/>
                <w:bCs/>
                <w:lang w:val="ro-MD"/>
              </w:rPr>
              <w:t xml:space="preserve">Denumirea elaborării </w:t>
            </w:r>
          </w:p>
          <w:tbl>
            <w:tblPr>
              <w:tblW w:w="7566" w:type="dxa"/>
              <w:jc w:val="left"/>
              <w:tblInd w:w="3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3" w:type="dxa"/>
                <w:bottom w:w="0" w:type="dxa"/>
                <w:right w:w="108" w:type="dxa"/>
              </w:tblCellMar>
            </w:tblPr>
            <w:tblGrid>
              <w:gridCol w:w="7566"/>
            </w:tblGrid>
            <w:tr>
              <w:trPr/>
              <w:tc>
                <w:tcPr>
                  <w:tcW w:w="7566"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tcMar>
                    <w:left w:w="103" w:type="dxa"/>
                  </w:tcMar>
                </w:tcPr>
                <w:p>
                  <w:pPr>
                    <w:pStyle w:val="Normal"/>
                    <w:widowControl/>
                    <w:shd w:fill="FFFFFF"/>
                    <w:tabs>
                      <w:tab w:val="left" w:pos="709" w:leader="none"/>
                      <w:tab w:val="left" w:pos="1134" w:leader="none"/>
                    </w:tabs>
                    <w:bidi w:val="0"/>
                    <w:spacing w:lineRule="exact" w:line="271"/>
                    <w:ind w:left="0" w:right="0" w:hanging="0"/>
                    <w:jc w:val="left"/>
                    <w:textAlignment w:val="auto"/>
                    <w:rPr>
                      <w:lang w:val="en-US"/>
                    </w:rPr>
                  </w:pPr>
                  <w:r>
                    <w:rPr>
                      <w:sz w:val="22"/>
                      <w:szCs w:val="22"/>
                      <w:lang w:val="en-US"/>
                    </w:rPr>
                    <w:t xml:space="preserve">Metoda de apreciere a </w:t>
                  </w:r>
                  <w:r>
                    <w:rPr>
                      <w:rFonts w:cs="Times New Roman CE" w:ascii="Times New Roman CE" w:hAnsi="Times New Roman CE"/>
                      <w:sz w:val="22"/>
                      <w:szCs w:val="22"/>
                      <w:lang w:val="ro-RO"/>
                    </w:rPr>
                    <w:t>severităţii dereglărilor circulatorii în hipertensiunea portală asociată cirozei heppatice bazată pe ec</w:t>
                  </w:r>
                  <w:r>
                    <w:rPr>
                      <w:sz w:val="22"/>
                      <w:szCs w:val="22"/>
                      <w:lang w:val="ro-RO"/>
                    </w:rPr>
                    <w:t>ografia doppler duplex color.</w:t>
                  </w:r>
                </w:p>
              </w:tc>
            </w:tr>
          </w:tbl>
          <w:p>
            <w:pPr>
              <w:pStyle w:val="Normal"/>
              <w:widowControl/>
              <w:numPr>
                <w:ilvl w:val="0"/>
                <w:numId w:val="107"/>
              </w:numPr>
              <w:tabs>
                <w:tab w:val="left" w:pos="708" w:leader="none"/>
              </w:tabs>
              <w:suppressAutoHyphens w:val="true"/>
              <w:bidi w:val="0"/>
              <w:ind w:left="357" w:right="0" w:hanging="0"/>
              <w:jc w:val="left"/>
              <w:textAlignment w:val="auto"/>
              <w:rPr>
                <w:lang w:val="ro-MD"/>
              </w:rPr>
            </w:pPr>
            <w:r>
              <w:rPr>
                <w:rFonts w:cs="Times New Roman CE" w:ascii="Times New Roman CE" w:hAnsi="Times New Roman CE"/>
                <w:lang w:val="ro-MD"/>
              </w:rPr>
              <w:t>Data şi codul/nr. documentului de înregistrare a elaborării</w:t>
            </w:r>
          </w:p>
          <w:tbl>
            <w:tblPr>
              <w:tblW w:w="7566" w:type="dxa"/>
              <w:jc w:val="left"/>
              <w:tblInd w:w="3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3" w:type="dxa"/>
                <w:bottom w:w="0" w:type="dxa"/>
                <w:right w:w="108" w:type="dxa"/>
              </w:tblCellMar>
            </w:tblPr>
            <w:tblGrid>
              <w:gridCol w:w="7566"/>
            </w:tblGrid>
            <w:tr>
              <w:trPr/>
              <w:tc>
                <w:tcPr>
                  <w:tcW w:w="7566"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tcMar>
                    <w:left w:w="103" w:type="dxa"/>
                  </w:tcMar>
                </w:tcPr>
                <w:p>
                  <w:pPr>
                    <w:pStyle w:val="Normal"/>
                    <w:widowControl/>
                    <w:shd w:fill="FFFFFF"/>
                    <w:tabs>
                      <w:tab w:val="left" w:pos="709" w:leader="none"/>
                      <w:tab w:val="left" w:pos="1134" w:leader="none"/>
                    </w:tabs>
                    <w:bidi w:val="0"/>
                    <w:spacing w:lineRule="exact" w:line="271"/>
                    <w:ind w:left="0" w:right="0" w:hanging="0"/>
                    <w:jc w:val="left"/>
                    <w:textAlignment w:val="auto"/>
                    <w:rPr>
                      <w:lang w:val="ro-RO"/>
                    </w:rPr>
                  </w:pPr>
                  <w:r>
                    <w:rPr>
                      <w:rFonts w:cs="Times New Roman CE" w:ascii="Times New Roman CE" w:hAnsi="Times New Roman CE"/>
                      <w:sz w:val="22"/>
                      <w:szCs w:val="22"/>
                      <w:lang w:val="ro-RO"/>
                    </w:rPr>
                    <w:t>Certificat de inovator Nr.5492, emis de Ministerul Sănătăţii al RM. 2016-01-24</w:t>
                  </w:r>
                </w:p>
              </w:tc>
            </w:tr>
          </w:tbl>
          <w:p>
            <w:pPr>
              <w:pStyle w:val="Normal"/>
              <w:widowControl/>
              <w:numPr>
                <w:ilvl w:val="0"/>
                <w:numId w:val="107"/>
              </w:numPr>
              <w:tabs>
                <w:tab w:val="left" w:pos="708" w:leader="none"/>
              </w:tabs>
              <w:suppressAutoHyphens w:val="true"/>
              <w:bidi w:val="0"/>
              <w:ind w:left="357" w:right="0" w:hanging="0"/>
              <w:jc w:val="left"/>
              <w:textAlignment w:val="auto"/>
              <w:rPr>
                <w:lang w:val="ro-MD"/>
              </w:rPr>
            </w:pPr>
            <w:r>
              <w:rPr>
                <w:rFonts w:cs="Times New Roman CE" w:ascii="Times New Roman CE" w:hAnsi="Times New Roman CE"/>
                <w:lang w:val="ro-MD"/>
              </w:rPr>
              <w:t>Denumirea şi codul proiectului în cadrul căruia a fost realizată</w:t>
            </w:r>
            <w:r>
              <w:rPr>
                <w:lang w:val="en-US"/>
              </w:rPr>
              <w:t xml:space="preserve"> elaborarea </w:t>
            </w:r>
          </w:p>
          <w:tbl>
            <w:tblPr>
              <w:tblW w:w="7566" w:type="dxa"/>
              <w:jc w:val="left"/>
              <w:tblInd w:w="3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3" w:type="dxa"/>
                <w:bottom w:w="0" w:type="dxa"/>
                <w:right w:w="108" w:type="dxa"/>
              </w:tblCellMar>
            </w:tblPr>
            <w:tblGrid>
              <w:gridCol w:w="7566"/>
            </w:tblGrid>
            <w:tr>
              <w:trPr/>
              <w:tc>
                <w:tcPr>
                  <w:tcW w:w="7566"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tcMar>
                    <w:left w:w="103" w:type="dxa"/>
                  </w:tcMar>
                </w:tcPr>
                <w:p>
                  <w:pPr>
                    <w:pStyle w:val="Normal"/>
                    <w:widowControl/>
                    <w:shd w:fill="FFFFFF"/>
                    <w:tabs>
                      <w:tab w:val="left" w:pos="709" w:leader="none"/>
                      <w:tab w:val="left" w:pos="1134" w:leader="none"/>
                    </w:tabs>
                    <w:bidi w:val="0"/>
                    <w:spacing w:lineRule="exact" w:line="271"/>
                    <w:ind w:left="0" w:right="0" w:hanging="0"/>
                    <w:jc w:val="left"/>
                    <w:textAlignment w:val="auto"/>
                    <w:rPr/>
                  </w:pPr>
                  <w:r>
                    <w:rPr>
                      <w:sz w:val="22"/>
                      <w:szCs w:val="22"/>
                    </w:rPr>
                    <w:t>15.817.0</w:t>
                  </w:r>
                  <w:r>
                    <w:rPr>
                      <w:rFonts w:cs="Times New Roman CE" w:ascii="Times New Roman CE" w:hAnsi="Times New Roman CE"/>
                      <w:sz w:val="22"/>
                      <w:szCs w:val="22"/>
                    </w:rPr>
                    <w:t>2.02A Modele şi tehnologii în ingineria sistemelor inteligente şi a calculului performant</w:t>
                  </w:r>
                </w:p>
              </w:tc>
            </w:tr>
          </w:tbl>
          <w:p>
            <w:pPr>
              <w:pStyle w:val="Normal"/>
              <w:widowControl/>
              <w:numPr>
                <w:ilvl w:val="0"/>
                <w:numId w:val="107"/>
              </w:numPr>
              <w:tabs>
                <w:tab w:val="left" w:pos="180" w:leader="none"/>
              </w:tabs>
              <w:suppressAutoHyphens w:val="true"/>
              <w:bidi w:val="0"/>
              <w:spacing w:lineRule="exact" w:line="360"/>
              <w:ind w:left="180" w:right="0" w:hanging="180"/>
              <w:jc w:val="left"/>
              <w:textAlignment w:val="auto"/>
              <w:rPr>
                <w:lang w:val="ro-MD"/>
              </w:rPr>
            </w:pPr>
            <w:r>
              <w:rPr>
                <w:rFonts w:cs="Times New Roman CE" w:ascii="Times New Roman CE" w:hAnsi="Times New Roman CE"/>
                <w:lang w:val="ro-MD"/>
              </w:rPr>
              <w:t>Organizaţia-executor</w:t>
            </w:r>
          </w:p>
          <w:tbl>
            <w:tblPr>
              <w:tblW w:w="7566" w:type="dxa"/>
              <w:jc w:val="left"/>
              <w:tblInd w:w="372" w:type="dxa"/>
              <w:tblBorders>
                <w:top w:val="single" w:sz="4" w:space="0" w:color="808080"/>
                <w:left w:val="single" w:sz="4" w:space="0" w:color="808080"/>
              </w:tblBorders>
              <w:tblCellMar>
                <w:top w:w="0" w:type="dxa"/>
                <w:left w:w="103" w:type="dxa"/>
                <w:bottom w:w="0" w:type="dxa"/>
                <w:right w:w="108" w:type="dxa"/>
              </w:tblCellMar>
            </w:tblPr>
            <w:tblGrid>
              <w:gridCol w:w="3518"/>
              <w:gridCol w:w="4047"/>
            </w:tblGrid>
            <w:tr>
              <w:trPr>
                <w:trHeight w:val="295" w:hRule="atLeast"/>
              </w:trPr>
              <w:tc>
                <w:tcPr>
                  <w:tcW w:w="3518" w:type="dxa"/>
                  <w:tcBorders>
                    <w:top w:val="single" w:sz="4" w:space="0" w:color="808080"/>
                    <w:left w:val="single" w:sz="4" w:space="0" w:color="808080"/>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lang w:val="ro-MD"/>
                    </w:rPr>
                    <w:t>Denumirea organizaţiei</w:t>
                  </w:r>
                </w:p>
              </w:tc>
              <w:tc>
                <w:tcPr>
                  <w:tcW w:w="4047" w:type="dxa"/>
                  <w:tcBorders>
                    <w:top w:val="single" w:sz="4" w:space="0" w:color="808080"/>
                    <w:right w:val="single" w:sz="4" w:space="0" w:color="808080"/>
                    <w:insideV w:val="single" w:sz="4" w:space="0" w:color="808080"/>
                  </w:tcBorders>
                  <w:shd w:fill="auto" w:val="clear"/>
                </w:tcPr>
                <w:p>
                  <w:pPr>
                    <w:pStyle w:val="Normal"/>
                    <w:widowControl/>
                    <w:bidi w:val="0"/>
                    <w:ind w:left="0" w:right="0" w:hanging="0"/>
                    <w:jc w:val="left"/>
                    <w:textAlignment w:val="auto"/>
                    <w:rPr>
                      <w:lang w:val="ro-MD"/>
                    </w:rPr>
                  </w:pPr>
                  <w:r>
                    <w:rPr>
                      <w:rFonts w:cs="Times New Roman CE" w:ascii="Times New Roman CE" w:hAnsi="Times New Roman CE"/>
                      <w:bCs/>
                      <w:lang w:val="ro-MD"/>
                    </w:rPr>
                    <w:t>Institutul de Matematică şi Informatică al AŞM</w:t>
                  </w:r>
                </w:p>
              </w:tc>
            </w:tr>
            <w:tr>
              <w:trPr>
                <w:trHeight w:val="292" w:hRule="atLeast"/>
              </w:trPr>
              <w:tc>
                <w:tcPr>
                  <w:tcW w:w="3518" w:type="dxa"/>
                  <w:tcBorders>
                    <w:left w:val="single" w:sz="4" w:space="0" w:color="808080"/>
                  </w:tcBorders>
                  <w:shd w:fill="auto" w:val="clear"/>
                  <w:tcMar>
                    <w:left w:w="103" w:type="dxa"/>
                  </w:tcMar>
                </w:tcPr>
                <w:p>
                  <w:pPr>
                    <w:pStyle w:val="Normal"/>
                    <w:widowControl/>
                    <w:bidi w:val="0"/>
                    <w:ind w:left="0" w:right="0" w:hanging="0"/>
                    <w:jc w:val="left"/>
                    <w:textAlignment w:val="auto"/>
                    <w:rPr>
                      <w:lang w:val="ro-MD"/>
                    </w:rPr>
                  </w:pPr>
                  <w:r>
                    <w:rPr>
                      <w:lang w:val="ro-MD"/>
                    </w:rPr>
                    <w:t>Localitate</w:t>
                  </w:r>
                </w:p>
              </w:tc>
              <w:tc>
                <w:tcPr>
                  <w:tcW w:w="4047" w:type="dxa"/>
                  <w:tcBorders>
                    <w:right w:val="single" w:sz="4" w:space="0" w:color="808080"/>
                    <w:insideV w:val="single" w:sz="4" w:space="0" w:color="808080"/>
                  </w:tcBorders>
                  <w:shd w:fill="auto" w:val="clear"/>
                </w:tcPr>
                <w:p>
                  <w:pPr>
                    <w:pStyle w:val="Normal"/>
                    <w:widowControl/>
                    <w:bidi w:val="0"/>
                    <w:ind w:left="0" w:right="0" w:hanging="0"/>
                    <w:jc w:val="left"/>
                    <w:textAlignment w:val="auto"/>
                    <w:rPr>
                      <w:lang w:val="ro-MD"/>
                    </w:rPr>
                  </w:pPr>
                  <w:r>
                    <w:rPr>
                      <w:rFonts w:cs="Times New Roman CE" w:ascii="Times New Roman CE" w:hAnsi="Times New Roman CE"/>
                      <w:bCs/>
                      <w:lang w:val="ro-MD"/>
                    </w:rPr>
                    <w:t>Chişinău</w:t>
                  </w:r>
                </w:p>
              </w:tc>
            </w:tr>
            <w:tr>
              <w:trPr>
                <w:trHeight w:val="292" w:hRule="atLeast"/>
              </w:trPr>
              <w:tc>
                <w:tcPr>
                  <w:tcW w:w="3518" w:type="dxa"/>
                  <w:tcBorders>
                    <w:left w:val="single" w:sz="4" w:space="0" w:color="808080"/>
                  </w:tcBorders>
                  <w:shd w:fill="auto" w:val="clear"/>
                  <w:tcMar>
                    <w:left w:w="103" w:type="dxa"/>
                  </w:tcMar>
                </w:tcPr>
                <w:p>
                  <w:pPr>
                    <w:pStyle w:val="Normal"/>
                    <w:widowControl/>
                    <w:bidi w:val="0"/>
                    <w:ind w:left="0" w:right="0" w:hanging="0"/>
                    <w:jc w:val="left"/>
                    <w:textAlignment w:val="auto"/>
                    <w:rPr>
                      <w:lang w:val="ro-MD"/>
                    </w:rPr>
                  </w:pPr>
                  <w:r>
                    <w:rPr>
                      <w:color w:val="000000"/>
                      <w:lang w:val="ro-MD"/>
                    </w:rPr>
                    <w:t>Telefon/Fax</w:t>
                  </w:r>
                </w:p>
              </w:tc>
              <w:tc>
                <w:tcPr>
                  <w:tcW w:w="4047" w:type="dxa"/>
                  <w:tcBorders>
                    <w:right w:val="single" w:sz="4" w:space="0" w:color="808080"/>
                    <w:insideV w:val="single" w:sz="4" w:space="0" w:color="808080"/>
                  </w:tcBorders>
                  <w:shd w:fill="auto" w:val="clear"/>
                </w:tcPr>
                <w:p>
                  <w:pPr>
                    <w:pStyle w:val="Normal"/>
                    <w:widowControl/>
                    <w:bidi w:val="0"/>
                    <w:ind w:left="0" w:right="0" w:hanging="0"/>
                    <w:jc w:val="left"/>
                    <w:textAlignment w:val="auto"/>
                    <w:rPr>
                      <w:lang w:val="ro-MD"/>
                    </w:rPr>
                  </w:pPr>
                  <w:r>
                    <w:rPr>
                      <w:bCs/>
                      <w:lang w:val="ro-MD"/>
                    </w:rPr>
                    <w:t>022 725982</w:t>
                  </w:r>
                </w:p>
              </w:tc>
            </w:tr>
            <w:tr>
              <w:trPr>
                <w:trHeight w:val="292" w:hRule="atLeast"/>
              </w:trPr>
              <w:tc>
                <w:tcPr>
                  <w:tcW w:w="3518" w:type="dxa"/>
                  <w:tcBorders>
                    <w:left w:val="single" w:sz="4" w:space="0" w:color="808080"/>
                    <w:bottom w:val="single" w:sz="4" w:space="0" w:color="808080"/>
                    <w:insideH w:val="single" w:sz="4" w:space="0" w:color="808080"/>
                  </w:tcBorders>
                  <w:shd w:fill="auto" w:val="clear"/>
                  <w:tcMar>
                    <w:left w:w="103" w:type="dxa"/>
                  </w:tcMar>
                </w:tcPr>
                <w:p>
                  <w:pPr>
                    <w:pStyle w:val="Normal"/>
                    <w:widowControl/>
                    <w:bidi w:val="0"/>
                    <w:ind w:left="0" w:right="0" w:hanging="0"/>
                    <w:jc w:val="left"/>
                    <w:textAlignment w:val="auto"/>
                    <w:rPr>
                      <w:lang w:val="ro-MD"/>
                    </w:rPr>
                  </w:pPr>
                  <w:r>
                    <w:rPr>
                      <w:color w:val="000000"/>
                      <w:lang w:val="ro-MD"/>
                    </w:rPr>
                    <w:t>E-mail/Pagina WEB</w:t>
                  </w:r>
                </w:p>
              </w:tc>
              <w:tc>
                <w:tcPr>
                  <w:tcW w:w="4047" w:type="dxa"/>
                  <w:tcBorders>
                    <w:bottom w:val="single" w:sz="4" w:space="0" w:color="808080"/>
                    <w:right w:val="single" w:sz="4" w:space="0" w:color="808080"/>
                    <w:insideH w:val="single" w:sz="4" w:space="0" w:color="808080"/>
                    <w:insideV w:val="single" w:sz="4" w:space="0" w:color="808080"/>
                  </w:tcBorders>
                  <w:shd w:fill="auto" w:val="clear"/>
                </w:tcPr>
                <w:p>
                  <w:pPr>
                    <w:pStyle w:val="Normal"/>
                    <w:widowControl/>
                    <w:bidi w:val="0"/>
                    <w:ind w:left="0" w:right="0" w:hanging="0"/>
                    <w:jc w:val="left"/>
                    <w:textAlignment w:val="auto"/>
                    <w:rPr/>
                  </w:pPr>
                  <w:hyperlink r:id="rId43">
                    <w:r>
                      <w:rPr>
                        <w:webHidden/>
                        <w:rStyle w:val="Style5"/>
                        <w:bCs/>
                        <w:color w:val="0000FF"/>
                        <w:u w:val="single"/>
                        <w:lang w:val="ro-MD"/>
                      </w:rPr>
                      <w:t>imam@math.md</w:t>
                    </w:r>
                  </w:hyperlink>
                  <w:r>
                    <w:rPr>
                      <w:bCs/>
                      <w:lang w:val="ro-MD"/>
                    </w:rPr>
                    <w:t xml:space="preserve"> </w:t>
                  </w:r>
                  <w:r>
                    <w:rPr>
                      <w:bCs/>
                      <w:lang w:val="ro-RO"/>
                    </w:rPr>
                    <w:t>/ www.math.md</w:t>
                  </w:r>
                </w:p>
              </w:tc>
            </w:tr>
          </w:tbl>
          <w:p>
            <w:pPr>
              <w:pStyle w:val="1"/>
              <w:widowControl/>
              <w:numPr>
                <w:ilvl w:val="0"/>
                <w:numId w:val="0"/>
              </w:numPr>
              <w:bidi w:val="0"/>
              <w:spacing w:before="240" w:after="60"/>
              <w:ind w:left="0" w:right="0" w:hanging="0"/>
              <w:jc w:val="right"/>
              <w:textAlignment w:val="auto"/>
              <w:outlineLvl w:val="0"/>
              <w:rPr>
                <w:rFonts w:ascii="Times New Roman" w:hAnsi="Times New Roman"/>
                <w:b w:val="false"/>
                <w:b w:val="false"/>
                <w:bCs/>
                <w:sz w:val="32"/>
                <w:szCs w:val="32"/>
              </w:rPr>
            </w:pPr>
            <w:r>
              <w:rPr>
                <w:rFonts w:ascii="Times New Roman" w:hAnsi="Times New Roman"/>
                <w:b w:val="false"/>
                <w:bCs/>
                <w:sz w:val="32"/>
                <w:szCs w:val="32"/>
              </w:rPr>
            </w:r>
          </w:p>
        </w:tc>
      </w:tr>
    </w:tbl>
    <w:p>
      <w:pPr>
        <w:pStyle w:val="Normal"/>
        <w:widowControl/>
        <w:numPr>
          <w:ilvl w:val="0"/>
          <w:numId w:val="107"/>
        </w:numPr>
        <w:tabs>
          <w:tab w:val="left" w:pos="708" w:leader="none"/>
        </w:tabs>
        <w:suppressAutoHyphens w:val="true"/>
        <w:bidi w:val="0"/>
        <w:spacing w:lineRule="exact" w:line="360"/>
        <w:ind w:left="180" w:right="0" w:hanging="0"/>
        <w:jc w:val="left"/>
        <w:textAlignment w:val="auto"/>
        <w:rPr>
          <w:lang w:val="ro-MD"/>
        </w:rPr>
      </w:pPr>
      <w:r>
        <w:drawing>
          <wp:anchor behindDoc="0" distT="0" distB="0" distL="114935" distR="114935" simplePos="0" locked="0" layoutInCell="1" allowOverlap="1" relativeHeight="3">
            <wp:simplePos x="0" y="0"/>
            <wp:positionH relativeFrom="column">
              <wp:posOffset>0</wp:posOffset>
            </wp:positionH>
            <wp:positionV relativeFrom="paragraph">
              <wp:posOffset>635</wp:posOffset>
            </wp:positionV>
            <wp:extent cx="36195" cy="36195"/>
            <wp:effectExtent l="0" t="0" r="0" b="0"/>
            <wp:wrapTopAndBottom/>
            <wp:docPr id="9"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8" descr=""/>
                    <pic:cNvPicPr>
                      <a:picLocks noChangeAspect="1" noChangeArrowheads="1"/>
                    </pic:cNvPicPr>
                  </pic:nvPicPr>
                  <pic:blipFill>
                    <a:blip r:embed="rId44"/>
                    <a:stretch>
                      <a:fillRect/>
                    </a:stretch>
                  </pic:blipFill>
                  <pic:spPr bwMode="auto">
                    <a:xfrm>
                      <a:off x="0" y="0"/>
                      <a:ext cx="36195" cy="36195"/>
                    </a:xfrm>
                    <a:prstGeom prst="rect">
                      <a:avLst/>
                    </a:prstGeom>
                  </pic:spPr>
                </pic:pic>
              </a:graphicData>
            </a:graphic>
          </wp:anchor>
        </w:drawing>
      </w:r>
      <w:r>
        <w:rPr>
          <w:rFonts w:cs="Times New Roman CE" w:ascii="Times New Roman CE" w:hAnsi="Times New Roman CE"/>
          <w:lang w:val="ro-MD"/>
        </w:rPr>
        <w:t>A</w:t>
      </w:r>
      <w:r>
        <w:rPr>
          <w:rFonts w:cs="Times New Roman CE" w:ascii="Times New Roman CE" w:hAnsi="Times New Roman CE"/>
          <w:lang w:val="ro-MD"/>
        </w:rPr>
        <w:t xml:space="preserve">utorii elaborării </w:t>
      </w:r>
    </w:p>
    <w:tbl>
      <w:tblPr>
        <w:tblW w:w="9664" w:type="dxa"/>
        <w:jc w:val="left"/>
        <w:tblInd w:w="3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3" w:type="dxa"/>
          <w:bottom w:w="0" w:type="dxa"/>
          <w:right w:w="108" w:type="dxa"/>
        </w:tblCellMar>
      </w:tblPr>
      <w:tblGrid>
        <w:gridCol w:w="9664"/>
      </w:tblGrid>
      <w:tr>
        <w:trPr>
          <w:trHeight w:val="440" w:hRule="atLeast"/>
        </w:trPr>
        <w:tc>
          <w:tcPr>
            <w:tcW w:w="9664"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tcMar>
              <w:left w:w="103" w:type="dxa"/>
            </w:tcMar>
            <w:vAlign w:val="center"/>
          </w:tcPr>
          <w:p>
            <w:pPr>
              <w:pStyle w:val="Normal"/>
              <w:widowControl/>
              <w:bidi w:val="0"/>
              <w:ind w:left="0" w:right="0" w:hanging="0"/>
              <w:jc w:val="left"/>
              <w:textAlignment w:val="auto"/>
              <w:rPr>
                <w:lang w:val="ro-RO"/>
              </w:rPr>
            </w:pPr>
            <w:r>
              <w:rPr>
                <w:rFonts w:cs="Times New Roman CE" w:ascii="Times New Roman CE" w:hAnsi="Times New Roman CE"/>
                <w:i/>
                <w:color w:val="000000"/>
                <w:sz w:val="22"/>
                <w:szCs w:val="22"/>
                <w:lang w:val="ro-RO"/>
              </w:rPr>
              <w:t xml:space="preserve">TÂMBALĂ </w:t>
            </w:r>
            <w:r>
              <w:rPr>
                <w:i/>
                <w:color w:val="000000"/>
                <w:sz w:val="22"/>
                <w:szCs w:val="22"/>
                <w:lang w:val="ro-RO"/>
              </w:rPr>
              <w:t>Carolina.; SECRIERU Iulian; CAZACOV Vladimir; LUPA</w:t>
            </w:r>
            <w:r>
              <w:rPr>
                <w:rFonts w:cs="Times New Roman CE" w:ascii="Times New Roman CE" w:hAnsi="Times New Roman CE"/>
                <w:i/>
                <w:color w:val="000000"/>
                <w:sz w:val="22"/>
                <w:szCs w:val="22"/>
                <w:lang w:val="ro-RO"/>
              </w:rPr>
              <w:t>ŞCO Iulianna</w:t>
            </w:r>
          </w:p>
          <w:p>
            <w:pPr>
              <w:pStyle w:val="Normal"/>
              <w:widowControl/>
              <w:bidi w:val="0"/>
              <w:ind w:left="0" w:right="0" w:hanging="0"/>
              <w:jc w:val="left"/>
              <w:textAlignment w:val="auto"/>
              <w:rPr>
                <w:lang w:val="ro-RO"/>
              </w:rPr>
            </w:pPr>
            <w:r>
              <w:rPr>
                <w:i/>
                <w:color w:val="000000"/>
                <w:sz w:val="22"/>
                <w:szCs w:val="22"/>
                <w:lang w:val="ro-RO"/>
              </w:rPr>
              <w:t xml:space="preserve">022-543710, </w:t>
            </w:r>
            <w:r>
              <w:rPr>
                <w:i/>
                <w:color w:val="000000"/>
                <w:sz w:val="22"/>
                <w:szCs w:val="22"/>
                <w:lang w:val="en-US"/>
              </w:rPr>
              <w:t>iulian.secrieru@math.md</w:t>
            </w:r>
          </w:p>
        </w:tc>
      </w:tr>
    </w:tbl>
    <w:p>
      <w:pPr>
        <w:pStyle w:val="Normal"/>
        <w:widowControl/>
        <w:numPr>
          <w:ilvl w:val="0"/>
          <w:numId w:val="106"/>
        </w:numPr>
        <w:tabs>
          <w:tab w:val="left" w:pos="708" w:leader="none"/>
        </w:tabs>
        <w:suppressAutoHyphens w:val="true"/>
        <w:bidi w:val="0"/>
        <w:spacing w:lineRule="exact" w:line="360"/>
        <w:ind w:left="180" w:right="0" w:hanging="0"/>
        <w:jc w:val="left"/>
        <w:textAlignment w:val="auto"/>
        <w:rPr>
          <w:lang w:val="ro-MD"/>
        </w:rPr>
      </w:pPr>
      <w:r>
        <w:rPr>
          <w:rFonts w:cs="Times New Roman CE" w:ascii="Times New Roman CE" w:hAnsi="Times New Roman CE"/>
          <w:bCs/>
          <w:lang w:val="ro-MD"/>
        </w:rPr>
        <w:t>Descrierea elaborării (pînă la 150 de cuvinte)</w:t>
      </w:r>
    </w:p>
    <w:tbl>
      <w:tblPr>
        <w:tblW w:w="9664" w:type="dxa"/>
        <w:jc w:val="left"/>
        <w:tblInd w:w="3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3" w:type="dxa"/>
          <w:bottom w:w="0" w:type="dxa"/>
          <w:right w:w="108" w:type="dxa"/>
        </w:tblCellMar>
      </w:tblPr>
      <w:tblGrid>
        <w:gridCol w:w="9664"/>
      </w:tblGrid>
      <w:tr>
        <w:trPr/>
        <w:tc>
          <w:tcPr>
            <w:tcW w:w="9664"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tcMar>
              <w:left w:w="103" w:type="dxa"/>
            </w:tcMar>
          </w:tcPr>
          <w:p>
            <w:pPr>
              <w:pStyle w:val="Normal"/>
              <w:widowControl/>
              <w:bidi w:val="0"/>
              <w:ind w:left="0" w:right="0" w:hanging="0"/>
              <w:jc w:val="both"/>
              <w:textAlignment w:val="auto"/>
              <w:rPr>
                <w:lang w:val="fr-FR"/>
              </w:rPr>
            </w:pPr>
            <w:r>
              <w:rPr>
                <w:sz w:val="22"/>
                <w:szCs w:val="22"/>
                <w:lang w:val="fr-FR"/>
              </w:rPr>
              <w:t>În cadrul studierii hemod</w:t>
            </w:r>
            <w:r>
              <w:rPr>
                <w:rFonts w:cs="Times New Roman CE" w:ascii="Times New Roman CE" w:hAnsi="Times New Roman CE"/>
                <w:sz w:val="22"/>
                <w:szCs w:val="22"/>
                <w:lang w:val="fr-FR"/>
              </w:rPr>
              <w:t>inamicii vasculare în bazinul hepatolienal la nivelul arterei hepatice, arterei lienale, venei porte, venei lienale se apreciază automat la aparatul de ecografie diametrul, aria vasculară, viteza medie ponderată în timp la nivelul venei porte, volumul fluxului sangvin la nivelul venei porte şi venei lienale. Utilizînd indicatorii primiţi se calculează următorii parametri recomandaţi în literatura de specialitate în evaluarea hipertensiunii portale cirogene:</w:t>
            </w:r>
          </w:p>
          <w:p>
            <w:pPr>
              <w:pStyle w:val="Normal"/>
              <w:widowControl/>
              <w:bidi w:val="0"/>
              <w:ind w:left="0" w:right="0" w:hanging="0"/>
              <w:jc w:val="both"/>
              <w:textAlignment w:val="auto"/>
              <w:rPr/>
            </w:pPr>
            <w:r>
              <w:rPr>
                <w:rFonts w:cs="Times New Roman CE" w:ascii="Times New Roman CE" w:hAnsi="Times New Roman CE"/>
                <w:sz w:val="22"/>
                <w:szCs w:val="22"/>
                <w:lang w:val="fr-FR"/>
              </w:rPr>
              <w:t>IC = PR2/Vit. medie vena portă (cm/s) (Moriyasu, 1</w:t>
            </w:r>
            <w:r>
              <w:rPr>
                <w:sz w:val="22"/>
                <w:szCs w:val="22"/>
                <w:lang w:val="fr-FR"/>
              </w:rPr>
              <w:t>986);</w:t>
            </w:r>
          </w:p>
          <w:p>
            <w:pPr>
              <w:pStyle w:val="Normal"/>
              <w:widowControl/>
              <w:bidi w:val="0"/>
              <w:ind w:left="0" w:right="0" w:hanging="0"/>
              <w:jc w:val="both"/>
              <w:textAlignment w:val="auto"/>
              <w:rPr>
                <w:lang w:val="fr-FR"/>
              </w:rPr>
            </w:pPr>
            <w:r>
              <w:rPr>
                <w:rFonts w:cs="Times New Roman CE" w:ascii="Times New Roman CE" w:hAnsi="Times New Roman CE"/>
                <w:sz w:val="22"/>
                <w:szCs w:val="22"/>
                <w:lang w:val="fr-FR"/>
              </w:rPr>
              <w:t xml:space="preserve">ISP=V.flux.v.lienală/ V.flux.v.portă x 100% (Sato, 1996); </w:t>
            </w:r>
          </w:p>
          <w:p>
            <w:pPr>
              <w:pStyle w:val="Normal"/>
              <w:widowControl/>
              <w:bidi w:val="0"/>
              <w:ind w:left="0" w:right="0" w:hanging="0"/>
              <w:jc w:val="both"/>
              <w:textAlignment w:val="auto"/>
              <w:rPr>
                <w:lang w:val="fr-FR"/>
              </w:rPr>
            </w:pPr>
            <w:r>
              <w:rPr>
                <w:sz w:val="22"/>
                <w:szCs w:val="22"/>
                <w:lang w:val="fr-FR"/>
              </w:rPr>
              <w:t>IHTP= RI art.heptaica x 0,69 x RI art.lienala x 0,87 /Vit.med V.porta (Li Zhang/PhD; Yun-You Duan PhD, 2007);</w:t>
            </w:r>
          </w:p>
          <w:p>
            <w:pPr>
              <w:pStyle w:val="Normal"/>
              <w:widowControl/>
              <w:bidi w:val="0"/>
              <w:ind w:left="0" w:right="0" w:hanging="0"/>
              <w:jc w:val="both"/>
              <w:textAlignment w:val="auto"/>
              <w:rPr>
                <w:lang w:val="en-US"/>
              </w:rPr>
            </w:pPr>
            <w:r>
              <w:rPr>
                <w:sz w:val="22"/>
                <w:szCs w:val="22"/>
                <w:lang w:val="en-US"/>
              </w:rPr>
              <w:t>IVP = Vit.med. vena porta/ PI art.hepatica. (Iwao 1997)</w:t>
            </w:r>
          </w:p>
          <w:p>
            <w:pPr>
              <w:pStyle w:val="Normal"/>
              <w:widowControl/>
              <w:bidi w:val="0"/>
              <w:ind w:left="0" w:right="0" w:hanging="0"/>
              <w:jc w:val="both"/>
              <w:textAlignment w:val="auto"/>
              <w:rPr>
                <w:lang w:val="fr-FR"/>
              </w:rPr>
            </w:pPr>
            <w:r>
              <w:rPr>
                <w:sz w:val="22"/>
                <w:szCs w:val="22"/>
                <w:lang w:val="fr-FR"/>
              </w:rPr>
              <w:t>Dimensiunile splinei se d</w:t>
            </w:r>
            <w:r>
              <w:rPr>
                <w:rFonts w:cs="Times New Roman CE" w:ascii="Times New Roman CE" w:hAnsi="Times New Roman CE"/>
                <w:sz w:val="22"/>
                <w:szCs w:val="22"/>
                <w:lang w:val="fr-FR"/>
              </w:rPr>
              <w:t xml:space="preserve">etermină prin aprecierea ariei suprafeţei lienale. </w:t>
            </w:r>
          </w:p>
          <w:p>
            <w:pPr>
              <w:pStyle w:val="Normal"/>
              <w:widowControl/>
              <w:bidi w:val="0"/>
              <w:ind w:left="0" w:right="0" w:hanging="0"/>
              <w:jc w:val="both"/>
              <w:textAlignment w:val="auto"/>
              <w:rPr>
                <w:lang w:val="fr-FR"/>
              </w:rPr>
            </w:pPr>
            <w:r>
              <w:rPr>
                <w:sz w:val="22"/>
                <w:szCs w:val="22"/>
                <w:lang w:val="fr-FR"/>
              </w:rPr>
              <w:t>Utiliz\</w:t>
            </w:r>
            <w:r>
              <w:rPr>
                <w:rFonts w:cs="Times New Roman CE" w:ascii="Times New Roman CE" w:hAnsi="Times New Roman CE"/>
                <w:sz w:val="22"/>
                <w:szCs w:val="22"/>
                <w:lang w:val="fr-FR"/>
              </w:rPr>
              <w:t>nd segmentarea şi analiza de cluster toţi 5 parametri au fost divizaţi în grupuri şi subgrupuri şi a fost dezvoltat un sistem de scor şi propus o modalitate de interpretare a acestuia.</w:t>
            </w:r>
          </w:p>
        </w:tc>
      </w:tr>
    </w:tbl>
    <w:p>
      <w:pPr>
        <w:pStyle w:val="Normal"/>
        <w:widowControl/>
        <w:numPr>
          <w:ilvl w:val="0"/>
          <w:numId w:val="106"/>
        </w:numPr>
        <w:tabs>
          <w:tab w:val="left" w:pos="708" w:leader="none"/>
        </w:tabs>
        <w:suppressAutoHyphens w:val="true"/>
        <w:bidi w:val="0"/>
        <w:ind w:left="180" w:right="0" w:hanging="0"/>
        <w:jc w:val="both"/>
        <w:textAlignment w:val="auto"/>
        <w:rPr>
          <w:lang w:val="ro-RO"/>
        </w:rPr>
      </w:pPr>
      <w:r>
        <w:rPr>
          <w:lang w:val="ro-RO"/>
        </w:rPr>
        <w:t>Tipul elabo</w:t>
      </w:r>
      <w:r>
        <w:rPr>
          <w:rFonts w:cs="Times New Roman CE" w:ascii="Times New Roman CE" w:hAnsi="Times New Roman CE"/>
          <w:lang w:val="ro-RO"/>
        </w:rPr>
        <w:t xml:space="preserve">rării: </w:t>
      </w:r>
    </w:p>
    <w:tbl>
      <w:tblPr>
        <w:tblW w:w="9664" w:type="dxa"/>
        <w:jc w:val="left"/>
        <w:tblInd w:w="3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3" w:type="dxa"/>
          <w:bottom w:w="0" w:type="dxa"/>
          <w:right w:w="108" w:type="dxa"/>
        </w:tblCellMar>
      </w:tblPr>
      <w:tblGrid>
        <w:gridCol w:w="9664"/>
      </w:tblGrid>
      <w:tr>
        <w:trPr/>
        <w:tc>
          <w:tcPr>
            <w:tcW w:w="9664"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tcMar>
              <w:left w:w="103" w:type="dxa"/>
            </w:tcMar>
          </w:tcPr>
          <w:p>
            <w:pPr>
              <w:pStyle w:val="Normal"/>
              <w:widowControl/>
              <w:bidi w:val="0"/>
              <w:ind w:left="0" w:right="0" w:hanging="0"/>
              <w:jc w:val="both"/>
              <w:textAlignment w:val="auto"/>
              <w:rPr>
                <w:lang w:val="ro-RO"/>
              </w:rPr>
            </w:pPr>
            <w:r>
              <w:rPr>
                <w:rFonts w:cs="Times New Roman CE" w:ascii="Times New Roman CE" w:hAnsi="Times New Roman CE"/>
                <w:b/>
                <w:i/>
                <w:lang w:val="ro-RO"/>
              </w:rPr>
              <w:t xml:space="preserve">Inovaţie </w:t>
            </w:r>
            <w:r>
              <w:rPr>
                <w:i/>
                <w:sz w:val="22"/>
                <w:szCs w:val="22"/>
                <w:lang w:val="ro-RO"/>
              </w:rPr>
              <w:t xml:space="preserve">(dezvoltarea unei metode de evaluare a </w:t>
            </w:r>
            <w:r>
              <w:rPr>
                <w:rFonts w:cs="Times New Roman CE" w:ascii="Times New Roman CE" w:hAnsi="Times New Roman CE"/>
                <w:i/>
                <w:sz w:val="22"/>
                <w:szCs w:val="22"/>
                <w:lang w:val="ro-RO"/>
              </w:rPr>
              <w:t xml:space="preserve">severităţii dereglărilor circulatorii în hipertensiunea portală asociată cirozei heppatice bazată </w:t>
            </w:r>
            <w:r>
              <w:rPr>
                <w:i/>
                <w:sz w:val="22"/>
                <w:szCs w:val="22"/>
                <w:lang w:val="ro-RO"/>
              </w:rPr>
              <w:t>pe un sistem de m</w:t>
            </w:r>
            <w:r>
              <w:rPr>
                <w:rFonts w:cs="Times New Roman CE" w:ascii="Times New Roman CE" w:hAnsi="Times New Roman CE"/>
                <w:i/>
                <w:sz w:val="22"/>
                <w:szCs w:val="22"/>
                <w:lang w:val="ro-RO"/>
              </w:rPr>
              <w:t>ăsurări non-invazive, obţinute prin ecografia doppler duplex color).</w:t>
            </w:r>
          </w:p>
        </w:tc>
      </w:tr>
    </w:tbl>
    <w:p>
      <w:pPr>
        <w:pStyle w:val="Normal"/>
        <w:widowControl/>
        <w:numPr>
          <w:ilvl w:val="0"/>
          <w:numId w:val="106"/>
        </w:numPr>
        <w:tabs>
          <w:tab w:val="left" w:pos="708" w:leader="none"/>
        </w:tabs>
        <w:suppressAutoHyphens w:val="true"/>
        <w:bidi w:val="0"/>
        <w:ind w:left="180" w:right="0" w:hanging="0"/>
        <w:jc w:val="left"/>
        <w:textAlignment w:val="auto"/>
        <w:rPr>
          <w:lang w:val="ro-MD"/>
        </w:rPr>
      </w:pPr>
      <w:r>
        <w:rPr>
          <w:bCs/>
          <w:lang w:val="ro-MD"/>
        </w:rPr>
        <w:t>Costul estimati</w:t>
      </w:r>
      <w:r>
        <w:rPr>
          <w:rFonts w:cs="Times New Roman CE" w:ascii="Times New Roman CE" w:hAnsi="Times New Roman CE"/>
          <w:bCs/>
          <w:lang w:val="ro-MD"/>
        </w:rPr>
        <w:t xml:space="preserve">v total al elaborării, </w:t>
      </w:r>
      <w:r>
        <w:rPr>
          <w:bCs/>
          <w:u w:val="single"/>
          <w:lang w:val="ro-MD"/>
        </w:rPr>
        <w:t>domeniul de implementare</w:t>
      </w:r>
      <w:r>
        <w:rPr>
          <w:rFonts w:cs="Times New Roman CE" w:ascii="Times New Roman CE" w:hAnsi="Times New Roman CE"/>
          <w:bCs/>
          <w:lang w:val="ro-MD"/>
        </w:rPr>
        <w:t xml:space="preserve"> şi evaluarea potenţialului economic în urma implementării</w:t>
      </w:r>
    </w:p>
    <w:tbl>
      <w:tblPr>
        <w:tblW w:w="9664" w:type="dxa"/>
        <w:jc w:val="left"/>
        <w:tblInd w:w="3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3" w:type="dxa"/>
          <w:bottom w:w="0" w:type="dxa"/>
          <w:right w:w="108" w:type="dxa"/>
        </w:tblCellMar>
      </w:tblPr>
      <w:tblGrid>
        <w:gridCol w:w="9664"/>
      </w:tblGrid>
      <w:tr>
        <w:trPr/>
        <w:tc>
          <w:tcPr>
            <w:tcW w:w="9664"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tcMar>
              <w:left w:w="103" w:type="dxa"/>
            </w:tcMar>
          </w:tcPr>
          <w:p>
            <w:pPr>
              <w:pStyle w:val="Normal"/>
              <w:widowControl/>
              <w:bidi w:val="0"/>
              <w:ind w:left="0" w:right="0" w:hanging="0"/>
              <w:jc w:val="left"/>
              <w:textAlignment w:val="auto"/>
              <w:rPr>
                <w:lang w:val="ro-RO"/>
              </w:rPr>
            </w:pPr>
            <w:r>
              <w:rPr>
                <w:bCs/>
                <w:lang w:val="ro-RO"/>
              </w:rPr>
              <w:t>D</w:t>
            </w:r>
            <w:r>
              <w:rPr>
                <w:bCs/>
                <w:lang w:val="ro-MD"/>
              </w:rPr>
              <w:t>omeniul de implementare –</w:t>
            </w:r>
            <w:r>
              <w:rPr>
                <w:rFonts w:cs="Times New Roman CE" w:ascii="Times New Roman CE" w:hAnsi="Times New Roman CE"/>
                <w:bCs/>
                <w:lang w:val="ro-RO"/>
              </w:rPr>
              <w:t xml:space="preserve"> diagnosticul ultrasonografic al pacienţilor cu ciroză hepatică.</w:t>
            </w:r>
          </w:p>
        </w:tc>
      </w:tr>
    </w:tbl>
    <w:p>
      <w:pPr>
        <w:pStyle w:val="Normal"/>
        <w:widowControl/>
        <w:numPr>
          <w:ilvl w:val="0"/>
          <w:numId w:val="106"/>
        </w:numPr>
        <w:tabs>
          <w:tab w:val="left" w:pos="708" w:leader="none"/>
        </w:tabs>
        <w:suppressAutoHyphens w:val="true"/>
        <w:bidi w:val="0"/>
        <w:ind w:left="180" w:right="0" w:hanging="0"/>
        <w:jc w:val="left"/>
        <w:textAlignment w:val="auto"/>
        <w:rPr>
          <w:lang w:val="ro-MD"/>
        </w:rPr>
      </w:pPr>
      <w:r>
        <w:rPr>
          <w:rFonts w:cs="Times New Roman CE" w:ascii="Times New Roman CE" w:hAnsi="Times New Roman CE"/>
          <w:lang w:val="ro-MD"/>
        </w:rPr>
        <w:t>Caracteristici tehnice şi economice, încercări experimenta</w:t>
      </w:r>
      <w:r>
        <w:rPr>
          <w:lang w:val="ro-MD"/>
        </w:rPr>
        <w:t>le</w:t>
      </w:r>
    </w:p>
    <w:tbl>
      <w:tblPr>
        <w:tblW w:w="9664" w:type="dxa"/>
        <w:jc w:val="left"/>
        <w:tblInd w:w="3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3" w:type="dxa"/>
          <w:bottom w:w="0" w:type="dxa"/>
          <w:right w:w="108" w:type="dxa"/>
        </w:tblCellMar>
      </w:tblPr>
      <w:tblGrid>
        <w:gridCol w:w="9664"/>
      </w:tblGrid>
      <w:tr>
        <w:trPr/>
        <w:tc>
          <w:tcPr>
            <w:tcW w:w="9664"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tcMar>
              <w:left w:w="103" w:type="dxa"/>
            </w:tcMar>
          </w:tcPr>
          <w:p>
            <w:pPr>
              <w:pStyle w:val="Normal"/>
              <w:widowControl/>
              <w:bidi w:val="0"/>
              <w:ind w:left="0" w:right="0" w:hanging="0"/>
              <w:jc w:val="both"/>
              <w:textAlignment w:val="auto"/>
              <w:rPr>
                <w:lang w:val="ro-RO"/>
              </w:rPr>
            </w:pPr>
            <w:r>
              <w:rPr>
                <w:rFonts w:cs="Times New Roman CE" w:ascii="Times New Roman CE" w:hAnsi="Times New Roman CE"/>
                <w:i/>
                <w:sz w:val="22"/>
                <w:szCs w:val="22"/>
                <w:lang w:val="ro-RO"/>
              </w:rPr>
              <w:t xml:space="preserve">Caracteristicile tehnice. Preţul de cost al produsului. </w:t>
            </w:r>
          </w:p>
          <w:p>
            <w:pPr>
              <w:pStyle w:val="Normal"/>
              <w:widowControl/>
              <w:bidi w:val="0"/>
              <w:ind w:left="0" w:right="0" w:hanging="0"/>
              <w:jc w:val="both"/>
              <w:textAlignment w:val="auto"/>
              <w:rPr>
                <w:lang w:val="ro-RO"/>
              </w:rPr>
            </w:pPr>
            <w:r>
              <w:rPr>
                <w:rFonts w:cs="Times New Roman CE" w:ascii="Times New Roman CE" w:hAnsi="Times New Roman CE"/>
                <w:i/>
                <w:sz w:val="22"/>
                <w:szCs w:val="22"/>
                <w:lang w:val="ro-RO"/>
              </w:rPr>
              <w:t>A fost testat pe o cohortă de 97 pacienţi. Abordarea a fost confirmată (validată) în 94 cazuri.</w:t>
            </w:r>
          </w:p>
        </w:tc>
      </w:tr>
    </w:tbl>
    <w:p>
      <w:pPr>
        <w:pStyle w:val="Normal"/>
        <w:widowControl/>
        <w:numPr>
          <w:ilvl w:val="0"/>
          <w:numId w:val="106"/>
        </w:numPr>
        <w:tabs>
          <w:tab w:val="left" w:pos="708" w:leader="none"/>
        </w:tabs>
        <w:suppressAutoHyphens w:val="true"/>
        <w:bidi w:val="0"/>
        <w:ind w:left="180" w:right="0" w:hanging="0"/>
        <w:jc w:val="left"/>
        <w:textAlignment w:val="auto"/>
        <w:rPr>
          <w:lang w:val="ro-MD"/>
        </w:rPr>
      </w:pPr>
      <w:r>
        <w:rPr>
          <w:rFonts w:cs="Times New Roman CE" w:ascii="Times New Roman CE" w:hAnsi="Times New Roman CE"/>
          <w:bCs/>
          <w:lang w:val="ro-MD"/>
        </w:rPr>
        <w:t>Stadiul de pregătire pentru implementare</w:t>
      </w:r>
      <w:r>
        <w:rPr>
          <w:bCs/>
          <w:sz w:val="26"/>
          <w:szCs w:val="26"/>
          <w:lang w:val="ro-MD"/>
        </w:rPr>
        <w:t xml:space="preserve"> </w:t>
      </w:r>
    </w:p>
    <w:tbl>
      <w:tblPr>
        <w:tblW w:w="9730" w:type="dxa"/>
        <w:jc w:val="left"/>
        <w:tblInd w:w="3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3" w:type="dxa"/>
          <w:bottom w:w="0" w:type="dxa"/>
          <w:right w:w="108" w:type="dxa"/>
        </w:tblCellMar>
      </w:tblPr>
      <w:tblGrid>
        <w:gridCol w:w="9730"/>
      </w:tblGrid>
      <w:tr>
        <w:trPr>
          <w:trHeight w:val="369" w:hRule="atLeast"/>
        </w:trPr>
        <w:tc>
          <w:tcPr>
            <w:tcW w:w="9730"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tcMar>
              <w:left w:w="103" w:type="dxa"/>
            </w:tcMar>
          </w:tcPr>
          <w:p>
            <w:pPr>
              <w:pStyle w:val="Normal"/>
              <w:widowControl/>
              <w:bidi w:val="0"/>
              <w:ind w:left="0" w:right="0" w:hanging="0"/>
              <w:jc w:val="left"/>
              <w:textAlignment w:val="auto"/>
              <w:rPr>
                <w:lang w:val="ro-RO"/>
              </w:rPr>
            </w:pPr>
            <w:r>
              <w:rPr>
                <w:b/>
                <w:bCs/>
                <w:sz w:val="22"/>
                <w:szCs w:val="22"/>
                <w:lang w:val="ro-RO"/>
              </w:rPr>
              <w:t>A fost prezentat un proiect de transfer tehnologic – Nr.340.</w:t>
            </w:r>
          </w:p>
        </w:tc>
      </w:tr>
    </w:tbl>
    <w:p>
      <w:pPr>
        <w:pStyle w:val="Normal"/>
        <w:widowControl/>
        <w:numPr>
          <w:ilvl w:val="0"/>
          <w:numId w:val="106"/>
        </w:numPr>
        <w:tabs>
          <w:tab w:val="left" w:pos="708" w:leader="none"/>
        </w:tabs>
        <w:suppressAutoHyphens w:val="true"/>
        <w:bidi w:val="0"/>
        <w:ind w:left="180" w:right="0" w:hanging="0"/>
        <w:jc w:val="left"/>
        <w:textAlignment w:val="auto"/>
        <w:rPr>
          <w:lang w:val="ro-MD"/>
        </w:rPr>
      </w:pPr>
      <w:r>
        <w:rPr>
          <w:bCs/>
          <w:sz w:val="26"/>
          <w:szCs w:val="26"/>
          <w:lang w:val="ro-MD"/>
        </w:rPr>
        <w:t>Drepturile de autor</w:t>
      </w:r>
    </w:p>
    <w:tbl>
      <w:tblPr>
        <w:tblW w:w="9760" w:type="dxa"/>
        <w:jc w:val="left"/>
        <w:tblInd w:w="38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3" w:type="dxa"/>
          <w:bottom w:w="0" w:type="dxa"/>
          <w:right w:w="108" w:type="dxa"/>
        </w:tblCellMar>
      </w:tblPr>
      <w:tblGrid>
        <w:gridCol w:w="9760"/>
      </w:tblGrid>
      <w:tr>
        <w:trPr>
          <w:trHeight w:val="316" w:hRule="atLeast"/>
        </w:trPr>
        <w:tc>
          <w:tcPr>
            <w:tcW w:w="9760"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
                <w:color w:val="000000"/>
                <w:sz w:val="22"/>
                <w:szCs w:val="22"/>
                <w:lang w:val="ro-RO"/>
              </w:rPr>
              <w:t xml:space="preserve">TÂMBALĂ </w:t>
            </w:r>
            <w:r>
              <w:rPr>
                <w:i/>
                <w:color w:val="000000"/>
                <w:sz w:val="22"/>
                <w:szCs w:val="22"/>
                <w:lang w:val="ro-RO"/>
              </w:rPr>
              <w:t>Carolina.; SECRIERU Iulian; CAZACOV Vladimir; LUPA</w:t>
            </w:r>
            <w:r>
              <w:rPr>
                <w:rFonts w:cs="Times New Roman CE" w:ascii="Times New Roman CE" w:hAnsi="Times New Roman CE"/>
                <w:i/>
                <w:color w:val="000000"/>
                <w:sz w:val="22"/>
                <w:szCs w:val="22"/>
                <w:lang w:val="ro-RO"/>
              </w:rPr>
              <w:t>ŞCO Iulianna</w:t>
            </w:r>
          </w:p>
        </w:tc>
      </w:tr>
    </w:tbl>
    <w:p>
      <w:pPr>
        <w:pStyle w:val="Normal"/>
        <w:widowControl/>
        <w:numPr>
          <w:ilvl w:val="0"/>
          <w:numId w:val="106"/>
        </w:numPr>
        <w:tabs>
          <w:tab w:val="left" w:pos="708" w:leader="none"/>
        </w:tabs>
        <w:suppressAutoHyphens w:val="true"/>
        <w:bidi w:val="0"/>
        <w:ind w:left="180" w:right="0" w:hanging="0"/>
        <w:jc w:val="left"/>
        <w:textAlignment w:val="auto"/>
        <w:rPr>
          <w:lang w:val="ro-MD"/>
        </w:rPr>
      </w:pPr>
      <w:r>
        <w:rPr>
          <w:rFonts w:cs="Times New Roman CE" w:ascii="Times New Roman CE" w:hAnsi="Times New Roman CE"/>
          <w:bCs/>
          <w:sz w:val="26"/>
          <w:szCs w:val="26"/>
          <w:lang w:val="ro-MD"/>
        </w:rPr>
        <w:t>Posibilităţile de realizare pe piaţa autohtonă şi mondială</w:t>
      </w:r>
    </w:p>
    <w:tbl>
      <w:tblPr>
        <w:tblW w:w="9785" w:type="dxa"/>
        <w:jc w:val="left"/>
        <w:tblInd w:w="38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3" w:type="dxa"/>
          <w:bottom w:w="0" w:type="dxa"/>
          <w:right w:w="108" w:type="dxa"/>
        </w:tblCellMar>
      </w:tblPr>
      <w:tblGrid>
        <w:gridCol w:w="9785"/>
      </w:tblGrid>
      <w:tr>
        <w:trPr>
          <w:trHeight w:val="503" w:hRule="atLeast"/>
        </w:trPr>
        <w:tc>
          <w:tcPr>
            <w:tcW w:w="9785"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lang w:val="ro-RO"/>
              </w:rPr>
              <w:t>Potenţialul de implementare este unul mare, deoarece la moment, nu se aplică nici o metodă analogică în diagnosticarea cirozei hepatice.</w:t>
            </w:r>
          </w:p>
        </w:tc>
      </w:tr>
    </w:tbl>
    <w:p>
      <w:pPr>
        <w:pStyle w:val="Normal"/>
        <w:widowControl/>
        <w:numPr>
          <w:ilvl w:val="0"/>
          <w:numId w:val="106"/>
        </w:numPr>
        <w:tabs>
          <w:tab w:val="left" w:pos="708" w:leader="none"/>
        </w:tabs>
        <w:suppressAutoHyphens w:val="true"/>
        <w:bidi w:val="0"/>
        <w:ind w:left="180" w:right="0" w:hanging="0"/>
        <w:jc w:val="left"/>
        <w:textAlignment w:val="auto"/>
        <w:rPr>
          <w:lang w:val="ro-MD"/>
        </w:rPr>
      </w:pPr>
      <w:r>
        <w:rPr>
          <w:rFonts w:cs="Times New Roman CE" w:ascii="Times New Roman CE" w:hAnsi="Times New Roman CE"/>
          <w:bCs/>
          <w:sz w:val="26"/>
          <w:szCs w:val="26"/>
          <w:lang w:val="ro-MD"/>
        </w:rPr>
        <w:t>Beneficiar (pentru elaborări finanţate din surse extrabugetare)</w:t>
      </w:r>
    </w:p>
    <w:tbl>
      <w:tblPr>
        <w:tblW w:w="9774" w:type="dxa"/>
        <w:jc w:val="left"/>
        <w:tblInd w:w="38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3" w:type="dxa"/>
          <w:bottom w:w="0" w:type="dxa"/>
          <w:right w:w="108" w:type="dxa"/>
        </w:tblCellMar>
      </w:tblPr>
      <w:tblGrid>
        <w:gridCol w:w="9774"/>
      </w:tblGrid>
      <w:tr>
        <w:trPr/>
        <w:tc>
          <w:tcPr>
            <w:tcW w:w="9774"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tcMar>
              <w:left w:w="103" w:type="dxa"/>
            </w:tcMar>
            <w:vAlign w:val="center"/>
          </w:tcPr>
          <w:p>
            <w:pPr>
              <w:pStyle w:val="Normal"/>
              <w:widowControl/>
              <w:bidi w:val="0"/>
              <w:ind w:left="0" w:right="0" w:hanging="0"/>
              <w:jc w:val="left"/>
              <w:textAlignment w:val="auto"/>
              <w:rPr>
                <w:lang w:val="ro-RO"/>
              </w:rPr>
            </w:pPr>
            <w:r>
              <w:rPr>
                <w:rFonts w:cs="Times New Roman CE" w:ascii="Times New Roman CE" w:hAnsi="Times New Roman CE"/>
                <w:lang w:val="ro-RO"/>
              </w:rPr>
              <w:t>Centrele medicale de diagnostic, clinicienii, medicii de familie, ş.a.</w:t>
            </w:r>
          </w:p>
        </w:tc>
      </w:tr>
    </w:tbl>
    <w:p>
      <w:pPr>
        <w:pStyle w:val="Normal"/>
        <w:widowControl/>
        <w:numPr>
          <w:ilvl w:val="0"/>
          <w:numId w:val="106"/>
        </w:numPr>
        <w:tabs>
          <w:tab w:val="left" w:pos="708" w:leader="none"/>
        </w:tabs>
        <w:suppressAutoHyphens w:val="true"/>
        <w:bidi w:val="0"/>
        <w:ind w:left="180" w:right="0" w:hanging="0"/>
        <w:jc w:val="left"/>
        <w:textAlignment w:val="auto"/>
        <w:rPr>
          <w:lang w:val="ro-MD"/>
        </w:rPr>
      </w:pPr>
      <w:r>
        <w:rPr>
          <w:rFonts w:cs="Times New Roman CE" w:ascii="Times New Roman CE" w:hAnsi="Times New Roman CE"/>
          <w:bCs/>
          <w:sz w:val="26"/>
          <w:szCs w:val="26"/>
          <w:lang w:val="ro-MD"/>
        </w:rPr>
        <w:t xml:space="preserve">Avantaje (în comparaţie cu produsele analoage existente), </w:t>
      </w:r>
      <w:r>
        <w:rPr>
          <w:rFonts w:cs="Times New Roman CE" w:ascii="Times New Roman CE" w:hAnsi="Times New Roman CE"/>
          <w:sz w:val="26"/>
          <w:szCs w:val="26"/>
          <w:lang w:val="ro-MD"/>
        </w:rPr>
        <w:t>efectul economic şi soci</w:t>
      </w:r>
      <w:r>
        <w:rPr>
          <w:sz w:val="26"/>
          <w:szCs w:val="26"/>
          <w:lang w:val="ro-MD"/>
        </w:rPr>
        <w:t xml:space="preserve">al preconizat sau real. </w:t>
      </w:r>
      <w:r>
        <w:rPr>
          <w:rFonts w:cs="Times New Roman CE" w:ascii="Times New Roman CE" w:hAnsi="Times New Roman CE"/>
          <w:i/>
          <w:sz w:val="26"/>
          <w:szCs w:val="26"/>
          <w:lang w:val="ro-RO"/>
        </w:rPr>
        <w:t>Se bazează pe măsurări non-invazive.</w:t>
      </w:r>
    </w:p>
    <w:p>
      <w:pPr>
        <w:pStyle w:val="1"/>
        <w:keepNext/>
        <w:widowControl/>
        <w:numPr>
          <w:ilvl w:val="0"/>
          <w:numId w:val="0"/>
        </w:numPr>
        <w:bidi w:val="0"/>
        <w:spacing w:before="0" w:after="0"/>
        <w:ind w:left="0" w:right="0" w:hanging="0"/>
        <w:jc w:val="right"/>
        <w:textAlignment w:val="auto"/>
        <w:outlineLvl w:val="0"/>
        <w:rPr>
          <w:rFonts w:ascii="Times New Roman" w:hAnsi="Times New Roman" w:cs="Times New Roman"/>
          <w:b w:val="false"/>
          <w:b w:val="false"/>
          <w:lang w:val="fr-FR"/>
        </w:rPr>
      </w:pPr>
      <w:r>
        <w:rPr>
          <w:rFonts w:cs="Times New Roman" w:ascii="Times New Roman" w:hAnsi="Times New Roman"/>
          <w:b w:val="false"/>
          <w:lang w:val="fr-FR"/>
        </w:rPr>
      </w:r>
    </w:p>
    <w:p>
      <w:pPr>
        <w:pStyle w:val="Normal"/>
        <w:widowControl/>
        <w:bidi w:val="0"/>
        <w:ind w:left="0" w:right="0" w:hanging="0"/>
        <w:jc w:val="left"/>
        <w:textAlignment w:val="auto"/>
        <w:rPr>
          <w:rFonts w:ascii="Times New Roman" w:hAnsi="Times New Roman"/>
          <w:lang w:val="fr-FR"/>
        </w:rPr>
      </w:pPr>
      <w:r>
        <w:rPr>
          <w:lang w:val="fr-FR"/>
        </w:rPr>
      </w:r>
    </w:p>
    <w:p>
      <w:pPr>
        <w:pStyle w:val="Normal"/>
        <w:widowControl/>
        <w:bidi w:val="0"/>
        <w:ind w:left="0" w:right="0" w:hanging="0"/>
        <w:jc w:val="left"/>
        <w:textAlignment w:val="auto"/>
        <w:rPr>
          <w:rFonts w:ascii="Times New Roman" w:hAnsi="Times New Roman"/>
          <w:lang w:val="fr-FR"/>
        </w:rPr>
      </w:pPr>
      <w:r>
        <w:rPr>
          <w:lang w:val="fr-FR"/>
        </w:rPr>
      </w:r>
    </w:p>
    <w:p>
      <w:pPr>
        <w:pStyle w:val="Normal"/>
        <w:widowControl/>
        <w:bidi w:val="0"/>
        <w:ind w:left="0" w:right="0" w:hanging="0"/>
        <w:jc w:val="left"/>
        <w:textAlignment w:val="auto"/>
        <w:rPr>
          <w:rFonts w:ascii="Times New Roman" w:hAnsi="Times New Roman"/>
          <w:lang w:val="fr-FR"/>
        </w:rPr>
      </w:pPr>
      <w:r>
        <w:rPr>
          <w:lang w:val="fr-FR"/>
        </w:rPr>
      </w:r>
    </w:p>
    <w:p>
      <w:pPr>
        <w:pStyle w:val="Normal"/>
        <w:widowControl/>
        <w:bidi w:val="0"/>
        <w:ind w:left="0" w:right="0" w:hanging="0"/>
        <w:jc w:val="left"/>
        <w:textAlignment w:val="auto"/>
        <w:rPr>
          <w:rFonts w:ascii="Times New Roman" w:hAnsi="Times New Roman"/>
          <w:lang w:val="fr-FR"/>
        </w:rPr>
      </w:pPr>
      <w:r>
        <w:rPr>
          <w:lang w:val="fr-FR"/>
        </w:rPr>
      </w:r>
    </w:p>
    <w:p>
      <w:pPr>
        <w:pStyle w:val="Normal"/>
        <w:widowControl/>
        <w:bidi w:val="0"/>
        <w:ind w:left="0" w:right="0" w:hanging="0"/>
        <w:jc w:val="left"/>
        <w:textAlignment w:val="auto"/>
        <w:rPr>
          <w:rFonts w:ascii="Times New Roman" w:hAnsi="Times New Roman"/>
          <w:lang w:val="fr-FR"/>
        </w:rPr>
      </w:pPr>
      <w:r>
        <w:rPr>
          <w:lang w:val="fr-FR"/>
        </w:rPr>
      </w:r>
    </w:p>
    <w:p>
      <w:pPr>
        <w:pStyle w:val="Normal"/>
        <w:widowControl/>
        <w:bidi w:val="0"/>
        <w:ind w:left="0" w:right="0" w:hanging="0"/>
        <w:jc w:val="left"/>
        <w:textAlignment w:val="auto"/>
        <w:rPr>
          <w:rFonts w:ascii="Times New Roman" w:hAnsi="Times New Roman"/>
          <w:lang w:val="fr-FR"/>
        </w:rPr>
      </w:pPr>
      <w:r>
        <w:rPr>
          <w:lang w:val="fr-FR"/>
        </w:rPr>
      </w:r>
    </w:p>
    <w:p>
      <w:pPr>
        <w:pStyle w:val="Normal"/>
        <w:widowControl/>
        <w:bidi w:val="0"/>
        <w:ind w:left="0" w:right="0" w:hanging="0"/>
        <w:jc w:val="left"/>
        <w:textAlignment w:val="auto"/>
        <w:rPr>
          <w:rFonts w:ascii="Times New Roman" w:hAnsi="Times New Roman"/>
          <w:lang w:val="fr-FR"/>
        </w:rPr>
      </w:pPr>
      <w:r>
        <w:rPr>
          <w:lang w:val="fr-FR"/>
        </w:rPr>
      </w:r>
    </w:p>
    <w:p>
      <w:pPr>
        <w:pStyle w:val="Normal"/>
        <w:widowControl/>
        <w:bidi w:val="0"/>
        <w:ind w:left="0" w:right="0" w:hanging="0"/>
        <w:jc w:val="left"/>
        <w:textAlignment w:val="auto"/>
        <w:rPr>
          <w:rFonts w:ascii="Times New Roman" w:hAnsi="Times New Roman"/>
          <w:lang w:val="fr-FR"/>
        </w:rPr>
      </w:pPr>
      <w:r>
        <w:rPr>
          <w:lang w:val="fr-FR"/>
        </w:rPr>
      </w:r>
    </w:p>
    <w:p>
      <w:pPr>
        <w:pStyle w:val="Normal"/>
        <w:widowControl/>
        <w:bidi w:val="0"/>
        <w:ind w:left="0" w:right="0" w:hanging="0"/>
        <w:jc w:val="left"/>
        <w:textAlignment w:val="auto"/>
        <w:rPr>
          <w:rFonts w:ascii="Times New Roman" w:hAnsi="Times New Roman"/>
          <w:lang w:val="fr-FR"/>
        </w:rPr>
      </w:pPr>
      <w:r>
        <w:rPr>
          <w:lang w:val="fr-FR"/>
        </w:rPr>
      </w:r>
    </w:p>
    <w:p>
      <w:pPr>
        <w:pStyle w:val="Normal"/>
        <w:widowControl/>
        <w:bidi w:val="0"/>
        <w:ind w:left="0" w:right="0" w:hanging="0"/>
        <w:jc w:val="left"/>
        <w:textAlignment w:val="auto"/>
        <w:rPr>
          <w:rFonts w:ascii="Times New Roman" w:hAnsi="Times New Roman"/>
          <w:lang w:val="fr-FR"/>
        </w:rPr>
      </w:pPr>
      <w:r>
        <w:rPr>
          <w:lang w:val="fr-FR"/>
        </w:rPr>
      </w:r>
    </w:p>
    <w:p>
      <w:pPr>
        <w:pStyle w:val="Normal"/>
        <w:widowControl/>
        <w:bidi w:val="0"/>
        <w:ind w:left="0" w:right="0" w:hanging="0"/>
        <w:jc w:val="left"/>
        <w:textAlignment w:val="auto"/>
        <w:rPr>
          <w:rFonts w:ascii="Times New Roman" w:hAnsi="Times New Roman"/>
          <w:lang w:val="fr-FR"/>
        </w:rPr>
      </w:pPr>
      <w:r>
        <w:rPr>
          <w:lang w:val="fr-FR"/>
        </w:rPr>
      </w:r>
    </w:p>
    <w:p>
      <w:pPr>
        <w:pStyle w:val="Normal"/>
        <w:widowControl/>
        <w:bidi w:val="0"/>
        <w:ind w:left="0" w:right="0" w:hanging="0"/>
        <w:jc w:val="left"/>
        <w:textAlignment w:val="auto"/>
        <w:rPr>
          <w:rFonts w:ascii="Times New Roman" w:hAnsi="Times New Roman"/>
          <w:lang w:val="fr-FR"/>
        </w:rPr>
      </w:pPr>
      <w:r>
        <w:rPr>
          <w:lang w:val="fr-FR"/>
        </w:rPr>
      </w:r>
    </w:p>
    <w:p>
      <w:pPr>
        <w:pStyle w:val="Normal"/>
        <w:widowControl/>
        <w:bidi w:val="0"/>
        <w:ind w:left="0" w:right="0" w:hanging="0"/>
        <w:jc w:val="left"/>
        <w:textAlignment w:val="auto"/>
        <w:rPr>
          <w:rFonts w:ascii="Times New Roman" w:hAnsi="Times New Roman"/>
          <w:lang w:val="fr-FR"/>
        </w:rPr>
      </w:pPr>
      <w:r>
        <w:rPr>
          <w:lang w:val="fr-FR"/>
        </w:rPr>
      </w:r>
    </w:p>
    <w:p>
      <w:pPr>
        <w:pStyle w:val="2"/>
        <w:keepNext/>
        <w:widowControl/>
        <w:numPr>
          <w:ilvl w:val="0"/>
          <w:numId w:val="0"/>
        </w:numPr>
        <w:bidi w:val="0"/>
        <w:ind w:left="0" w:right="0" w:hanging="0"/>
        <w:jc w:val="left"/>
        <w:textAlignment w:val="auto"/>
        <w:outlineLvl w:val="1"/>
        <w:rPr>
          <w:lang w:val="it-IT"/>
        </w:rPr>
      </w:pPr>
      <w:bookmarkStart w:id="92" w:name="_Toc469651896"/>
      <w:r>
        <w:drawing>
          <wp:anchor behindDoc="0" distT="0" distB="0" distL="0" distR="0" simplePos="0" locked="0" layoutInCell="1" allowOverlap="1" relativeHeight="11">
            <wp:simplePos x="0" y="0"/>
            <wp:positionH relativeFrom="column">
              <wp:posOffset>2863850</wp:posOffset>
            </wp:positionH>
            <wp:positionV relativeFrom="paragraph">
              <wp:posOffset>282575</wp:posOffset>
            </wp:positionV>
            <wp:extent cx="3435985" cy="3800475"/>
            <wp:effectExtent l="0" t="0" r="0" b="0"/>
            <wp:wrapSquare wrapText="bothSides"/>
            <wp:docPr id="10"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9" descr=""/>
                    <pic:cNvPicPr>
                      <a:picLocks noChangeAspect="1" noChangeArrowheads="1"/>
                    </pic:cNvPicPr>
                  </pic:nvPicPr>
                  <pic:blipFill>
                    <a:blip r:embed="rId45"/>
                    <a:stretch>
                      <a:fillRect/>
                    </a:stretch>
                  </pic:blipFill>
                  <pic:spPr bwMode="auto">
                    <a:xfrm>
                      <a:off x="0" y="0"/>
                      <a:ext cx="3435985" cy="3800475"/>
                    </a:xfrm>
                    <a:prstGeom prst="rect">
                      <a:avLst/>
                    </a:prstGeom>
                  </pic:spPr>
                </pic:pic>
              </a:graphicData>
            </a:graphic>
          </wp:anchor>
        </w:drawing>
        <w:drawing>
          <wp:anchor behindDoc="0" distT="0" distB="0" distL="0" distR="0" simplePos="0" locked="0" layoutInCell="1" allowOverlap="1" relativeHeight="12">
            <wp:simplePos x="0" y="0"/>
            <wp:positionH relativeFrom="column">
              <wp:posOffset>-198755</wp:posOffset>
            </wp:positionH>
            <wp:positionV relativeFrom="paragraph">
              <wp:posOffset>282575</wp:posOffset>
            </wp:positionV>
            <wp:extent cx="2433320" cy="3733800"/>
            <wp:effectExtent l="0" t="0" r="0" b="0"/>
            <wp:wrapSquare wrapText="bothSides"/>
            <wp:docPr id="11" name="Изображение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0" descr=""/>
                    <pic:cNvPicPr>
                      <a:picLocks noChangeAspect="1" noChangeArrowheads="1"/>
                    </pic:cNvPicPr>
                  </pic:nvPicPr>
                  <pic:blipFill>
                    <a:blip r:embed="rId46"/>
                    <a:stretch>
                      <a:fillRect/>
                    </a:stretch>
                  </pic:blipFill>
                  <pic:spPr bwMode="auto">
                    <a:xfrm>
                      <a:off x="0" y="0"/>
                      <a:ext cx="2433320" cy="3733800"/>
                    </a:xfrm>
                    <a:prstGeom prst="rect">
                      <a:avLst/>
                    </a:prstGeom>
                  </pic:spPr>
                </pic:pic>
              </a:graphicData>
            </a:graphic>
          </wp:anchor>
        </w:drawing>
      </w:r>
      <w:r>
        <w:rPr>
          <w:rFonts w:cs="Times New Roman CE" w:ascii="Times New Roman CE" w:hAnsi="Times New Roman CE"/>
          <w:i/>
          <w:sz w:val="26"/>
          <w:lang w:val="it-IT" w:eastAsia="ru-RU"/>
        </w:rPr>
        <w:t>A</w:t>
      </w:r>
      <w:r>
        <w:rPr>
          <w:rFonts w:cs="Times New Roman CE" w:ascii="Times New Roman CE" w:hAnsi="Times New Roman CE"/>
          <w:i/>
          <w:sz w:val="26"/>
          <w:lang w:val="it-IT" w:eastAsia="ru-RU"/>
        </w:rPr>
        <w:t>ntrenarea reţelei neurale modulare</w:t>
      </w:r>
      <w:bookmarkEnd w:id="92"/>
      <w:r>
        <w:rPr>
          <w:rFonts w:cs="Times New Roman CE" w:ascii="Times New Roman CE" w:hAnsi="Times New Roman CE"/>
          <w:i/>
          <w:sz w:val="26"/>
          <w:lang w:val="it-IT" w:eastAsia="ru-RU"/>
        </w:rPr>
        <w:t xml:space="preserve"> </w:t>
      </w:r>
    </w:p>
    <w:p>
      <w:pPr>
        <w:pStyle w:val="Normal"/>
        <w:widowControl/>
        <w:bidi w:val="0"/>
        <w:ind w:left="0" w:right="0" w:hanging="0"/>
        <w:jc w:val="left"/>
        <w:textAlignment w:val="auto"/>
        <w:rPr>
          <w:rFonts w:ascii="Times New Roman" w:hAnsi="Times New Roman"/>
          <w:lang w:val="it-IT"/>
        </w:rPr>
      </w:pPr>
      <w:r>
        <w:rPr>
          <w:lang w:val="it-IT"/>
        </w:rPr>
      </w:r>
    </w:p>
    <w:p>
      <w:pPr>
        <w:pStyle w:val="Normal"/>
        <w:widowControl/>
        <w:bidi w:val="0"/>
        <w:ind w:left="0" w:right="0" w:hanging="0"/>
        <w:jc w:val="left"/>
        <w:textAlignment w:val="auto"/>
        <w:rPr>
          <w:rFonts w:ascii="Times New Roman" w:hAnsi="Times New Roman"/>
          <w:lang w:val="it-IT"/>
        </w:rPr>
      </w:pPr>
      <w:r>
        <w:rPr>
          <w:lang w:val="it-IT"/>
        </w:rPr>
      </w:r>
    </w:p>
    <w:p>
      <w:pPr>
        <w:pStyle w:val="Normal"/>
        <w:widowControl/>
        <w:bidi w:val="0"/>
        <w:ind w:left="0" w:right="0" w:hanging="0"/>
        <w:jc w:val="left"/>
        <w:textAlignment w:val="auto"/>
        <w:rPr>
          <w:rFonts w:ascii="Times New Roman" w:hAnsi="Times New Roman"/>
          <w:lang w:val="it-IT"/>
        </w:rPr>
      </w:pPr>
      <w:r>
        <w:rPr>
          <w:lang w:val="it-IT"/>
        </w:rPr>
      </w:r>
    </w:p>
    <w:p>
      <w:pPr>
        <w:pStyle w:val="Normal"/>
        <w:widowControl/>
        <w:numPr>
          <w:ilvl w:val="0"/>
          <w:numId w:val="109"/>
        </w:numPr>
        <w:suppressAutoHyphens w:val="true"/>
        <w:bidi w:val="0"/>
        <w:ind w:left="1080" w:right="0" w:hanging="0"/>
        <w:jc w:val="left"/>
        <w:textAlignment w:val="auto"/>
        <w:rPr>
          <w:lang w:val="ro-MD"/>
        </w:rPr>
      </w:pPr>
      <w:r>
        <w:rPr>
          <w:rFonts w:cs="Times New Roman CE" w:ascii="Times New Roman CE" w:hAnsi="Times New Roman CE"/>
          <w:bCs/>
          <w:lang w:val="ro-MD"/>
        </w:rPr>
        <w:t xml:space="preserve">Denumirea elaborării </w:t>
      </w:r>
    </w:p>
    <w:tbl>
      <w:tblPr>
        <w:tblW w:w="9513" w:type="dxa"/>
        <w:jc w:val="left"/>
        <w:tblInd w:w="3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3" w:type="dxa"/>
          <w:bottom w:w="0" w:type="dxa"/>
          <w:right w:w="108" w:type="dxa"/>
        </w:tblCellMar>
      </w:tblPr>
      <w:tblGrid>
        <w:gridCol w:w="9513"/>
      </w:tblGrid>
      <w:tr>
        <w:trPr/>
        <w:tc>
          <w:tcPr>
            <w:tcW w:w="9513"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tcMar>
              <w:left w:w="103" w:type="dxa"/>
            </w:tcMar>
          </w:tcPr>
          <w:p>
            <w:pPr>
              <w:pStyle w:val="Normal"/>
              <w:widowControl/>
              <w:shd w:fill="FFFFFF"/>
              <w:tabs>
                <w:tab w:val="left" w:pos="709" w:leader="none"/>
                <w:tab w:val="left" w:pos="1134" w:leader="none"/>
              </w:tabs>
              <w:bidi w:val="0"/>
              <w:spacing w:lineRule="exact" w:line="271" w:before="2" w:after="0"/>
              <w:ind w:left="0" w:right="0" w:hanging="0"/>
              <w:jc w:val="left"/>
              <w:textAlignment w:val="auto"/>
              <w:rPr>
                <w:lang w:val="ro-RO"/>
              </w:rPr>
            </w:pPr>
            <w:bookmarkStart w:id="93" w:name="_Anexa_E2"/>
            <w:bookmarkEnd w:id="93"/>
            <w:r>
              <w:rPr>
                <w:rFonts w:cs="Times New Roman CE" w:ascii="Times New Roman CE" w:hAnsi="Times New Roman CE"/>
                <w:sz w:val="22"/>
                <w:szCs w:val="22"/>
                <w:lang w:val="ro-RO"/>
              </w:rPr>
              <w:t xml:space="preserve">Antrenarea reţelei neurale modulare </w:t>
            </w:r>
          </w:p>
        </w:tc>
      </w:tr>
    </w:tbl>
    <w:p>
      <w:pPr>
        <w:pStyle w:val="Normal"/>
        <w:widowControl/>
        <w:numPr>
          <w:ilvl w:val="0"/>
          <w:numId w:val="108"/>
        </w:numPr>
        <w:tabs>
          <w:tab w:val="left" w:pos="708" w:leader="none"/>
        </w:tabs>
        <w:suppressAutoHyphens w:val="true"/>
        <w:bidi w:val="0"/>
        <w:ind w:left="357" w:right="0" w:hanging="0"/>
        <w:jc w:val="left"/>
        <w:textAlignment w:val="auto"/>
        <w:rPr>
          <w:lang w:val="ro-MD"/>
        </w:rPr>
      </w:pPr>
      <w:r>
        <w:rPr>
          <w:rFonts w:cs="Times New Roman CE" w:ascii="Times New Roman CE" w:hAnsi="Times New Roman CE"/>
          <w:lang w:val="ro-MD"/>
        </w:rPr>
        <w:t>Data şi codul/nr. documentului de înregistrare a elaborării</w:t>
      </w:r>
    </w:p>
    <w:tbl>
      <w:tblPr>
        <w:tblW w:w="9513" w:type="dxa"/>
        <w:jc w:val="left"/>
        <w:tblInd w:w="3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3" w:type="dxa"/>
          <w:bottom w:w="0" w:type="dxa"/>
          <w:right w:w="108" w:type="dxa"/>
        </w:tblCellMar>
      </w:tblPr>
      <w:tblGrid>
        <w:gridCol w:w="9513"/>
      </w:tblGrid>
      <w:tr>
        <w:trPr/>
        <w:tc>
          <w:tcPr>
            <w:tcW w:w="9513"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tcMar>
              <w:left w:w="103" w:type="dxa"/>
            </w:tcMar>
          </w:tcPr>
          <w:p>
            <w:pPr>
              <w:pStyle w:val="Normal"/>
              <w:widowControl/>
              <w:shd w:fill="FFFFFF"/>
              <w:tabs>
                <w:tab w:val="left" w:pos="709" w:leader="none"/>
                <w:tab w:val="left" w:pos="1134" w:leader="none"/>
              </w:tabs>
              <w:bidi w:val="0"/>
              <w:spacing w:lineRule="exact" w:line="271" w:before="2" w:after="0"/>
              <w:ind w:left="0" w:right="0" w:hanging="0"/>
              <w:jc w:val="left"/>
              <w:textAlignment w:val="auto"/>
              <w:rPr>
                <w:lang w:val="en-US"/>
              </w:rPr>
            </w:pPr>
            <w:r>
              <w:rPr>
                <w:sz w:val="22"/>
                <w:szCs w:val="22"/>
                <w:lang w:val="en-US"/>
              </w:rPr>
              <w:t xml:space="preserve">Certificat </w:t>
            </w:r>
            <w:r>
              <w:rPr>
                <w:sz w:val="22"/>
                <w:szCs w:val="22"/>
                <w:lang w:val="ro-RO"/>
              </w:rPr>
              <w:t>AGEPI, PC (program pentru calculator) Nr. 5483. 2016-10-18</w:t>
            </w:r>
          </w:p>
        </w:tc>
      </w:tr>
    </w:tbl>
    <w:p>
      <w:pPr>
        <w:pStyle w:val="Normal"/>
        <w:widowControl/>
        <w:numPr>
          <w:ilvl w:val="0"/>
          <w:numId w:val="108"/>
        </w:numPr>
        <w:tabs>
          <w:tab w:val="left" w:pos="708" w:leader="none"/>
        </w:tabs>
        <w:suppressAutoHyphens w:val="true"/>
        <w:bidi w:val="0"/>
        <w:ind w:left="357" w:right="0" w:hanging="0"/>
        <w:jc w:val="left"/>
        <w:textAlignment w:val="auto"/>
        <w:rPr>
          <w:lang w:val="ro-MD"/>
        </w:rPr>
      </w:pPr>
      <w:r>
        <w:rPr>
          <w:rFonts w:cs="Times New Roman CE" w:ascii="Times New Roman CE" w:hAnsi="Times New Roman CE"/>
          <w:lang w:val="ro-MD"/>
        </w:rPr>
        <w:t>Denumirea şi codul proiectului în cadrul căruia a fost realizată</w:t>
      </w:r>
      <w:r>
        <w:rPr>
          <w:lang w:val="en-US"/>
        </w:rPr>
        <w:t xml:space="preserve"> elaborarea </w:t>
      </w:r>
    </w:p>
    <w:tbl>
      <w:tblPr>
        <w:tblW w:w="9513" w:type="dxa"/>
        <w:jc w:val="left"/>
        <w:tblInd w:w="3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3" w:type="dxa"/>
          <w:bottom w:w="0" w:type="dxa"/>
          <w:right w:w="108" w:type="dxa"/>
        </w:tblCellMar>
      </w:tblPr>
      <w:tblGrid>
        <w:gridCol w:w="9513"/>
      </w:tblGrid>
      <w:tr>
        <w:trPr/>
        <w:tc>
          <w:tcPr>
            <w:tcW w:w="9513"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tcMar>
              <w:left w:w="103" w:type="dxa"/>
            </w:tcMar>
          </w:tcPr>
          <w:p>
            <w:pPr>
              <w:pStyle w:val="Normal"/>
              <w:widowControl/>
              <w:shd w:fill="FFFFFF"/>
              <w:tabs>
                <w:tab w:val="left" w:pos="709" w:leader="none"/>
                <w:tab w:val="left" w:pos="1134" w:leader="none"/>
              </w:tabs>
              <w:bidi w:val="0"/>
              <w:spacing w:lineRule="exact" w:line="271" w:before="2" w:after="0"/>
              <w:ind w:left="0" w:right="0" w:hanging="0"/>
              <w:jc w:val="left"/>
              <w:textAlignment w:val="auto"/>
              <w:rPr/>
            </w:pPr>
            <w:r>
              <w:rPr>
                <w:rFonts w:cs="Times New Roman CE" w:ascii="Times New Roman CE" w:hAnsi="Times New Roman CE"/>
              </w:rPr>
              <w:t>Modele şi tehnologii în ingineria sistemelor inteligente şi a calculului performant</w:t>
            </w:r>
          </w:p>
          <w:p>
            <w:pPr>
              <w:pStyle w:val="Normal"/>
              <w:widowControl/>
              <w:shd w:fill="FFFFFF"/>
              <w:tabs>
                <w:tab w:val="left" w:pos="709" w:leader="none"/>
                <w:tab w:val="left" w:pos="1134" w:leader="none"/>
              </w:tabs>
              <w:bidi w:val="0"/>
              <w:spacing w:lineRule="exact" w:line="271" w:before="2" w:after="0"/>
              <w:ind w:left="0" w:right="0" w:hanging="0"/>
              <w:jc w:val="left"/>
              <w:textAlignment w:val="auto"/>
              <w:rPr/>
            </w:pPr>
            <w:r>
              <w:rPr/>
              <w:t>15.817.02.02A</w:t>
            </w:r>
          </w:p>
        </w:tc>
      </w:tr>
    </w:tbl>
    <w:p>
      <w:pPr>
        <w:pStyle w:val="Normal"/>
        <w:widowControl/>
        <w:numPr>
          <w:ilvl w:val="0"/>
          <w:numId w:val="108"/>
        </w:numPr>
        <w:tabs>
          <w:tab w:val="left" w:pos="708" w:leader="none"/>
        </w:tabs>
        <w:suppressAutoHyphens w:val="true"/>
        <w:bidi w:val="0"/>
        <w:spacing w:lineRule="exact" w:line="360"/>
        <w:ind w:left="357" w:right="0" w:hanging="0"/>
        <w:jc w:val="left"/>
        <w:textAlignment w:val="auto"/>
        <w:rPr>
          <w:lang w:val="ro-MD"/>
        </w:rPr>
      </w:pPr>
      <w:r>
        <w:rPr>
          <w:rFonts w:cs="Times New Roman CE" w:ascii="Times New Roman CE" w:hAnsi="Times New Roman CE"/>
          <w:lang w:val="ro-MD"/>
        </w:rPr>
        <w:t>Organizaţia-executor</w:t>
      </w:r>
    </w:p>
    <w:tbl>
      <w:tblPr>
        <w:tblW w:w="9664" w:type="dxa"/>
        <w:jc w:val="left"/>
        <w:tblInd w:w="367" w:type="dxa"/>
        <w:tblBorders>
          <w:top w:val="single" w:sz="4" w:space="0" w:color="808080"/>
          <w:left w:val="single" w:sz="4" w:space="0" w:color="808080"/>
        </w:tblBorders>
        <w:tblCellMar>
          <w:top w:w="0" w:type="dxa"/>
          <w:left w:w="103" w:type="dxa"/>
          <w:bottom w:w="0" w:type="dxa"/>
          <w:right w:w="108" w:type="dxa"/>
        </w:tblCellMar>
      </w:tblPr>
      <w:tblGrid>
        <w:gridCol w:w="4384"/>
        <w:gridCol w:w="5279"/>
      </w:tblGrid>
      <w:tr>
        <w:trPr>
          <w:trHeight w:val="295" w:hRule="atLeast"/>
        </w:trPr>
        <w:tc>
          <w:tcPr>
            <w:tcW w:w="4384" w:type="dxa"/>
            <w:tcBorders>
              <w:top w:val="single" w:sz="4" w:space="0" w:color="808080"/>
              <w:left w:val="single" w:sz="4" w:space="0" w:color="808080"/>
            </w:tcBorders>
            <w:shd w:fill="auto" w:val="clear"/>
            <w:tcMar>
              <w:left w:w="103" w:type="dxa"/>
            </w:tcMar>
          </w:tcPr>
          <w:p>
            <w:pPr>
              <w:pStyle w:val="Normal"/>
              <w:widowControl/>
              <w:bidi w:val="0"/>
              <w:ind w:left="0" w:right="0" w:hanging="0"/>
              <w:jc w:val="left"/>
              <w:textAlignment w:val="auto"/>
              <w:rPr>
                <w:lang w:val="ro-MD"/>
              </w:rPr>
            </w:pPr>
            <w:r>
              <w:rPr>
                <w:lang w:val="ro-MD"/>
              </w:rPr>
              <w:t>Denumir</w:t>
            </w:r>
            <w:r>
              <w:rPr>
                <w:rFonts w:cs="Times New Roman CE" w:ascii="Times New Roman CE" w:hAnsi="Times New Roman CE"/>
                <w:lang w:val="ro-MD"/>
              </w:rPr>
              <w:t>ea organizaţiei</w:t>
            </w:r>
          </w:p>
        </w:tc>
        <w:tc>
          <w:tcPr>
            <w:tcW w:w="5279" w:type="dxa"/>
            <w:tcBorders>
              <w:top w:val="single" w:sz="4" w:space="0" w:color="808080"/>
              <w:right w:val="single" w:sz="4" w:space="0" w:color="808080"/>
              <w:insideV w:val="single" w:sz="4" w:space="0" w:color="808080"/>
            </w:tcBorders>
            <w:shd w:fill="auto" w:val="clear"/>
          </w:tcPr>
          <w:p>
            <w:pPr>
              <w:pStyle w:val="Normal"/>
              <w:widowControl/>
              <w:bidi w:val="0"/>
              <w:ind w:left="0" w:right="0" w:hanging="0"/>
              <w:jc w:val="left"/>
              <w:textAlignment w:val="auto"/>
              <w:rPr>
                <w:lang w:val="ro-MD"/>
              </w:rPr>
            </w:pPr>
            <w:r>
              <w:rPr>
                <w:rFonts w:cs="Times New Roman CE" w:ascii="Times New Roman CE" w:hAnsi="Times New Roman CE"/>
                <w:bCs/>
                <w:lang w:val="ro-MD"/>
              </w:rPr>
              <w:t>Institutul de Matematică şi Informatică al AŞM</w:t>
            </w:r>
          </w:p>
        </w:tc>
      </w:tr>
      <w:tr>
        <w:trPr>
          <w:trHeight w:val="292" w:hRule="atLeast"/>
        </w:trPr>
        <w:tc>
          <w:tcPr>
            <w:tcW w:w="4384" w:type="dxa"/>
            <w:tcBorders>
              <w:left w:val="single" w:sz="4" w:space="0" w:color="808080"/>
            </w:tcBorders>
            <w:shd w:fill="auto" w:val="clear"/>
            <w:tcMar>
              <w:left w:w="103" w:type="dxa"/>
            </w:tcMar>
          </w:tcPr>
          <w:p>
            <w:pPr>
              <w:pStyle w:val="Normal"/>
              <w:widowControl/>
              <w:bidi w:val="0"/>
              <w:ind w:left="0" w:right="0" w:hanging="0"/>
              <w:jc w:val="left"/>
              <w:textAlignment w:val="auto"/>
              <w:rPr>
                <w:lang w:val="ro-MD"/>
              </w:rPr>
            </w:pPr>
            <w:r>
              <w:rPr>
                <w:lang w:val="ro-MD"/>
              </w:rPr>
              <w:t>Localitate</w:t>
            </w:r>
          </w:p>
        </w:tc>
        <w:tc>
          <w:tcPr>
            <w:tcW w:w="5279" w:type="dxa"/>
            <w:tcBorders>
              <w:right w:val="single" w:sz="4" w:space="0" w:color="808080"/>
              <w:insideV w:val="single" w:sz="4" w:space="0" w:color="808080"/>
            </w:tcBorders>
            <w:shd w:fill="auto" w:val="clear"/>
          </w:tcPr>
          <w:p>
            <w:pPr>
              <w:pStyle w:val="Normal"/>
              <w:widowControl/>
              <w:bidi w:val="0"/>
              <w:ind w:left="0" w:right="0" w:hanging="0"/>
              <w:jc w:val="left"/>
              <w:textAlignment w:val="auto"/>
              <w:rPr>
                <w:lang w:val="ro-MD"/>
              </w:rPr>
            </w:pPr>
            <w:r>
              <w:rPr>
                <w:rFonts w:cs="Times New Roman CE" w:ascii="Times New Roman CE" w:hAnsi="Times New Roman CE"/>
                <w:bCs/>
                <w:lang w:val="ro-MD"/>
              </w:rPr>
              <w:t>Chişinău</w:t>
            </w:r>
          </w:p>
        </w:tc>
      </w:tr>
      <w:tr>
        <w:trPr>
          <w:trHeight w:val="292" w:hRule="atLeast"/>
        </w:trPr>
        <w:tc>
          <w:tcPr>
            <w:tcW w:w="4384" w:type="dxa"/>
            <w:tcBorders>
              <w:left w:val="single" w:sz="4" w:space="0" w:color="808080"/>
            </w:tcBorders>
            <w:shd w:fill="auto" w:val="clear"/>
            <w:tcMar>
              <w:left w:w="103" w:type="dxa"/>
            </w:tcMar>
          </w:tcPr>
          <w:p>
            <w:pPr>
              <w:pStyle w:val="Normal"/>
              <w:widowControl/>
              <w:bidi w:val="0"/>
              <w:ind w:left="0" w:right="0" w:hanging="0"/>
              <w:jc w:val="left"/>
              <w:textAlignment w:val="auto"/>
              <w:rPr>
                <w:lang w:val="ro-MD"/>
              </w:rPr>
            </w:pPr>
            <w:r>
              <w:rPr>
                <w:color w:val="000000"/>
                <w:lang w:val="ro-MD"/>
              </w:rPr>
              <w:t>Telefon/Fax</w:t>
            </w:r>
          </w:p>
        </w:tc>
        <w:tc>
          <w:tcPr>
            <w:tcW w:w="5279" w:type="dxa"/>
            <w:tcBorders>
              <w:right w:val="single" w:sz="4" w:space="0" w:color="808080"/>
              <w:insideV w:val="single" w:sz="4" w:space="0" w:color="808080"/>
            </w:tcBorders>
            <w:shd w:fill="auto" w:val="clear"/>
          </w:tcPr>
          <w:p>
            <w:pPr>
              <w:pStyle w:val="Normal"/>
              <w:widowControl/>
              <w:bidi w:val="0"/>
              <w:ind w:left="0" w:right="0" w:hanging="0"/>
              <w:jc w:val="left"/>
              <w:textAlignment w:val="auto"/>
              <w:rPr>
                <w:lang w:val="ro-MD"/>
              </w:rPr>
            </w:pPr>
            <w:r>
              <w:rPr>
                <w:bCs/>
                <w:lang w:val="ro-MD"/>
              </w:rPr>
              <w:t>022 725982</w:t>
            </w:r>
          </w:p>
        </w:tc>
      </w:tr>
      <w:tr>
        <w:trPr>
          <w:trHeight w:val="292" w:hRule="atLeast"/>
        </w:trPr>
        <w:tc>
          <w:tcPr>
            <w:tcW w:w="4384" w:type="dxa"/>
            <w:tcBorders>
              <w:left w:val="single" w:sz="4" w:space="0" w:color="808080"/>
              <w:bottom w:val="single" w:sz="4" w:space="0" w:color="808080"/>
              <w:insideH w:val="single" w:sz="4" w:space="0" w:color="808080"/>
            </w:tcBorders>
            <w:shd w:fill="auto" w:val="clear"/>
            <w:tcMar>
              <w:left w:w="103" w:type="dxa"/>
            </w:tcMar>
          </w:tcPr>
          <w:p>
            <w:pPr>
              <w:pStyle w:val="Normal"/>
              <w:widowControl/>
              <w:bidi w:val="0"/>
              <w:ind w:left="0" w:right="0" w:hanging="0"/>
              <w:jc w:val="left"/>
              <w:textAlignment w:val="auto"/>
              <w:rPr>
                <w:lang w:val="ro-MD"/>
              </w:rPr>
            </w:pPr>
            <w:r>
              <w:rPr>
                <w:color w:val="000000"/>
                <w:lang w:val="ro-MD"/>
              </w:rPr>
              <w:t>E-mail/Pagina WEB</w:t>
            </w:r>
          </w:p>
        </w:tc>
        <w:tc>
          <w:tcPr>
            <w:tcW w:w="5279" w:type="dxa"/>
            <w:tcBorders>
              <w:bottom w:val="single" w:sz="4" w:space="0" w:color="808080"/>
              <w:right w:val="single" w:sz="4" w:space="0" w:color="808080"/>
              <w:insideH w:val="single" w:sz="4" w:space="0" w:color="808080"/>
              <w:insideV w:val="single" w:sz="4" w:space="0" w:color="808080"/>
            </w:tcBorders>
            <w:shd w:fill="auto" w:val="clear"/>
          </w:tcPr>
          <w:p>
            <w:pPr>
              <w:pStyle w:val="Normal"/>
              <w:widowControl/>
              <w:bidi w:val="0"/>
              <w:ind w:left="0" w:right="0" w:hanging="0"/>
              <w:jc w:val="left"/>
              <w:textAlignment w:val="auto"/>
              <w:rPr/>
            </w:pPr>
            <w:hyperlink r:id="rId47">
              <w:r>
                <w:rPr>
                  <w:webHidden/>
                  <w:rStyle w:val="Style5"/>
                  <w:bCs/>
                  <w:color w:val="0000FF"/>
                  <w:u w:val="single"/>
                  <w:lang w:val="ro-MD"/>
                </w:rPr>
                <w:t>imam@math.md</w:t>
              </w:r>
            </w:hyperlink>
            <w:r>
              <w:rPr>
                <w:bCs/>
                <w:lang w:val="ro-MD"/>
              </w:rPr>
              <w:t xml:space="preserve"> </w:t>
            </w:r>
            <w:r>
              <w:rPr>
                <w:bCs/>
                <w:lang w:val="ro-RO"/>
              </w:rPr>
              <w:t>/ www.math.md</w:t>
            </w:r>
          </w:p>
        </w:tc>
      </w:tr>
    </w:tbl>
    <w:p>
      <w:pPr>
        <w:pStyle w:val="Normal"/>
        <w:widowControl/>
        <w:numPr>
          <w:ilvl w:val="0"/>
          <w:numId w:val="108"/>
        </w:numPr>
        <w:tabs>
          <w:tab w:val="left" w:pos="708" w:leader="none"/>
        </w:tabs>
        <w:suppressAutoHyphens w:val="true"/>
        <w:bidi w:val="0"/>
        <w:spacing w:lineRule="exact" w:line="360"/>
        <w:ind w:left="180" w:right="0" w:hanging="0"/>
        <w:jc w:val="left"/>
        <w:textAlignment w:val="auto"/>
        <w:rPr>
          <w:lang w:val="ro-MD"/>
        </w:rPr>
      </w:pPr>
      <w:r>
        <w:rPr>
          <w:rFonts w:cs="Times New Roman CE" w:ascii="Times New Roman CE" w:hAnsi="Times New Roman CE"/>
          <w:lang w:val="ro-MD"/>
        </w:rPr>
        <w:t xml:space="preserve">Autorii elaborării </w:t>
      </w:r>
    </w:p>
    <w:tbl>
      <w:tblPr>
        <w:tblW w:w="9664" w:type="dxa"/>
        <w:jc w:val="left"/>
        <w:tblInd w:w="3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3" w:type="dxa"/>
          <w:bottom w:w="0" w:type="dxa"/>
          <w:right w:w="108" w:type="dxa"/>
        </w:tblCellMar>
      </w:tblPr>
      <w:tblGrid>
        <w:gridCol w:w="9664"/>
      </w:tblGrid>
      <w:tr>
        <w:trPr>
          <w:trHeight w:val="440" w:hRule="atLeast"/>
        </w:trPr>
        <w:tc>
          <w:tcPr>
            <w:tcW w:w="9664"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tcMar>
              <w:left w:w="103" w:type="dxa"/>
            </w:tcMar>
            <w:vAlign w:val="center"/>
          </w:tcPr>
          <w:p>
            <w:pPr>
              <w:pStyle w:val="Normal"/>
              <w:widowControl/>
              <w:bidi w:val="0"/>
              <w:ind w:left="0" w:right="0" w:hanging="0"/>
              <w:jc w:val="left"/>
              <w:textAlignment w:val="auto"/>
              <w:rPr>
                <w:lang w:val="ro-RO"/>
              </w:rPr>
            </w:pPr>
            <w:r>
              <w:rPr>
                <w:i/>
                <w:color w:val="000000"/>
                <w:sz w:val="22"/>
                <w:szCs w:val="22"/>
                <w:lang w:val="ro-RO"/>
              </w:rPr>
              <w:t>ALBU Veaceslav</w:t>
            </w:r>
          </w:p>
          <w:p>
            <w:pPr>
              <w:pStyle w:val="Normal"/>
              <w:widowControl/>
              <w:bidi w:val="0"/>
              <w:ind w:left="0" w:right="0" w:hanging="0"/>
              <w:jc w:val="left"/>
              <w:textAlignment w:val="auto"/>
              <w:rPr>
                <w:lang w:val="ro-RO"/>
              </w:rPr>
            </w:pPr>
            <w:r>
              <w:rPr>
                <w:i/>
                <w:color w:val="000000"/>
                <w:sz w:val="22"/>
                <w:szCs w:val="22"/>
                <w:lang w:val="ro-RO"/>
              </w:rPr>
              <w:t xml:space="preserve">022-725982, </w:t>
            </w:r>
            <w:r>
              <w:rPr>
                <w:i/>
                <w:color w:val="000000"/>
                <w:sz w:val="22"/>
                <w:szCs w:val="22"/>
                <w:lang w:val="en-US"/>
              </w:rPr>
              <w:t>i</w:t>
            </w:r>
            <w:r>
              <w:rPr>
                <w:i/>
                <w:color w:val="000000"/>
                <w:sz w:val="22"/>
                <w:szCs w:val="22"/>
                <w:lang w:val="ro-RO"/>
              </w:rPr>
              <w:t>mam</w:t>
            </w:r>
            <w:r>
              <w:rPr>
                <w:i/>
                <w:color w:val="000000"/>
                <w:sz w:val="22"/>
                <w:szCs w:val="22"/>
                <w:lang w:val="en-US"/>
              </w:rPr>
              <w:t>@math.md</w:t>
            </w:r>
          </w:p>
        </w:tc>
      </w:tr>
    </w:tbl>
    <w:p>
      <w:pPr>
        <w:pStyle w:val="Normal"/>
        <w:widowControl/>
        <w:numPr>
          <w:ilvl w:val="0"/>
          <w:numId w:val="108"/>
        </w:numPr>
        <w:tabs>
          <w:tab w:val="left" w:pos="708" w:leader="none"/>
        </w:tabs>
        <w:suppressAutoHyphens w:val="true"/>
        <w:bidi w:val="0"/>
        <w:spacing w:lineRule="exact" w:line="360"/>
        <w:ind w:left="180" w:right="0" w:hanging="0"/>
        <w:jc w:val="left"/>
        <w:textAlignment w:val="auto"/>
        <w:rPr>
          <w:lang w:val="ro-MD"/>
        </w:rPr>
      </w:pPr>
      <w:r>
        <w:rPr>
          <w:bCs/>
          <w:lang w:val="ro-MD"/>
        </w:rPr>
        <w:t>Desc</w:t>
      </w:r>
      <w:r>
        <w:rPr>
          <w:rFonts w:cs="Times New Roman CE" w:ascii="Times New Roman CE" w:hAnsi="Times New Roman CE"/>
          <w:bCs/>
          <w:lang w:val="ro-MD"/>
        </w:rPr>
        <w:t>rierea elaborării (pînă la 150 de cuvinte)</w:t>
      </w:r>
    </w:p>
    <w:tbl>
      <w:tblPr>
        <w:tblW w:w="9664" w:type="dxa"/>
        <w:jc w:val="left"/>
        <w:tblInd w:w="3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3" w:type="dxa"/>
          <w:bottom w:w="0" w:type="dxa"/>
          <w:right w:w="108" w:type="dxa"/>
        </w:tblCellMar>
      </w:tblPr>
      <w:tblGrid>
        <w:gridCol w:w="9664"/>
      </w:tblGrid>
      <w:tr>
        <w:trPr/>
        <w:tc>
          <w:tcPr>
            <w:tcW w:w="9664"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tcMar>
              <w:left w:w="103" w:type="dxa"/>
            </w:tcMar>
          </w:tcPr>
          <w:p>
            <w:pPr>
              <w:pStyle w:val="Style10"/>
              <w:widowControl/>
              <w:bidi w:val="0"/>
              <w:ind w:left="0" w:right="0" w:hanging="0"/>
              <w:jc w:val="both"/>
              <w:textAlignment w:val="auto"/>
              <w:rPr>
                <w:lang w:val="ro-RO"/>
              </w:rPr>
            </w:pPr>
            <w:r>
              <w:rPr>
                <w:rFonts w:cs="Times New Roman CE" w:ascii="Times New Roman CE" w:hAnsi="Times New Roman CE"/>
                <w:b/>
                <w:sz w:val="22"/>
                <w:szCs w:val="22"/>
                <w:lang w:val="ro-RO"/>
              </w:rPr>
              <w:t>Algoritmii de bază:</w:t>
            </w:r>
            <w:r>
              <w:rPr>
                <w:rFonts w:cs="Times New Roman CE" w:ascii="Times New Roman CE" w:hAnsi="Times New Roman CE"/>
                <w:sz w:val="22"/>
                <w:szCs w:val="22"/>
                <w:lang w:val="ro-RO"/>
              </w:rPr>
              <w:t xml:space="preserve"> reţele neurale modulare de tip SOM-based (self-organizing maps based) cu  reţele neurale de tip RSOM (Recurrent Self-Organizing Map), VQTAM (Vector Quantized Temporal Associative Memory) şi RBF (Radial Basis Function network) în calitate de module, care permit un spectru larg  de aplicaţii în procesarea datelor, analiză temporală, recunoaşterea imaginilor etc.</w:t>
            </w:r>
          </w:p>
          <w:p>
            <w:pPr>
              <w:pStyle w:val="Style10"/>
              <w:widowControl/>
              <w:bidi w:val="0"/>
              <w:ind w:left="0" w:right="0" w:hanging="0"/>
              <w:jc w:val="both"/>
              <w:textAlignment w:val="auto"/>
              <w:rPr>
                <w:lang w:val="it-IT"/>
              </w:rPr>
            </w:pPr>
            <w:r>
              <w:rPr>
                <w:rFonts w:cs="Times New Roman CE" w:ascii="Times New Roman CE" w:hAnsi="Times New Roman CE"/>
                <w:sz w:val="22"/>
                <w:szCs w:val="22"/>
                <w:lang w:val="it-IT"/>
              </w:rPr>
              <w:t>Programul propus pentru înregistrare este o parte componentă a unui sistem scris în limbajul de programare Python, care implementează reţeaua neurală modulară, o  configurează, o antrenează şi rulează pe eşantioane de date. Programul acceptă date video preprocesate şi antrenează reţeaua configurată anterior sau rulează pe datele furnizate. Tipul reţelei neurale modulare poate fi configurat pentru unul dintre următoarele tipuri de module: RSOM, VQTAM sau RBF.</w:t>
            </w:r>
          </w:p>
          <w:p>
            <w:pPr>
              <w:pStyle w:val="Style10"/>
              <w:widowControl/>
              <w:bidi w:val="0"/>
              <w:ind w:left="0" w:right="0" w:hanging="0"/>
              <w:jc w:val="both"/>
              <w:textAlignment w:val="auto"/>
              <w:rPr>
                <w:lang w:val="it-IT"/>
              </w:rPr>
            </w:pPr>
            <w:r>
              <w:rPr>
                <w:rFonts w:cs="Times New Roman CE" w:ascii="Times New Roman CE" w:hAnsi="Times New Roman CE"/>
                <w:sz w:val="22"/>
                <w:szCs w:val="22"/>
                <w:lang w:val="it-IT"/>
              </w:rPr>
              <w:t>O reţea de funcţii radiale de bază (RBF) este o reţea neurală artificială care utilizează funcţii de bază radiale în calitate de funcţii de activare. Ieşirea reţelei este o combinaţie liniară a funcţiilor de bază radiale ale intrărilor şi parametrii neuronului. RSOM, VQTAM şi RBF sunt utilizate pentru modificarea hărţilor de auto-organizare a lui Kohonen, care sunt foarte potrivite pentru</w:t>
            </w:r>
            <w:r>
              <w:rPr>
                <w:sz w:val="22"/>
                <w:szCs w:val="22"/>
                <w:lang w:val="it-IT"/>
              </w:rPr>
              <w:t xml:space="preserve"> prelucrarea datelor temporale, de exemplu procesare video.</w:t>
            </w:r>
          </w:p>
          <w:p>
            <w:pPr>
              <w:pStyle w:val="Style10"/>
              <w:widowControl/>
              <w:bidi w:val="0"/>
              <w:spacing w:before="0" w:after="120"/>
              <w:ind w:left="0" w:right="0" w:hanging="0"/>
              <w:jc w:val="both"/>
              <w:textAlignment w:val="auto"/>
              <w:rPr>
                <w:lang w:val="it-IT"/>
              </w:rPr>
            </w:pPr>
            <w:r>
              <w:rPr>
                <w:rFonts w:cs="Times New Roman CE" w:ascii="Times New Roman CE" w:hAnsi="Times New Roman CE"/>
                <w:color w:val="000000"/>
                <w:sz w:val="22"/>
                <w:szCs w:val="22"/>
                <w:lang w:val="it-IT"/>
              </w:rPr>
              <w:t>Pentru a executa programul este necesar de definit funcţia de vecinătate şi  funcţiile unitare măsurate cel mai bine, care sunt cele mai potrivite pentru problema propusă.</w:t>
            </w:r>
          </w:p>
        </w:tc>
      </w:tr>
    </w:tbl>
    <w:p>
      <w:pPr>
        <w:pStyle w:val="Normal"/>
        <w:widowControl/>
        <w:numPr>
          <w:ilvl w:val="0"/>
          <w:numId w:val="108"/>
        </w:numPr>
        <w:tabs>
          <w:tab w:val="left" w:pos="708" w:leader="none"/>
        </w:tabs>
        <w:suppressAutoHyphens w:val="true"/>
        <w:bidi w:val="0"/>
        <w:ind w:left="180" w:right="0" w:hanging="0"/>
        <w:jc w:val="both"/>
        <w:textAlignment w:val="auto"/>
        <w:rPr>
          <w:lang w:val="ro-RO"/>
        </w:rPr>
      </w:pPr>
      <w:r>
        <w:rPr>
          <w:rFonts w:cs="Times New Roman CE" w:ascii="Times New Roman CE" w:hAnsi="Times New Roman CE"/>
          <w:lang w:val="ro-RO"/>
        </w:rPr>
        <w:t xml:space="preserve">Tipul elaborării: </w:t>
      </w:r>
    </w:p>
    <w:tbl>
      <w:tblPr>
        <w:tblW w:w="9664" w:type="dxa"/>
        <w:jc w:val="left"/>
        <w:tblInd w:w="3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3" w:type="dxa"/>
          <w:bottom w:w="0" w:type="dxa"/>
          <w:right w:w="108" w:type="dxa"/>
        </w:tblCellMar>
      </w:tblPr>
      <w:tblGrid>
        <w:gridCol w:w="9664"/>
      </w:tblGrid>
      <w:tr>
        <w:trPr/>
        <w:tc>
          <w:tcPr>
            <w:tcW w:w="9664"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tcMar>
              <w:left w:w="103" w:type="dxa"/>
            </w:tcMar>
          </w:tcPr>
          <w:p>
            <w:pPr>
              <w:pStyle w:val="Normal"/>
              <w:widowControl/>
              <w:bidi w:val="0"/>
              <w:ind w:left="426" w:right="0" w:hanging="0"/>
              <w:jc w:val="both"/>
              <w:textAlignment w:val="auto"/>
              <w:rPr>
                <w:lang w:val="ro-MD"/>
              </w:rPr>
            </w:pPr>
            <w:r>
              <w:rPr>
                <w:bCs/>
                <w:i/>
                <w:iCs/>
                <w:sz w:val="22"/>
                <w:szCs w:val="22"/>
                <w:lang w:val="ro-MD"/>
              </w:rPr>
              <w:t>Se e</w:t>
            </w:r>
            <w:r>
              <w:rPr>
                <w:rFonts w:cs="Times New Roman CE" w:ascii="Times New Roman CE" w:hAnsi="Times New Roman CE"/>
                <w:bCs/>
                <w:i/>
                <w:iCs/>
                <w:sz w:val="22"/>
                <w:szCs w:val="22"/>
                <w:lang w:val="ro-MD"/>
              </w:rPr>
              <w:t xml:space="preserve">videnţiază </w:t>
            </w:r>
            <w:r>
              <w:rPr>
                <w:rFonts w:cs="Times New Roman CE" w:ascii="Times New Roman CE" w:hAnsi="Times New Roman CE"/>
                <w:bCs/>
                <w:i/>
                <w:sz w:val="22"/>
                <w:szCs w:val="22"/>
                <w:lang w:val="ro-MD"/>
              </w:rPr>
              <w:t>tipul elaborării:</w:t>
            </w:r>
          </w:p>
          <w:p>
            <w:pPr>
              <w:pStyle w:val="Normal"/>
              <w:widowControl/>
              <w:bidi w:val="0"/>
              <w:ind w:left="432" w:right="0" w:hanging="0"/>
              <w:jc w:val="both"/>
              <w:textAlignment w:val="auto"/>
              <w:rPr>
                <w:lang w:val="ro-RO"/>
              </w:rPr>
            </w:pPr>
            <w:r>
              <w:rPr>
                <w:b/>
                <w:bCs/>
                <w:sz w:val="22"/>
                <w:szCs w:val="22"/>
                <w:lang w:val="ro-RO"/>
              </w:rPr>
              <w:t>Program pentru calculator</w:t>
            </w:r>
          </w:p>
        </w:tc>
      </w:tr>
    </w:tbl>
    <w:p>
      <w:pPr>
        <w:pStyle w:val="Normal"/>
        <w:widowControl/>
        <w:numPr>
          <w:ilvl w:val="0"/>
          <w:numId w:val="108"/>
        </w:numPr>
        <w:tabs>
          <w:tab w:val="left" w:pos="708" w:leader="none"/>
        </w:tabs>
        <w:suppressAutoHyphens w:val="true"/>
        <w:bidi w:val="0"/>
        <w:ind w:left="180" w:right="0" w:hanging="0"/>
        <w:jc w:val="left"/>
        <w:textAlignment w:val="auto"/>
        <w:rPr>
          <w:lang w:val="ro-MD"/>
        </w:rPr>
      </w:pPr>
      <w:r>
        <w:rPr>
          <w:rFonts w:cs="Times New Roman CE" w:ascii="Times New Roman CE" w:hAnsi="Times New Roman CE"/>
          <w:bCs/>
          <w:lang w:val="ro-MD"/>
        </w:rPr>
        <w:t xml:space="preserve">Costul estimativ total al elaborării, </w:t>
      </w:r>
      <w:r>
        <w:rPr>
          <w:bCs/>
          <w:u w:val="single"/>
          <w:lang w:val="ro-MD"/>
        </w:rPr>
        <w:t>domeniul de implementare</w:t>
      </w:r>
      <w:r>
        <w:rPr>
          <w:rFonts w:cs="Times New Roman CE" w:ascii="Times New Roman CE" w:hAnsi="Times New Roman CE"/>
          <w:bCs/>
          <w:lang w:val="ro-MD"/>
        </w:rPr>
        <w:t xml:space="preserve"> şi evaluarea potenţialului economic în urma implementării</w:t>
      </w:r>
    </w:p>
    <w:tbl>
      <w:tblPr>
        <w:tblW w:w="9664" w:type="dxa"/>
        <w:jc w:val="left"/>
        <w:tblInd w:w="3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3" w:type="dxa"/>
          <w:bottom w:w="0" w:type="dxa"/>
          <w:right w:w="108" w:type="dxa"/>
        </w:tblCellMar>
      </w:tblPr>
      <w:tblGrid>
        <w:gridCol w:w="9664"/>
      </w:tblGrid>
      <w:tr>
        <w:trPr/>
        <w:tc>
          <w:tcPr>
            <w:tcW w:w="9664"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tcMar>
              <w:left w:w="103" w:type="dxa"/>
            </w:tcMar>
          </w:tcPr>
          <w:p>
            <w:pPr>
              <w:pStyle w:val="Style10"/>
              <w:widowControl/>
              <w:bidi w:val="0"/>
              <w:spacing w:lineRule="atLeast" w:line="200" w:before="0" w:after="120"/>
              <w:ind w:left="0" w:right="0" w:hanging="0"/>
              <w:jc w:val="both"/>
              <w:textAlignment w:val="auto"/>
              <w:rPr>
                <w:lang w:val="it-IT"/>
              </w:rPr>
            </w:pPr>
            <w:r>
              <w:rPr>
                <w:rFonts w:cs="Times New Roman CE" w:ascii="Times New Roman CE" w:hAnsi="Times New Roman CE"/>
                <w:b/>
                <w:bCs/>
                <w:sz w:val="22"/>
                <w:szCs w:val="22"/>
                <w:lang w:val="it-IT"/>
              </w:rPr>
              <w:t>Domeniul de aplicaţie:</w:t>
            </w:r>
            <w:r>
              <w:rPr>
                <w:rFonts w:cs="Times New Roman CE" w:ascii="Times New Roman CE" w:hAnsi="Times New Roman CE"/>
                <w:bCs/>
                <w:sz w:val="22"/>
                <w:szCs w:val="22"/>
                <w:lang w:val="it-IT"/>
              </w:rPr>
              <w:t xml:space="preserve"> observaţii şi măsurări statistice ale stărilor emoţionale umane în timpul unei sesiuni de interacţiune cu un produs software (sau cu un complex de hardware şi software).</w:t>
            </w:r>
          </w:p>
        </w:tc>
      </w:tr>
    </w:tbl>
    <w:p>
      <w:pPr>
        <w:pStyle w:val="Normal"/>
        <w:widowControl/>
        <w:numPr>
          <w:ilvl w:val="0"/>
          <w:numId w:val="108"/>
        </w:numPr>
        <w:tabs>
          <w:tab w:val="left" w:pos="708" w:leader="none"/>
        </w:tabs>
        <w:suppressAutoHyphens w:val="true"/>
        <w:bidi w:val="0"/>
        <w:ind w:left="180" w:right="0" w:hanging="0"/>
        <w:jc w:val="left"/>
        <w:textAlignment w:val="auto"/>
        <w:rPr>
          <w:lang w:val="ro-MD"/>
        </w:rPr>
      </w:pPr>
      <w:r>
        <w:rPr>
          <w:rFonts w:cs="Times New Roman CE" w:ascii="Times New Roman CE" w:hAnsi="Times New Roman CE"/>
          <w:lang w:val="ro-MD"/>
        </w:rPr>
        <w:t>Caracteristici tehnice şi economice, încercări experimentale</w:t>
      </w:r>
    </w:p>
    <w:tbl>
      <w:tblPr>
        <w:tblW w:w="9664" w:type="dxa"/>
        <w:jc w:val="left"/>
        <w:tblInd w:w="3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3" w:type="dxa"/>
          <w:bottom w:w="0" w:type="dxa"/>
          <w:right w:w="108" w:type="dxa"/>
        </w:tblCellMar>
      </w:tblPr>
      <w:tblGrid>
        <w:gridCol w:w="9664"/>
      </w:tblGrid>
      <w:tr>
        <w:trPr/>
        <w:tc>
          <w:tcPr>
            <w:tcW w:w="9664"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tcMar>
              <w:left w:w="103" w:type="dxa"/>
            </w:tcMar>
          </w:tcPr>
          <w:p>
            <w:pPr>
              <w:pStyle w:val="Normal"/>
              <w:widowControl/>
              <w:bidi w:val="0"/>
              <w:ind w:left="0" w:right="0" w:hanging="0"/>
              <w:jc w:val="both"/>
              <w:textAlignment w:val="auto"/>
              <w:rPr>
                <w:lang w:val="ro-RO"/>
              </w:rPr>
            </w:pPr>
            <w:r>
              <w:rPr>
                <w:rFonts w:cs="Times New Roman CE" w:ascii="Times New Roman CE" w:hAnsi="Times New Roman CE"/>
                <w:i/>
                <w:sz w:val="22"/>
                <w:szCs w:val="22"/>
                <w:lang w:val="ro-RO"/>
              </w:rPr>
              <w:t>A fost deja efectuată exploatarea experimentală a elaborării? Descrieţi rezultat</w:t>
            </w:r>
            <w:r>
              <w:rPr>
                <w:i/>
                <w:sz w:val="22"/>
                <w:szCs w:val="22"/>
                <w:lang w:val="ro-RO"/>
              </w:rPr>
              <w:t>ele.</w:t>
            </w:r>
            <w:r>
              <w:rPr/>
              <w:br/>
            </w:r>
            <w:r>
              <w:rPr>
                <w:rFonts w:cs="Times New Roman CE" w:ascii="Times New Roman CE" w:hAnsi="Times New Roman CE"/>
                <w:sz w:val="22"/>
                <w:szCs w:val="22"/>
                <w:lang w:val="ro-RO"/>
              </w:rPr>
              <w:t>Funcţionalităţi:</w:t>
            </w:r>
          </w:p>
          <w:p>
            <w:pPr>
              <w:pStyle w:val="Normal"/>
              <w:widowControl/>
              <w:bidi w:val="0"/>
              <w:ind w:left="0" w:right="0" w:hanging="0"/>
              <w:jc w:val="both"/>
              <w:textAlignment w:val="auto"/>
              <w:rPr/>
            </w:pPr>
            <w:r>
              <w:rPr>
                <w:rFonts w:cs="Times New Roman CE" w:ascii="Times New Roman CE" w:hAnsi="Times New Roman CE"/>
                <w:sz w:val="22"/>
                <w:szCs w:val="22"/>
                <w:lang w:val="ro-RO"/>
              </w:rPr>
              <w:t xml:space="preserve">• </w:t>
            </w:r>
            <w:r>
              <w:rPr>
                <w:rFonts w:cs="Times New Roman CE" w:ascii="Times New Roman CE" w:hAnsi="Times New Roman CE"/>
                <w:sz w:val="22"/>
                <w:szCs w:val="22"/>
                <w:lang w:val="ro-RO"/>
              </w:rPr>
              <w:t>Configurarea reţelei modulare,</w:t>
            </w:r>
          </w:p>
          <w:p>
            <w:pPr>
              <w:pStyle w:val="Normal"/>
              <w:widowControl/>
              <w:bidi w:val="0"/>
              <w:ind w:left="0" w:right="0" w:hanging="0"/>
              <w:jc w:val="both"/>
              <w:textAlignment w:val="auto"/>
              <w:rPr>
                <w:lang w:val="ro-RO"/>
              </w:rPr>
            </w:pPr>
            <w:r>
              <w:rPr>
                <w:sz w:val="22"/>
                <w:szCs w:val="22"/>
                <w:lang w:val="ro-RO"/>
              </w:rPr>
              <w:t xml:space="preserve">• </w:t>
            </w:r>
            <w:r>
              <w:rPr>
                <w:sz w:val="22"/>
                <w:szCs w:val="22"/>
                <w:lang w:val="ro-RO"/>
              </w:rPr>
              <w:t>Abilitatea de a alege modulele din gama RSOM, VQTAM sau RBF,</w:t>
            </w:r>
          </w:p>
          <w:p>
            <w:pPr>
              <w:pStyle w:val="Normal"/>
              <w:widowControl/>
              <w:bidi w:val="0"/>
              <w:ind w:left="0" w:right="0" w:hanging="0"/>
              <w:jc w:val="both"/>
              <w:textAlignment w:val="auto"/>
              <w:rPr>
                <w:lang w:val="ro-RO"/>
              </w:rPr>
            </w:pPr>
            <w:r>
              <w:rPr>
                <w:rFonts w:cs="Times New Roman CE" w:ascii="Times New Roman CE" w:hAnsi="Times New Roman CE"/>
                <w:sz w:val="22"/>
                <w:szCs w:val="22"/>
                <w:lang w:val="ro-RO"/>
              </w:rPr>
              <w:t xml:space="preserve">• </w:t>
            </w:r>
            <w:r>
              <w:rPr>
                <w:rFonts w:cs="Times New Roman CE" w:ascii="Times New Roman CE" w:hAnsi="Times New Roman CE"/>
                <w:sz w:val="22"/>
                <w:szCs w:val="22"/>
                <w:lang w:val="ro-RO"/>
              </w:rPr>
              <w:t>Formarea şi rularea reţelei neuronale pe seturile  de date furnizate.</w:t>
            </w:r>
          </w:p>
          <w:p>
            <w:pPr>
              <w:pStyle w:val="Normal"/>
              <w:widowControl/>
              <w:bidi w:val="0"/>
              <w:ind w:left="0" w:right="0" w:hanging="0"/>
              <w:jc w:val="both"/>
              <w:textAlignment w:val="auto"/>
              <w:rPr>
                <w:lang w:val="ro-RO"/>
              </w:rPr>
            </w:pPr>
            <w:r>
              <w:rPr>
                <w:sz w:val="22"/>
                <w:szCs w:val="22"/>
                <w:lang w:val="ro-RO"/>
              </w:rPr>
              <w:t>Mediul de programare: Python 2.7</w:t>
            </w:r>
          </w:p>
        </w:tc>
      </w:tr>
    </w:tbl>
    <w:p>
      <w:pPr>
        <w:pStyle w:val="Normal"/>
        <w:widowControl/>
        <w:numPr>
          <w:ilvl w:val="0"/>
          <w:numId w:val="108"/>
        </w:numPr>
        <w:tabs>
          <w:tab w:val="left" w:pos="708" w:leader="none"/>
        </w:tabs>
        <w:suppressAutoHyphens w:val="true"/>
        <w:bidi w:val="0"/>
        <w:ind w:left="180" w:right="0" w:hanging="0"/>
        <w:jc w:val="left"/>
        <w:textAlignment w:val="auto"/>
        <w:rPr>
          <w:lang w:val="ro-MD"/>
        </w:rPr>
      </w:pPr>
      <w:r>
        <w:rPr>
          <w:rFonts w:cs="Times New Roman CE" w:ascii="Times New Roman CE" w:hAnsi="Times New Roman CE"/>
          <w:bCs/>
          <w:lang w:val="ro-MD"/>
        </w:rPr>
        <w:t>Stadiul de pregătire pentru impl</w:t>
      </w:r>
      <w:r>
        <w:rPr>
          <w:bCs/>
          <w:lang w:val="ro-MD"/>
        </w:rPr>
        <w:t>ementare</w:t>
      </w:r>
      <w:r>
        <w:rPr>
          <w:bCs/>
          <w:sz w:val="26"/>
          <w:szCs w:val="26"/>
          <w:lang w:val="ro-MD"/>
        </w:rPr>
        <w:t xml:space="preserve"> </w:t>
      </w:r>
    </w:p>
    <w:tbl>
      <w:tblPr>
        <w:tblW w:w="9745" w:type="dxa"/>
        <w:jc w:val="left"/>
        <w:tblInd w:w="3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3" w:type="dxa"/>
          <w:bottom w:w="0" w:type="dxa"/>
          <w:right w:w="108" w:type="dxa"/>
        </w:tblCellMar>
      </w:tblPr>
      <w:tblGrid>
        <w:gridCol w:w="9745"/>
      </w:tblGrid>
      <w:tr>
        <w:trPr>
          <w:trHeight w:val="292" w:hRule="atLeast"/>
        </w:trPr>
        <w:tc>
          <w:tcPr>
            <w:tcW w:w="9745"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b/>
                <w:bCs/>
                <w:sz w:val="22"/>
                <w:szCs w:val="22"/>
                <w:lang w:val="ro-RO"/>
              </w:rPr>
              <w:t>A fost prezentată şi susţinută teza de doctor.</w:t>
            </w:r>
          </w:p>
        </w:tc>
      </w:tr>
    </w:tbl>
    <w:p>
      <w:pPr>
        <w:pStyle w:val="Normal"/>
        <w:widowControl/>
        <w:numPr>
          <w:ilvl w:val="0"/>
          <w:numId w:val="108"/>
        </w:numPr>
        <w:tabs>
          <w:tab w:val="left" w:pos="708" w:leader="none"/>
        </w:tabs>
        <w:suppressAutoHyphens w:val="true"/>
        <w:bidi w:val="0"/>
        <w:ind w:left="180" w:right="0" w:hanging="0"/>
        <w:jc w:val="left"/>
        <w:textAlignment w:val="auto"/>
        <w:rPr>
          <w:lang w:val="ro-MD"/>
        </w:rPr>
      </w:pPr>
      <w:r>
        <w:rPr>
          <w:bCs/>
          <w:lang w:val="ro-MD"/>
        </w:rPr>
        <w:t>Drepturile de autor</w:t>
      </w:r>
    </w:p>
    <w:tbl>
      <w:tblPr>
        <w:tblW w:w="9760" w:type="dxa"/>
        <w:jc w:val="left"/>
        <w:tblInd w:w="38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3" w:type="dxa"/>
          <w:bottom w:w="0" w:type="dxa"/>
          <w:right w:w="108" w:type="dxa"/>
        </w:tblCellMar>
      </w:tblPr>
      <w:tblGrid>
        <w:gridCol w:w="9760"/>
      </w:tblGrid>
      <w:tr>
        <w:trPr/>
        <w:tc>
          <w:tcPr>
            <w:tcW w:w="9760"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tcMar>
              <w:left w:w="103" w:type="dxa"/>
            </w:tcMar>
          </w:tcPr>
          <w:p>
            <w:pPr>
              <w:pStyle w:val="Normal"/>
              <w:widowControl/>
              <w:bidi w:val="0"/>
              <w:ind w:left="0" w:right="0" w:hanging="0"/>
              <w:jc w:val="left"/>
              <w:textAlignment w:val="auto"/>
              <w:rPr>
                <w:lang w:val="ro-RO"/>
              </w:rPr>
            </w:pPr>
            <w:r>
              <w:rPr>
                <w:i/>
                <w:color w:val="000000"/>
                <w:sz w:val="22"/>
                <w:szCs w:val="22"/>
                <w:lang w:val="ro-RO"/>
              </w:rPr>
              <w:t>ALBU Veaceslav</w:t>
            </w:r>
          </w:p>
        </w:tc>
      </w:tr>
    </w:tbl>
    <w:p>
      <w:pPr>
        <w:pStyle w:val="Normal"/>
        <w:widowControl/>
        <w:numPr>
          <w:ilvl w:val="0"/>
          <w:numId w:val="108"/>
        </w:numPr>
        <w:tabs>
          <w:tab w:val="left" w:pos="708" w:leader="none"/>
        </w:tabs>
        <w:suppressAutoHyphens w:val="true"/>
        <w:bidi w:val="0"/>
        <w:ind w:left="180" w:right="0" w:hanging="0"/>
        <w:jc w:val="left"/>
        <w:textAlignment w:val="auto"/>
        <w:rPr>
          <w:lang w:val="ro-MD"/>
        </w:rPr>
      </w:pPr>
      <w:r>
        <w:rPr>
          <w:rFonts w:cs="Times New Roman CE" w:ascii="Times New Roman CE" w:hAnsi="Times New Roman CE"/>
          <w:bCs/>
          <w:lang w:val="ro-MD"/>
        </w:rPr>
        <w:t>Posibilităţile de realizare pe piaţa autohtonă şi mondială</w:t>
      </w:r>
    </w:p>
    <w:tbl>
      <w:tblPr>
        <w:tblW w:w="9785" w:type="dxa"/>
        <w:jc w:val="left"/>
        <w:tblInd w:w="38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3" w:type="dxa"/>
          <w:bottom w:w="0" w:type="dxa"/>
          <w:right w:w="108" w:type="dxa"/>
        </w:tblCellMar>
      </w:tblPr>
      <w:tblGrid>
        <w:gridCol w:w="9785"/>
      </w:tblGrid>
      <w:tr>
        <w:trPr>
          <w:trHeight w:val="293" w:hRule="atLeast"/>
        </w:trPr>
        <w:tc>
          <w:tcPr>
            <w:tcW w:w="9785"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lang w:val="ro-RO"/>
              </w:rPr>
              <w:t>Este descrisă în detaliu în teza de doctor.</w:t>
            </w:r>
          </w:p>
        </w:tc>
      </w:tr>
    </w:tbl>
    <w:p>
      <w:pPr>
        <w:pStyle w:val="Normal"/>
        <w:widowControl/>
        <w:numPr>
          <w:ilvl w:val="0"/>
          <w:numId w:val="108"/>
        </w:numPr>
        <w:tabs>
          <w:tab w:val="left" w:pos="708" w:leader="none"/>
        </w:tabs>
        <w:suppressAutoHyphens w:val="true"/>
        <w:bidi w:val="0"/>
        <w:ind w:left="180" w:right="0" w:hanging="0"/>
        <w:jc w:val="left"/>
        <w:textAlignment w:val="auto"/>
        <w:rPr>
          <w:lang w:val="ro-MD"/>
        </w:rPr>
      </w:pPr>
      <w:r>
        <w:rPr>
          <w:rFonts w:cs="Times New Roman CE" w:ascii="Times New Roman CE" w:hAnsi="Times New Roman CE"/>
          <w:bCs/>
          <w:lang w:val="ro-MD"/>
        </w:rPr>
        <w:t>Beneficiar (pentru elaborări finanţate din surse extrabuge</w:t>
      </w:r>
      <w:r>
        <w:rPr>
          <w:bCs/>
          <w:lang w:val="ro-MD"/>
        </w:rPr>
        <w:t>tare)</w:t>
      </w:r>
    </w:p>
    <w:tbl>
      <w:tblPr>
        <w:tblW w:w="9774" w:type="dxa"/>
        <w:jc w:val="left"/>
        <w:tblInd w:w="38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3" w:type="dxa"/>
          <w:bottom w:w="0" w:type="dxa"/>
          <w:right w:w="108" w:type="dxa"/>
        </w:tblCellMar>
      </w:tblPr>
      <w:tblGrid>
        <w:gridCol w:w="9774"/>
      </w:tblGrid>
      <w:tr>
        <w:trPr/>
        <w:tc>
          <w:tcPr>
            <w:tcW w:w="9774"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tcMar>
              <w:left w:w="103" w:type="dxa"/>
            </w:tcMar>
            <w:vAlign w:val="center"/>
          </w:tcPr>
          <w:p>
            <w:pPr>
              <w:pStyle w:val="Style10"/>
              <w:widowControl/>
              <w:bidi w:val="0"/>
              <w:spacing w:before="0" w:after="120"/>
              <w:ind w:left="0" w:right="0" w:hanging="0"/>
              <w:jc w:val="both"/>
              <w:textAlignment w:val="auto"/>
              <w:rPr>
                <w:lang w:val="it-IT"/>
              </w:rPr>
            </w:pPr>
            <w:r>
              <w:rPr>
                <w:rFonts w:cs="Times New Roman CE" w:ascii="Times New Roman CE" w:hAnsi="Times New Roman CE"/>
                <w:b/>
                <w:bCs/>
                <w:szCs w:val="20"/>
                <w:lang w:val="it-IT"/>
              </w:rPr>
              <w:t>Domeniul de aplicaţie:</w:t>
            </w:r>
            <w:r>
              <w:rPr>
                <w:rFonts w:cs="Times New Roman CE" w:ascii="Times New Roman CE" w:hAnsi="Times New Roman CE"/>
                <w:bCs/>
                <w:szCs w:val="20"/>
                <w:lang w:val="it-IT"/>
              </w:rPr>
              <w:t xml:space="preserve"> observaţii şi măsurări statistice ale stărilor emoţionale umane în timpul unei sesiuni de interacţiune cu un produs software (sau cu un complex de hardware şi software).</w:t>
            </w:r>
          </w:p>
        </w:tc>
      </w:tr>
    </w:tbl>
    <w:p>
      <w:pPr>
        <w:pStyle w:val="Normal"/>
        <w:widowControl/>
        <w:numPr>
          <w:ilvl w:val="0"/>
          <w:numId w:val="108"/>
        </w:numPr>
        <w:tabs>
          <w:tab w:val="left" w:pos="708" w:leader="none"/>
        </w:tabs>
        <w:suppressAutoHyphens w:val="true"/>
        <w:bidi w:val="0"/>
        <w:ind w:left="180" w:right="0" w:hanging="0"/>
        <w:jc w:val="both"/>
        <w:textAlignment w:val="auto"/>
        <w:rPr>
          <w:lang w:val="ro-MD"/>
        </w:rPr>
      </w:pPr>
      <w:r>
        <w:rPr>
          <w:rFonts w:cs="Times New Roman CE" w:ascii="Times New Roman CE" w:hAnsi="Times New Roman CE"/>
          <w:bCs/>
          <w:lang w:val="ro-MD"/>
        </w:rPr>
        <w:t>Avantaje (în comparaţie cu produsele analoage existente)</w:t>
      </w:r>
      <w:r>
        <w:rPr>
          <w:bCs/>
          <w:lang w:val="ro-MD"/>
        </w:rPr>
        <w:t xml:space="preserve">, </w:t>
      </w:r>
      <w:r>
        <w:rPr>
          <w:rFonts w:cs="Times New Roman CE" w:ascii="Times New Roman CE" w:hAnsi="Times New Roman CE"/>
          <w:lang w:val="ro-MD"/>
        </w:rPr>
        <w:t>efectul economic şi social preconizat sau real</w:t>
      </w:r>
      <w:r>
        <w:rPr>
          <w:i/>
          <w:lang w:val="ro-MD"/>
        </w:rPr>
        <w:t>.</w:t>
      </w:r>
    </w:p>
    <w:p>
      <w:pPr>
        <w:pStyle w:val="Normal"/>
        <w:widowControl/>
        <w:suppressAutoHyphens w:val="true"/>
        <w:bidi w:val="0"/>
        <w:ind w:left="180" w:right="0" w:hanging="0"/>
        <w:jc w:val="both"/>
        <w:textAlignment w:val="auto"/>
        <w:rPr>
          <w:lang w:val="ro-MD"/>
        </w:rPr>
      </w:pPr>
      <w:r>
        <w:rPr>
          <w:i/>
          <w:lang w:val="ro-MD"/>
        </w:rPr>
        <w:t xml:space="preserve"> </w:t>
      </w:r>
      <w:r>
        <w:rPr>
          <w:rFonts w:cs="Times New Roman CE" w:ascii="Times New Roman CE" w:hAnsi="Times New Roman CE"/>
          <w:lang w:val="ro-RO"/>
        </w:rPr>
        <w:t xml:space="preserve">• </w:t>
      </w:r>
      <w:r>
        <w:rPr>
          <w:rFonts w:cs="Times New Roman CE" w:ascii="Times New Roman CE" w:hAnsi="Times New Roman CE"/>
          <w:lang w:val="ro-RO"/>
        </w:rPr>
        <w:t xml:space="preserve">Configurarea reţelei modulare, Abilitatea de a alege modulele din gama RSOM, VQTAM sau RBF, Formarea şi rularea reţelei neuronale pe seturile  de date furnizate. </w:t>
      </w:r>
      <w:r>
        <w:rPr>
          <w:lang w:val="ro-MD"/>
        </w:rPr>
        <w:t>Mediul de programare: Python 2.7</w:t>
      </w:r>
    </w:p>
    <w:p>
      <w:pPr>
        <w:pStyle w:val="2"/>
        <w:keepNext/>
        <w:widowControl/>
        <w:numPr>
          <w:ilvl w:val="0"/>
          <w:numId w:val="0"/>
        </w:numPr>
        <w:bidi w:val="0"/>
        <w:ind w:left="0" w:right="0" w:hanging="0"/>
        <w:jc w:val="left"/>
        <w:textAlignment w:val="auto"/>
        <w:outlineLvl w:val="1"/>
        <w:rPr>
          <w:rFonts w:ascii="Times New Roman" w:hAnsi="Times New Roman"/>
          <w:i/>
          <w:i/>
          <w:sz w:val="26"/>
          <w:lang w:val="it-IT" w:eastAsia="ru-RU"/>
        </w:rPr>
      </w:pPr>
      <w:r>
        <w:rPr>
          <w:i/>
          <w:sz w:val="26"/>
          <w:lang w:val="it-IT" w:eastAsia="ru-RU"/>
        </w:rPr>
      </w:r>
    </w:p>
    <w:p>
      <w:pPr>
        <w:pStyle w:val="Normal"/>
        <w:widowControl/>
        <w:bidi w:val="0"/>
        <w:ind w:left="0" w:right="0" w:hanging="0"/>
        <w:jc w:val="left"/>
        <w:textAlignment w:val="auto"/>
        <w:rPr>
          <w:rFonts w:ascii="Times New Roman" w:hAnsi="Times New Roman"/>
          <w:lang w:val="it-IT"/>
        </w:rPr>
      </w:pPr>
      <w:r>
        <w:rPr>
          <w:lang w:val="it-IT"/>
        </w:rPr>
      </w:r>
    </w:p>
    <w:p>
      <w:pPr>
        <w:pStyle w:val="Normal"/>
        <w:widowControl/>
        <w:bidi w:val="0"/>
        <w:ind w:left="0" w:right="0" w:hanging="0"/>
        <w:jc w:val="left"/>
        <w:textAlignment w:val="auto"/>
        <w:rPr>
          <w:rFonts w:ascii="Times New Roman" w:hAnsi="Times New Roman"/>
          <w:lang w:val="it-IT"/>
        </w:rPr>
      </w:pPr>
      <w:r>
        <w:rPr>
          <w:lang w:val="it-IT"/>
        </w:rPr>
      </w:r>
    </w:p>
    <w:p>
      <w:pPr>
        <w:pStyle w:val="Normal"/>
        <w:widowControl/>
        <w:bidi w:val="0"/>
        <w:ind w:left="0" w:right="0" w:hanging="0"/>
        <w:jc w:val="left"/>
        <w:textAlignment w:val="auto"/>
        <w:rPr>
          <w:rFonts w:ascii="Times New Roman" w:hAnsi="Times New Roman"/>
          <w:lang w:val="it-IT"/>
        </w:rPr>
      </w:pPr>
      <w:r>
        <w:rPr>
          <w:lang w:val="it-IT"/>
        </w:rPr>
      </w:r>
    </w:p>
    <w:p>
      <w:pPr>
        <w:pStyle w:val="Normal"/>
        <w:widowControl/>
        <w:bidi w:val="0"/>
        <w:ind w:left="0" w:right="0" w:hanging="0"/>
        <w:jc w:val="left"/>
        <w:textAlignment w:val="auto"/>
        <w:rPr>
          <w:rFonts w:ascii="Times New Roman" w:hAnsi="Times New Roman"/>
          <w:lang w:val="it-IT"/>
        </w:rPr>
      </w:pPr>
      <w:r>
        <w:rPr>
          <w:lang w:val="it-IT"/>
        </w:rPr>
      </w:r>
    </w:p>
    <w:p>
      <w:pPr>
        <w:pStyle w:val="Normal"/>
        <w:widowControl/>
        <w:bidi w:val="0"/>
        <w:ind w:left="0" w:right="0" w:hanging="0"/>
        <w:jc w:val="left"/>
        <w:textAlignment w:val="auto"/>
        <w:rPr>
          <w:rFonts w:ascii="Times New Roman" w:hAnsi="Times New Roman"/>
          <w:lang w:val="it-IT"/>
        </w:rPr>
      </w:pPr>
      <w:r>
        <w:rPr>
          <w:lang w:val="it-IT"/>
        </w:rPr>
      </w:r>
    </w:p>
    <w:p>
      <w:pPr>
        <w:pStyle w:val="Normal"/>
        <w:widowControl/>
        <w:bidi w:val="0"/>
        <w:ind w:left="0" w:right="0" w:hanging="0"/>
        <w:jc w:val="left"/>
        <w:textAlignment w:val="auto"/>
        <w:rPr>
          <w:rFonts w:ascii="Times New Roman" w:hAnsi="Times New Roman"/>
          <w:lang w:val="it-IT"/>
        </w:rPr>
      </w:pPr>
      <w:r>
        <w:rPr>
          <w:lang w:val="it-IT"/>
        </w:rPr>
      </w:r>
    </w:p>
    <w:p>
      <w:pPr>
        <w:pStyle w:val="Normal"/>
        <w:widowControl/>
        <w:bidi w:val="0"/>
        <w:ind w:left="0" w:right="0" w:hanging="0"/>
        <w:jc w:val="left"/>
        <w:textAlignment w:val="auto"/>
        <w:rPr>
          <w:rFonts w:ascii="Times New Roman" w:hAnsi="Times New Roman"/>
          <w:lang w:val="it-IT"/>
        </w:rPr>
      </w:pPr>
      <w:r>
        <w:rPr>
          <w:lang w:val="it-IT"/>
        </w:rPr>
      </w:r>
    </w:p>
    <w:p>
      <w:pPr>
        <w:pStyle w:val="2"/>
        <w:keepNext/>
        <w:widowControl/>
        <w:numPr>
          <w:ilvl w:val="0"/>
          <w:numId w:val="0"/>
        </w:numPr>
        <w:bidi w:val="0"/>
        <w:ind w:left="0" w:right="0" w:hanging="0"/>
        <w:jc w:val="left"/>
        <w:textAlignment w:val="auto"/>
        <w:outlineLvl w:val="1"/>
        <w:rPr>
          <w:lang w:val="it-IT"/>
        </w:rPr>
      </w:pPr>
      <w:bookmarkStart w:id="94" w:name="_Toc469651897"/>
      <w:bookmarkEnd w:id="94"/>
      <w:r>
        <w:rPr>
          <w:i/>
          <w:sz w:val="26"/>
          <w:lang w:val="it-IT" w:eastAsia="ru-RU"/>
        </w:rPr>
        <w:t>Scoring for portal henodynamics disorders severity in liver cirrhosis assessment by duplex ultrasound.</w:t>
      </w:r>
    </w:p>
    <w:p>
      <w:pPr>
        <w:pStyle w:val="Normal"/>
        <w:widowControl/>
        <w:bidi w:val="0"/>
        <w:ind w:left="0" w:right="0" w:hanging="0"/>
        <w:jc w:val="left"/>
        <w:textAlignment w:val="auto"/>
        <w:rPr>
          <w:rFonts w:ascii="Times New Roman" w:hAnsi="Times New Roman"/>
          <w:lang w:val="it-IT"/>
        </w:rPr>
      </w:pPr>
      <w:r>
        <w:rPr>
          <w:lang w:val="it-IT"/>
        </w:rPr>
        <w:drawing>
          <wp:anchor behindDoc="0" distT="0" distB="0" distL="0" distR="0" simplePos="0" locked="0" layoutInCell="1" allowOverlap="1" relativeHeight="13">
            <wp:simplePos x="0" y="0"/>
            <wp:positionH relativeFrom="column">
              <wp:posOffset>-248920</wp:posOffset>
            </wp:positionH>
            <wp:positionV relativeFrom="paragraph">
              <wp:posOffset>209550</wp:posOffset>
            </wp:positionV>
            <wp:extent cx="7050405" cy="5973445"/>
            <wp:effectExtent l="0" t="0" r="0" b="0"/>
            <wp:wrapSquare wrapText="bothSides"/>
            <wp:docPr id="12" name="Изображение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1" descr=""/>
                    <pic:cNvPicPr>
                      <a:picLocks noChangeAspect="1" noChangeArrowheads="1"/>
                    </pic:cNvPicPr>
                  </pic:nvPicPr>
                  <pic:blipFill>
                    <a:blip r:embed="rId48"/>
                    <a:stretch>
                      <a:fillRect/>
                    </a:stretch>
                  </pic:blipFill>
                  <pic:spPr bwMode="auto">
                    <a:xfrm>
                      <a:off x="0" y="0"/>
                      <a:ext cx="7050405" cy="5973445"/>
                    </a:xfrm>
                    <a:prstGeom prst="rect">
                      <a:avLst/>
                    </a:prstGeom>
                  </pic:spPr>
                </pic:pic>
              </a:graphicData>
            </a:graphic>
          </wp:anchor>
        </w:drawing>
      </w:r>
    </w:p>
    <w:p>
      <w:pPr>
        <w:pStyle w:val="Normal"/>
        <w:widowControl/>
        <w:bidi w:val="0"/>
        <w:ind w:left="0" w:right="0" w:hanging="0"/>
        <w:jc w:val="left"/>
        <w:textAlignment w:val="auto"/>
        <w:rPr>
          <w:rFonts w:ascii="Times New Roman" w:hAnsi="Times New Roman"/>
          <w:lang w:val="it-IT"/>
        </w:rPr>
      </w:pPr>
      <w:r>
        <w:rPr>
          <w:lang w:val="it-IT"/>
        </w:rPr>
      </w:r>
    </w:p>
    <w:p>
      <w:pPr>
        <w:pStyle w:val="Normal"/>
        <w:widowControl/>
        <w:tabs>
          <w:tab w:val="left" w:pos="2059" w:leader="none"/>
        </w:tabs>
        <w:bidi w:val="0"/>
        <w:ind w:left="2059" w:right="0" w:hanging="0"/>
        <w:jc w:val="left"/>
        <w:textAlignment w:val="auto"/>
        <w:rPr>
          <w:rFonts w:ascii="Times New Roman" w:hAnsi="Times New Roman"/>
          <w:bCs/>
          <w:lang w:val="it-IT"/>
        </w:rPr>
      </w:pPr>
      <w:r>
        <w:rPr>
          <w:bCs/>
          <w:lang w:val="it-IT"/>
        </w:rPr>
      </w:r>
    </w:p>
    <w:p>
      <w:pPr>
        <w:pStyle w:val="Normal"/>
        <w:widowControl/>
        <w:numPr>
          <w:ilvl w:val="0"/>
          <w:numId w:val="110"/>
        </w:numPr>
        <w:tabs>
          <w:tab w:val="left" w:pos="708" w:leader="none"/>
        </w:tabs>
        <w:suppressAutoHyphens w:val="true"/>
        <w:bidi w:val="0"/>
        <w:ind w:left="355" w:right="0" w:hanging="0"/>
        <w:jc w:val="left"/>
        <w:textAlignment w:val="auto"/>
        <w:rPr>
          <w:lang w:val="ro-MD"/>
        </w:rPr>
      </w:pPr>
      <w:r>
        <w:rPr>
          <w:rFonts w:cs="Times New Roman CE" w:ascii="Times New Roman CE" w:hAnsi="Times New Roman CE"/>
          <w:bCs/>
          <w:lang w:val="ro-MD"/>
        </w:rPr>
        <w:t xml:space="preserve">Denumirea elaborării </w:t>
      </w:r>
    </w:p>
    <w:tbl>
      <w:tblPr>
        <w:tblW w:w="9513" w:type="dxa"/>
        <w:jc w:val="left"/>
        <w:tblInd w:w="3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3" w:type="dxa"/>
          <w:bottom w:w="0" w:type="dxa"/>
          <w:right w:w="108" w:type="dxa"/>
        </w:tblCellMar>
      </w:tblPr>
      <w:tblGrid>
        <w:gridCol w:w="9513"/>
      </w:tblGrid>
      <w:tr>
        <w:trPr/>
        <w:tc>
          <w:tcPr>
            <w:tcW w:w="9513"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tcMar>
              <w:left w:w="103" w:type="dxa"/>
            </w:tcMar>
          </w:tcPr>
          <w:p>
            <w:pPr>
              <w:pStyle w:val="Normal"/>
              <w:widowControl/>
              <w:shd w:fill="FFFFFF"/>
              <w:tabs>
                <w:tab w:val="left" w:pos="709" w:leader="none"/>
                <w:tab w:val="left" w:pos="1134" w:leader="none"/>
              </w:tabs>
              <w:bidi w:val="0"/>
              <w:spacing w:lineRule="exact" w:line="271" w:before="2" w:after="0"/>
              <w:ind w:left="0" w:right="0" w:hanging="0"/>
              <w:jc w:val="left"/>
              <w:textAlignment w:val="auto"/>
              <w:rPr>
                <w:lang w:val="ro-RO"/>
              </w:rPr>
            </w:pPr>
            <w:bookmarkStart w:id="95" w:name="_Anexa_E211"/>
            <w:bookmarkEnd w:id="95"/>
            <w:r>
              <w:rPr>
                <w:sz w:val="22"/>
                <w:szCs w:val="22"/>
                <w:lang w:val="ro-RO"/>
              </w:rPr>
              <w:t xml:space="preserve">Scoring for portal </w:t>
            </w:r>
            <w:r>
              <w:rPr>
                <w:sz w:val="22"/>
                <w:szCs w:val="22"/>
                <w:lang w:val="en-US"/>
              </w:rPr>
              <w:t>henodynamics</w:t>
            </w:r>
            <w:r>
              <w:rPr>
                <w:sz w:val="22"/>
                <w:szCs w:val="22"/>
                <w:lang w:val="ro-RO"/>
              </w:rPr>
              <w:t xml:space="preserve"> </w:t>
            </w:r>
            <w:r>
              <w:rPr>
                <w:sz w:val="22"/>
                <w:szCs w:val="22"/>
                <w:lang w:val="en-US"/>
              </w:rPr>
              <w:t>disorders severity in liver cirrhosis assessment by duplex ultrasound.</w:t>
            </w:r>
          </w:p>
        </w:tc>
      </w:tr>
    </w:tbl>
    <w:p>
      <w:pPr>
        <w:pStyle w:val="Normal"/>
        <w:widowControl/>
        <w:numPr>
          <w:ilvl w:val="0"/>
          <w:numId w:val="110"/>
        </w:numPr>
        <w:tabs>
          <w:tab w:val="left" w:pos="708" w:leader="none"/>
        </w:tabs>
        <w:suppressAutoHyphens w:val="true"/>
        <w:bidi w:val="0"/>
        <w:ind w:left="357" w:right="0" w:hanging="0"/>
        <w:jc w:val="left"/>
        <w:textAlignment w:val="auto"/>
        <w:rPr>
          <w:lang w:val="ro-MD"/>
        </w:rPr>
      </w:pPr>
      <w:r>
        <w:rPr>
          <w:rFonts w:cs="Times New Roman CE" w:ascii="Times New Roman CE" w:hAnsi="Times New Roman CE"/>
          <w:lang w:val="ro-MD"/>
        </w:rPr>
        <w:t>Data şi codul/nr. documentului de înregistrare a elaborării</w:t>
      </w:r>
    </w:p>
    <w:tbl>
      <w:tblPr>
        <w:tblW w:w="9513" w:type="dxa"/>
        <w:jc w:val="left"/>
        <w:tblInd w:w="3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3" w:type="dxa"/>
          <w:bottom w:w="0" w:type="dxa"/>
          <w:right w:w="108" w:type="dxa"/>
        </w:tblCellMar>
      </w:tblPr>
      <w:tblGrid>
        <w:gridCol w:w="9513"/>
      </w:tblGrid>
      <w:tr>
        <w:trPr/>
        <w:tc>
          <w:tcPr>
            <w:tcW w:w="9513"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tcMar>
              <w:left w:w="103" w:type="dxa"/>
            </w:tcMar>
          </w:tcPr>
          <w:p>
            <w:pPr>
              <w:pStyle w:val="Normal"/>
              <w:widowControl/>
              <w:shd w:fill="FFFFFF"/>
              <w:tabs>
                <w:tab w:val="left" w:pos="709" w:leader="none"/>
                <w:tab w:val="left" w:pos="1134" w:leader="none"/>
              </w:tabs>
              <w:bidi w:val="0"/>
              <w:spacing w:lineRule="exact" w:line="271" w:before="2" w:after="0"/>
              <w:ind w:left="0" w:right="0" w:hanging="0"/>
              <w:jc w:val="left"/>
              <w:textAlignment w:val="auto"/>
              <w:rPr>
                <w:lang w:val="en-US"/>
              </w:rPr>
            </w:pPr>
            <w:r>
              <w:rPr>
                <w:sz w:val="22"/>
                <w:szCs w:val="22"/>
                <w:lang w:val="en-US"/>
              </w:rPr>
              <w:t xml:space="preserve">Certificat </w:t>
            </w:r>
            <w:r>
              <w:rPr>
                <w:rFonts w:cs="Times New Roman CE" w:ascii="Times New Roman CE" w:hAnsi="Times New Roman CE"/>
                <w:sz w:val="22"/>
                <w:szCs w:val="22"/>
                <w:lang w:val="ro-RO"/>
              </w:rPr>
              <w:t>AGEPI, OŞ (operă de ştiinţă) Nr. 5494. 2016-11-01</w:t>
            </w:r>
          </w:p>
        </w:tc>
      </w:tr>
    </w:tbl>
    <w:p>
      <w:pPr>
        <w:pStyle w:val="Normal"/>
        <w:widowControl/>
        <w:numPr>
          <w:ilvl w:val="0"/>
          <w:numId w:val="110"/>
        </w:numPr>
        <w:tabs>
          <w:tab w:val="left" w:pos="708" w:leader="none"/>
        </w:tabs>
        <w:suppressAutoHyphens w:val="true"/>
        <w:bidi w:val="0"/>
        <w:ind w:left="357" w:right="0" w:hanging="0"/>
        <w:jc w:val="left"/>
        <w:textAlignment w:val="auto"/>
        <w:rPr>
          <w:lang w:val="ro-MD"/>
        </w:rPr>
      </w:pPr>
      <w:r>
        <w:rPr>
          <w:rFonts w:cs="Times New Roman CE" w:ascii="Times New Roman CE" w:hAnsi="Times New Roman CE"/>
          <w:lang w:val="ro-MD"/>
        </w:rPr>
        <w:t>Denumirea şi codul proiectului în cadrul căruia a fost realizată</w:t>
      </w:r>
      <w:r>
        <w:rPr>
          <w:lang w:val="en-US"/>
        </w:rPr>
        <w:t xml:space="preserve"> elaborarea </w:t>
      </w:r>
    </w:p>
    <w:tbl>
      <w:tblPr>
        <w:tblW w:w="9513" w:type="dxa"/>
        <w:jc w:val="left"/>
        <w:tblInd w:w="3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3" w:type="dxa"/>
          <w:bottom w:w="0" w:type="dxa"/>
          <w:right w:w="108" w:type="dxa"/>
        </w:tblCellMar>
      </w:tblPr>
      <w:tblGrid>
        <w:gridCol w:w="9513"/>
      </w:tblGrid>
      <w:tr>
        <w:trPr/>
        <w:tc>
          <w:tcPr>
            <w:tcW w:w="9513"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tcMar>
              <w:left w:w="103" w:type="dxa"/>
            </w:tcMar>
          </w:tcPr>
          <w:p>
            <w:pPr>
              <w:pStyle w:val="Normal"/>
              <w:widowControl/>
              <w:shd w:fill="FFFFFF"/>
              <w:tabs>
                <w:tab w:val="left" w:pos="709" w:leader="none"/>
                <w:tab w:val="left" w:pos="1134" w:leader="none"/>
              </w:tabs>
              <w:bidi w:val="0"/>
              <w:spacing w:lineRule="exact" w:line="271" w:before="2" w:after="0"/>
              <w:ind w:left="0" w:right="0" w:hanging="0"/>
              <w:jc w:val="left"/>
              <w:textAlignment w:val="auto"/>
              <w:rPr/>
            </w:pPr>
            <w:r>
              <w:rPr>
                <w:rFonts w:cs="Times New Roman CE" w:ascii="Times New Roman CE" w:hAnsi="Times New Roman CE"/>
                <w:sz w:val="22"/>
                <w:szCs w:val="22"/>
              </w:rPr>
              <w:t>15.817.02.02A Modele şi tehnologii în ingineria sistemelor inteligente şi a calc</w:t>
            </w:r>
            <w:r>
              <w:rPr>
                <w:sz w:val="22"/>
                <w:szCs w:val="22"/>
              </w:rPr>
              <w:t>ulului performant</w:t>
            </w:r>
          </w:p>
        </w:tc>
      </w:tr>
    </w:tbl>
    <w:p>
      <w:pPr>
        <w:pStyle w:val="Normal"/>
        <w:widowControl/>
        <w:numPr>
          <w:ilvl w:val="0"/>
          <w:numId w:val="110"/>
        </w:numPr>
        <w:tabs>
          <w:tab w:val="left" w:pos="708" w:leader="none"/>
        </w:tabs>
        <w:suppressAutoHyphens w:val="true"/>
        <w:bidi w:val="0"/>
        <w:spacing w:lineRule="exact" w:line="360"/>
        <w:ind w:left="357" w:right="0" w:hanging="0"/>
        <w:jc w:val="left"/>
        <w:textAlignment w:val="auto"/>
        <w:rPr>
          <w:lang w:val="ro-MD"/>
        </w:rPr>
      </w:pPr>
      <w:r>
        <w:rPr>
          <w:rFonts w:cs="Times New Roman CE" w:ascii="Times New Roman CE" w:hAnsi="Times New Roman CE"/>
          <w:lang w:val="ro-MD"/>
        </w:rPr>
        <w:t>Organizaţia-executor</w:t>
      </w:r>
    </w:p>
    <w:tbl>
      <w:tblPr>
        <w:tblW w:w="9664" w:type="dxa"/>
        <w:jc w:val="left"/>
        <w:tblInd w:w="367" w:type="dxa"/>
        <w:tblBorders>
          <w:top w:val="single" w:sz="4" w:space="0" w:color="808080"/>
          <w:left w:val="single" w:sz="4" w:space="0" w:color="808080"/>
        </w:tblBorders>
        <w:tblCellMar>
          <w:top w:w="0" w:type="dxa"/>
          <w:left w:w="103" w:type="dxa"/>
          <w:bottom w:w="0" w:type="dxa"/>
          <w:right w:w="108" w:type="dxa"/>
        </w:tblCellMar>
      </w:tblPr>
      <w:tblGrid>
        <w:gridCol w:w="4384"/>
        <w:gridCol w:w="5279"/>
      </w:tblGrid>
      <w:tr>
        <w:trPr>
          <w:trHeight w:val="295" w:hRule="atLeast"/>
        </w:trPr>
        <w:tc>
          <w:tcPr>
            <w:tcW w:w="4384" w:type="dxa"/>
            <w:tcBorders>
              <w:top w:val="single" w:sz="4" w:space="0" w:color="808080"/>
              <w:left w:val="single" w:sz="4" w:space="0" w:color="808080"/>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lang w:val="ro-MD"/>
              </w:rPr>
              <w:t>Denumirea organizaţiei</w:t>
            </w:r>
          </w:p>
        </w:tc>
        <w:tc>
          <w:tcPr>
            <w:tcW w:w="5279" w:type="dxa"/>
            <w:tcBorders>
              <w:top w:val="single" w:sz="4" w:space="0" w:color="808080"/>
              <w:right w:val="single" w:sz="4" w:space="0" w:color="808080"/>
              <w:insideV w:val="single" w:sz="4" w:space="0" w:color="808080"/>
            </w:tcBorders>
            <w:shd w:fill="auto" w:val="clear"/>
          </w:tcPr>
          <w:p>
            <w:pPr>
              <w:pStyle w:val="Normal"/>
              <w:widowControl/>
              <w:bidi w:val="0"/>
              <w:ind w:left="0" w:right="0" w:hanging="0"/>
              <w:jc w:val="left"/>
              <w:textAlignment w:val="auto"/>
              <w:rPr>
                <w:lang w:val="ro-MD"/>
              </w:rPr>
            </w:pPr>
            <w:r>
              <w:rPr>
                <w:rFonts w:cs="Times New Roman CE" w:ascii="Times New Roman CE" w:hAnsi="Times New Roman CE"/>
                <w:bCs/>
                <w:lang w:val="ro-MD"/>
              </w:rPr>
              <w:t>Institutul de Matematică şi Informatică al AŞM</w:t>
            </w:r>
          </w:p>
        </w:tc>
      </w:tr>
      <w:tr>
        <w:trPr>
          <w:trHeight w:val="292" w:hRule="atLeast"/>
        </w:trPr>
        <w:tc>
          <w:tcPr>
            <w:tcW w:w="4384" w:type="dxa"/>
            <w:tcBorders>
              <w:left w:val="single" w:sz="4" w:space="0" w:color="808080"/>
            </w:tcBorders>
            <w:shd w:fill="auto" w:val="clear"/>
            <w:tcMar>
              <w:left w:w="103" w:type="dxa"/>
            </w:tcMar>
          </w:tcPr>
          <w:p>
            <w:pPr>
              <w:pStyle w:val="Normal"/>
              <w:widowControl/>
              <w:bidi w:val="0"/>
              <w:ind w:left="0" w:right="0" w:hanging="0"/>
              <w:jc w:val="left"/>
              <w:textAlignment w:val="auto"/>
              <w:rPr>
                <w:lang w:val="ro-MD"/>
              </w:rPr>
            </w:pPr>
            <w:r>
              <w:rPr>
                <w:lang w:val="ro-MD"/>
              </w:rPr>
              <w:t>Localitate</w:t>
            </w:r>
          </w:p>
        </w:tc>
        <w:tc>
          <w:tcPr>
            <w:tcW w:w="5279" w:type="dxa"/>
            <w:tcBorders>
              <w:right w:val="single" w:sz="4" w:space="0" w:color="808080"/>
              <w:insideV w:val="single" w:sz="4" w:space="0" w:color="808080"/>
            </w:tcBorders>
            <w:shd w:fill="auto" w:val="clear"/>
          </w:tcPr>
          <w:p>
            <w:pPr>
              <w:pStyle w:val="Normal"/>
              <w:widowControl/>
              <w:bidi w:val="0"/>
              <w:ind w:left="0" w:right="0" w:hanging="0"/>
              <w:jc w:val="left"/>
              <w:textAlignment w:val="auto"/>
              <w:rPr>
                <w:lang w:val="ro-MD"/>
              </w:rPr>
            </w:pPr>
            <w:r>
              <w:rPr>
                <w:rFonts w:cs="Times New Roman CE" w:ascii="Times New Roman CE" w:hAnsi="Times New Roman CE"/>
                <w:bCs/>
                <w:lang w:val="ro-MD"/>
              </w:rPr>
              <w:t>Chişinău</w:t>
            </w:r>
          </w:p>
        </w:tc>
      </w:tr>
      <w:tr>
        <w:trPr>
          <w:trHeight w:val="292" w:hRule="atLeast"/>
        </w:trPr>
        <w:tc>
          <w:tcPr>
            <w:tcW w:w="4384" w:type="dxa"/>
            <w:tcBorders>
              <w:left w:val="single" w:sz="4" w:space="0" w:color="808080"/>
            </w:tcBorders>
            <w:shd w:fill="auto" w:val="clear"/>
            <w:tcMar>
              <w:left w:w="103" w:type="dxa"/>
            </w:tcMar>
          </w:tcPr>
          <w:p>
            <w:pPr>
              <w:pStyle w:val="Normal"/>
              <w:widowControl/>
              <w:bidi w:val="0"/>
              <w:ind w:left="0" w:right="0" w:hanging="0"/>
              <w:jc w:val="left"/>
              <w:textAlignment w:val="auto"/>
              <w:rPr>
                <w:lang w:val="ro-MD"/>
              </w:rPr>
            </w:pPr>
            <w:r>
              <w:rPr>
                <w:color w:val="000000"/>
                <w:lang w:val="ro-MD"/>
              </w:rPr>
              <w:t>Telefon/Fax</w:t>
            </w:r>
          </w:p>
        </w:tc>
        <w:tc>
          <w:tcPr>
            <w:tcW w:w="5279" w:type="dxa"/>
            <w:tcBorders>
              <w:right w:val="single" w:sz="4" w:space="0" w:color="808080"/>
              <w:insideV w:val="single" w:sz="4" w:space="0" w:color="808080"/>
            </w:tcBorders>
            <w:shd w:fill="auto" w:val="clear"/>
          </w:tcPr>
          <w:p>
            <w:pPr>
              <w:pStyle w:val="Normal"/>
              <w:widowControl/>
              <w:bidi w:val="0"/>
              <w:ind w:left="0" w:right="0" w:hanging="0"/>
              <w:jc w:val="left"/>
              <w:textAlignment w:val="auto"/>
              <w:rPr>
                <w:lang w:val="ro-MD"/>
              </w:rPr>
            </w:pPr>
            <w:r>
              <w:rPr>
                <w:bCs/>
                <w:lang w:val="ro-MD"/>
              </w:rPr>
              <w:t>022 725982</w:t>
            </w:r>
          </w:p>
        </w:tc>
      </w:tr>
      <w:tr>
        <w:trPr>
          <w:trHeight w:val="292" w:hRule="atLeast"/>
        </w:trPr>
        <w:tc>
          <w:tcPr>
            <w:tcW w:w="4384" w:type="dxa"/>
            <w:tcBorders>
              <w:left w:val="single" w:sz="4" w:space="0" w:color="808080"/>
              <w:bottom w:val="single" w:sz="4" w:space="0" w:color="808080"/>
              <w:insideH w:val="single" w:sz="4" w:space="0" w:color="808080"/>
            </w:tcBorders>
            <w:shd w:fill="auto" w:val="clear"/>
            <w:tcMar>
              <w:left w:w="103" w:type="dxa"/>
            </w:tcMar>
          </w:tcPr>
          <w:p>
            <w:pPr>
              <w:pStyle w:val="Normal"/>
              <w:widowControl/>
              <w:bidi w:val="0"/>
              <w:ind w:left="0" w:right="0" w:hanging="0"/>
              <w:jc w:val="left"/>
              <w:textAlignment w:val="auto"/>
              <w:rPr>
                <w:lang w:val="ro-MD"/>
              </w:rPr>
            </w:pPr>
            <w:r>
              <w:rPr>
                <w:color w:val="000000"/>
                <w:lang w:val="ro-MD"/>
              </w:rPr>
              <w:t>E-mail/Pagina WEB</w:t>
            </w:r>
          </w:p>
        </w:tc>
        <w:tc>
          <w:tcPr>
            <w:tcW w:w="5279" w:type="dxa"/>
            <w:tcBorders>
              <w:bottom w:val="single" w:sz="4" w:space="0" w:color="808080"/>
              <w:right w:val="single" w:sz="4" w:space="0" w:color="808080"/>
              <w:insideH w:val="single" w:sz="4" w:space="0" w:color="808080"/>
              <w:insideV w:val="single" w:sz="4" w:space="0" w:color="808080"/>
            </w:tcBorders>
            <w:shd w:fill="auto" w:val="clear"/>
          </w:tcPr>
          <w:p>
            <w:pPr>
              <w:pStyle w:val="Normal"/>
              <w:widowControl/>
              <w:bidi w:val="0"/>
              <w:ind w:left="0" w:right="0" w:hanging="0"/>
              <w:jc w:val="left"/>
              <w:textAlignment w:val="auto"/>
              <w:rPr/>
            </w:pPr>
            <w:hyperlink r:id="rId49">
              <w:r>
                <w:rPr>
                  <w:webHidden/>
                  <w:rStyle w:val="Style5"/>
                  <w:bCs/>
                  <w:color w:val="0000FF"/>
                  <w:u w:val="single"/>
                  <w:lang w:val="ro-MD"/>
                </w:rPr>
                <w:t>imam@math.md</w:t>
              </w:r>
            </w:hyperlink>
            <w:r>
              <w:rPr>
                <w:bCs/>
                <w:lang w:val="ro-MD"/>
              </w:rPr>
              <w:t xml:space="preserve"> </w:t>
            </w:r>
            <w:r>
              <w:rPr>
                <w:bCs/>
                <w:lang w:val="ro-RO"/>
              </w:rPr>
              <w:t>/ www.math.md</w:t>
            </w:r>
          </w:p>
        </w:tc>
      </w:tr>
    </w:tbl>
    <w:p>
      <w:pPr>
        <w:pStyle w:val="Normal"/>
        <w:widowControl/>
        <w:numPr>
          <w:ilvl w:val="0"/>
          <w:numId w:val="110"/>
        </w:numPr>
        <w:tabs>
          <w:tab w:val="left" w:pos="708" w:leader="none"/>
        </w:tabs>
        <w:suppressAutoHyphens w:val="true"/>
        <w:bidi w:val="0"/>
        <w:spacing w:lineRule="exact" w:line="360"/>
        <w:ind w:left="180" w:right="0" w:hanging="0"/>
        <w:jc w:val="left"/>
        <w:textAlignment w:val="auto"/>
        <w:rPr>
          <w:lang w:val="ro-MD"/>
        </w:rPr>
      </w:pPr>
      <w:r>
        <w:rPr>
          <w:rFonts w:cs="Times New Roman CE" w:ascii="Times New Roman CE" w:hAnsi="Times New Roman CE"/>
          <w:lang w:val="ro-MD"/>
        </w:rPr>
        <w:t>Autorii elaborării</w:t>
      </w:r>
      <w:r>
        <w:rPr>
          <w:lang w:val="ro-MD"/>
        </w:rPr>
        <w:t xml:space="preserve"> </w:t>
      </w:r>
    </w:p>
    <w:tbl>
      <w:tblPr>
        <w:tblW w:w="9664" w:type="dxa"/>
        <w:jc w:val="left"/>
        <w:tblInd w:w="3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3" w:type="dxa"/>
          <w:bottom w:w="0" w:type="dxa"/>
          <w:right w:w="108" w:type="dxa"/>
        </w:tblCellMar>
      </w:tblPr>
      <w:tblGrid>
        <w:gridCol w:w="9664"/>
      </w:tblGrid>
      <w:tr>
        <w:trPr>
          <w:trHeight w:val="440" w:hRule="atLeast"/>
        </w:trPr>
        <w:tc>
          <w:tcPr>
            <w:tcW w:w="9664"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tcMar>
              <w:left w:w="103" w:type="dxa"/>
            </w:tcMar>
            <w:vAlign w:val="center"/>
          </w:tcPr>
          <w:p>
            <w:pPr>
              <w:pStyle w:val="Normal"/>
              <w:widowControl/>
              <w:bidi w:val="0"/>
              <w:ind w:left="0" w:right="0" w:hanging="0"/>
              <w:jc w:val="left"/>
              <w:textAlignment w:val="auto"/>
              <w:rPr>
                <w:lang w:val="ro-RO"/>
              </w:rPr>
            </w:pPr>
            <w:r>
              <w:rPr>
                <w:rFonts w:cs="Times New Roman CE" w:ascii="Times New Roman CE" w:hAnsi="Times New Roman CE"/>
                <w:i/>
                <w:color w:val="000000"/>
                <w:sz w:val="22"/>
                <w:szCs w:val="22"/>
                <w:lang w:val="ro-RO"/>
              </w:rPr>
              <w:t xml:space="preserve">TÂMBALĂ </w:t>
            </w:r>
            <w:r>
              <w:rPr>
                <w:i/>
                <w:color w:val="000000"/>
                <w:sz w:val="22"/>
                <w:szCs w:val="22"/>
              </w:rPr>
              <w:t>C</w:t>
            </w:r>
            <w:r>
              <w:rPr>
                <w:i/>
                <w:color w:val="000000"/>
                <w:sz w:val="22"/>
                <w:szCs w:val="22"/>
                <w:lang w:val="ro-RO"/>
              </w:rPr>
              <w:t>arolina</w:t>
            </w:r>
            <w:r>
              <w:rPr>
                <w:i/>
                <w:color w:val="000000"/>
                <w:sz w:val="22"/>
                <w:szCs w:val="22"/>
              </w:rPr>
              <w:t>.</w:t>
            </w:r>
            <w:r>
              <w:rPr>
                <w:i/>
                <w:color w:val="000000"/>
                <w:sz w:val="22"/>
                <w:szCs w:val="22"/>
                <w:lang w:val="ro-RO"/>
              </w:rPr>
              <w:t>; SECRIERU Iulian</w:t>
            </w:r>
          </w:p>
          <w:p>
            <w:pPr>
              <w:pStyle w:val="Normal"/>
              <w:widowControl/>
              <w:bidi w:val="0"/>
              <w:ind w:left="0" w:right="0" w:hanging="0"/>
              <w:jc w:val="left"/>
              <w:textAlignment w:val="auto"/>
              <w:rPr/>
            </w:pPr>
            <w:r>
              <w:rPr>
                <w:i/>
                <w:color w:val="000000"/>
                <w:sz w:val="22"/>
                <w:szCs w:val="22"/>
                <w:lang w:val="ro-RO"/>
              </w:rPr>
              <w:t xml:space="preserve">022-543710, </w:t>
            </w:r>
            <w:r>
              <w:rPr>
                <w:i/>
                <w:color w:val="000000"/>
                <w:sz w:val="22"/>
                <w:szCs w:val="22"/>
                <w:lang w:val="en-US"/>
              </w:rPr>
              <w:t>iulian.secrieru@math.md</w:t>
            </w:r>
          </w:p>
        </w:tc>
      </w:tr>
    </w:tbl>
    <w:p>
      <w:pPr>
        <w:pStyle w:val="Normal"/>
        <w:widowControl/>
        <w:numPr>
          <w:ilvl w:val="0"/>
          <w:numId w:val="110"/>
        </w:numPr>
        <w:tabs>
          <w:tab w:val="left" w:pos="708" w:leader="none"/>
        </w:tabs>
        <w:suppressAutoHyphens w:val="true"/>
        <w:bidi w:val="0"/>
        <w:spacing w:lineRule="exact" w:line="360"/>
        <w:ind w:left="180" w:right="0" w:hanging="0"/>
        <w:jc w:val="left"/>
        <w:textAlignment w:val="auto"/>
        <w:rPr>
          <w:lang w:val="ro-MD"/>
        </w:rPr>
      </w:pPr>
      <w:r>
        <w:rPr>
          <w:rFonts w:cs="Times New Roman CE" w:ascii="Times New Roman CE" w:hAnsi="Times New Roman CE"/>
          <w:bCs/>
          <w:lang w:val="ro-MD"/>
        </w:rPr>
        <w:t>Descrierea elaborării (pînă la 150 de cuvinte)</w:t>
      </w:r>
    </w:p>
    <w:tbl>
      <w:tblPr>
        <w:tblW w:w="9664" w:type="dxa"/>
        <w:jc w:val="left"/>
        <w:tblInd w:w="3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3" w:type="dxa"/>
          <w:bottom w:w="0" w:type="dxa"/>
          <w:right w:w="108" w:type="dxa"/>
        </w:tblCellMar>
      </w:tblPr>
      <w:tblGrid>
        <w:gridCol w:w="9664"/>
      </w:tblGrid>
      <w:tr>
        <w:trPr/>
        <w:tc>
          <w:tcPr>
            <w:tcW w:w="9664"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tcMar>
              <w:left w:w="103" w:type="dxa"/>
            </w:tcMar>
          </w:tcPr>
          <w:p>
            <w:pPr>
              <w:pStyle w:val="Normal"/>
              <w:widowControl/>
              <w:bidi w:val="0"/>
              <w:ind w:left="0" w:right="0" w:hanging="0"/>
              <w:jc w:val="both"/>
              <w:textAlignment w:val="auto"/>
              <w:rPr>
                <w:lang w:val="en-US"/>
              </w:rPr>
            </w:pPr>
            <w:r>
              <w:rPr>
                <w:sz w:val="22"/>
                <w:szCs w:val="22"/>
                <w:lang w:val="en-US"/>
              </w:rPr>
              <w:t>The aim of the score is to assess portal hemodynamics disorders severity in liver cirrhosis, based on five non-invasive measurements, obtained by doppler ultrasound imaging.</w:t>
            </w:r>
          </w:p>
          <w:p>
            <w:pPr>
              <w:pStyle w:val="Normal"/>
              <w:widowControl/>
              <w:bidi w:val="0"/>
              <w:ind w:left="0" w:right="0" w:hanging="0"/>
              <w:jc w:val="both"/>
              <w:textAlignment w:val="auto"/>
              <w:rPr>
                <w:lang w:val="en-US"/>
              </w:rPr>
            </w:pPr>
            <w:r>
              <w:rPr>
                <w:sz w:val="22"/>
                <w:szCs w:val="22"/>
                <w:lang w:val="en-US"/>
              </w:rPr>
              <w:t xml:space="preserve">The scoring interpretation allows classification of portal hemodynamics disorders in liver cirrhosis as follows: low severity, middle severity, high severity. </w:t>
            </w:r>
            <w:r>
              <w:rPr>
                <w:color w:val="000000"/>
                <w:sz w:val="22"/>
                <w:szCs w:val="22"/>
                <w:lang w:val="en-US"/>
              </w:rPr>
              <w:t>The score employs five measures obtained by duplex ultrasound - spleen area, congestion index, splenoportal index, portal vascular index, portal hypertension index. Each measure is estimated to range from 1 to 6, with 6 indicating the most severe disorder.</w:t>
            </w:r>
          </w:p>
        </w:tc>
      </w:tr>
    </w:tbl>
    <w:p>
      <w:pPr>
        <w:pStyle w:val="Normal"/>
        <w:widowControl/>
        <w:numPr>
          <w:ilvl w:val="0"/>
          <w:numId w:val="110"/>
        </w:numPr>
        <w:tabs>
          <w:tab w:val="left" w:pos="708" w:leader="none"/>
        </w:tabs>
        <w:suppressAutoHyphens w:val="true"/>
        <w:bidi w:val="0"/>
        <w:ind w:left="180" w:right="0" w:hanging="0"/>
        <w:jc w:val="both"/>
        <w:textAlignment w:val="auto"/>
        <w:rPr>
          <w:lang w:val="ro-RO"/>
        </w:rPr>
      </w:pPr>
      <w:r>
        <w:rPr>
          <w:rFonts w:cs="Times New Roman CE" w:ascii="Times New Roman CE" w:hAnsi="Times New Roman CE"/>
          <w:lang w:val="ro-RO"/>
        </w:rPr>
        <w:t xml:space="preserve">Tipul elaborării: </w:t>
      </w:r>
    </w:p>
    <w:tbl>
      <w:tblPr>
        <w:tblW w:w="9664" w:type="dxa"/>
        <w:jc w:val="left"/>
        <w:tblInd w:w="3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3" w:type="dxa"/>
          <w:bottom w:w="0" w:type="dxa"/>
          <w:right w:w="108" w:type="dxa"/>
        </w:tblCellMar>
      </w:tblPr>
      <w:tblGrid>
        <w:gridCol w:w="9664"/>
      </w:tblGrid>
      <w:tr>
        <w:trPr/>
        <w:tc>
          <w:tcPr>
            <w:tcW w:w="9664"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tcMar>
              <w:left w:w="103" w:type="dxa"/>
            </w:tcMar>
          </w:tcPr>
          <w:p>
            <w:pPr>
              <w:pStyle w:val="Normal"/>
              <w:widowControl/>
              <w:bidi w:val="0"/>
              <w:ind w:left="0" w:right="0" w:hanging="0"/>
              <w:jc w:val="both"/>
              <w:textAlignment w:val="auto"/>
              <w:rPr>
                <w:lang w:val="ro-RO"/>
              </w:rPr>
            </w:pPr>
            <w:r>
              <w:rPr>
                <w:rFonts w:cs="Times New Roman CE" w:ascii="Times New Roman CE" w:hAnsi="Times New Roman CE"/>
                <w:b/>
                <w:i/>
                <w:lang w:val="ro-RO"/>
              </w:rPr>
              <w:t>Inovaţie</w:t>
            </w:r>
            <w:r>
              <w:rPr>
                <w:lang w:val="ro-RO"/>
              </w:rPr>
              <w:t xml:space="preserve"> </w:t>
            </w:r>
            <w:r>
              <w:rPr>
                <w:i/>
                <w:sz w:val="22"/>
                <w:szCs w:val="22"/>
                <w:lang w:val="ro-RO"/>
              </w:rPr>
              <w:t xml:space="preserve">(dezvoltarea unei metode de evaluare a </w:t>
            </w:r>
            <w:r>
              <w:rPr>
                <w:rFonts w:cs="Times New Roman CE" w:ascii="Times New Roman CE" w:hAnsi="Times New Roman CE"/>
                <w:i/>
                <w:sz w:val="22"/>
                <w:szCs w:val="22"/>
                <w:lang w:val="ro-RO"/>
              </w:rPr>
              <w:t xml:space="preserve">severităţii dereglărilor circulatorii în hipertensiunea portală asociată cirozei heppatice bazată </w:t>
            </w:r>
            <w:r>
              <w:rPr>
                <w:i/>
                <w:sz w:val="22"/>
                <w:szCs w:val="22"/>
                <w:lang w:val="ro-RO"/>
              </w:rPr>
              <w:t>pe un sistem de m</w:t>
            </w:r>
            <w:r>
              <w:rPr>
                <w:rFonts w:cs="Times New Roman CE" w:ascii="Times New Roman CE" w:hAnsi="Times New Roman CE"/>
                <w:i/>
                <w:sz w:val="22"/>
                <w:szCs w:val="22"/>
                <w:lang w:val="ro-RO"/>
              </w:rPr>
              <w:t>îsurări non-invazive, obţinute prin ecografia doppler duplex color).</w:t>
            </w:r>
          </w:p>
        </w:tc>
      </w:tr>
    </w:tbl>
    <w:p>
      <w:pPr>
        <w:pStyle w:val="Normal"/>
        <w:widowControl/>
        <w:numPr>
          <w:ilvl w:val="0"/>
          <w:numId w:val="110"/>
        </w:numPr>
        <w:tabs>
          <w:tab w:val="left" w:pos="708" w:leader="none"/>
        </w:tabs>
        <w:suppressAutoHyphens w:val="true"/>
        <w:bidi w:val="0"/>
        <w:ind w:left="180" w:right="0" w:hanging="0"/>
        <w:jc w:val="left"/>
        <w:textAlignment w:val="auto"/>
        <w:rPr>
          <w:lang w:val="ro-MD"/>
        </w:rPr>
      </w:pPr>
      <w:r>
        <w:rPr>
          <w:bCs/>
          <w:lang w:val="ro-MD"/>
        </w:rPr>
        <w:t>Cost</w:t>
      </w:r>
      <w:r>
        <w:rPr>
          <w:rFonts w:cs="Times New Roman CE" w:ascii="Times New Roman CE" w:hAnsi="Times New Roman CE"/>
          <w:bCs/>
          <w:lang w:val="ro-MD"/>
        </w:rPr>
        <w:t xml:space="preserve">ul estimativ total al elaborării, </w:t>
      </w:r>
      <w:r>
        <w:rPr>
          <w:bCs/>
          <w:u w:val="single"/>
          <w:lang w:val="ro-MD"/>
        </w:rPr>
        <w:t>domeniul de implementare</w:t>
      </w:r>
      <w:r>
        <w:rPr>
          <w:rFonts w:cs="Times New Roman CE" w:ascii="Times New Roman CE" w:hAnsi="Times New Roman CE"/>
          <w:bCs/>
          <w:lang w:val="ro-MD"/>
        </w:rPr>
        <w:t xml:space="preserve"> şi evaluarea potenţialului economic în urma implementării</w:t>
      </w:r>
    </w:p>
    <w:tbl>
      <w:tblPr>
        <w:tblW w:w="9664" w:type="dxa"/>
        <w:jc w:val="left"/>
        <w:tblInd w:w="3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3" w:type="dxa"/>
          <w:bottom w:w="0" w:type="dxa"/>
          <w:right w:w="108" w:type="dxa"/>
        </w:tblCellMar>
      </w:tblPr>
      <w:tblGrid>
        <w:gridCol w:w="9664"/>
      </w:tblGrid>
      <w:tr>
        <w:trPr/>
        <w:tc>
          <w:tcPr>
            <w:tcW w:w="9664"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tcMar>
              <w:left w:w="103" w:type="dxa"/>
            </w:tcMar>
          </w:tcPr>
          <w:p>
            <w:pPr>
              <w:pStyle w:val="Normal"/>
              <w:widowControl/>
              <w:bidi w:val="0"/>
              <w:ind w:left="0" w:right="0" w:hanging="0"/>
              <w:jc w:val="left"/>
              <w:textAlignment w:val="auto"/>
              <w:rPr>
                <w:lang w:val="ro-RO"/>
              </w:rPr>
            </w:pPr>
            <w:r>
              <w:rPr>
                <w:bCs/>
                <w:sz w:val="22"/>
                <w:szCs w:val="22"/>
                <w:lang w:val="ro-RO"/>
              </w:rPr>
              <w:t>D</w:t>
            </w:r>
            <w:r>
              <w:rPr>
                <w:bCs/>
                <w:sz w:val="22"/>
                <w:szCs w:val="22"/>
                <w:lang w:val="ro-MD"/>
              </w:rPr>
              <w:t>omeniul de implementare –</w:t>
            </w:r>
            <w:r>
              <w:rPr>
                <w:rFonts w:cs="Times New Roman CE" w:ascii="Times New Roman CE" w:hAnsi="Times New Roman CE"/>
                <w:bCs/>
                <w:sz w:val="22"/>
                <w:szCs w:val="22"/>
                <w:lang w:val="ro-RO"/>
              </w:rPr>
              <w:t xml:space="preserve"> diagnosticul ultrasonografic al pacienţilor cu ciroză hepatică.</w:t>
            </w:r>
          </w:p>
        </w:tc>
      </w:tr>
    </w:tbl>
    <w:p>
      <w:pPr>
        <w:pStyle w:val="Normal"/>
        <w:widowControl/>
        <w:numPr>
          <w:ilvl w:val="0"/>
          <w:numId w:val="110"/>
        </w:numPr>
        <w:tabs>
          <w:tab w:val="left" w:pos="708" w:leader="none"/>
        </w:tabs>
        <w:suppressAutoHyphens w:val="true"/>
        <w:bidi w:val="0"/>
        <w:ind w:left="180" w:right="0" w:hanging="0"/>
        <w:jc w:val="left"/>
        <w:textAlignment w:val="auto"/>
        <w:rPr>
          <w:lang w:val="ro-MD"/>
        </w:rPr>
      </w:pPr>
      <w:r>
        <w:rPr>
          <w:rFonts w:cs="Times New Roman CE" w:ascii="Times New Roman CE" w:hAnsi="Times New Roman CE"/>
          <w:lang w:val="ro-MD"/>
        </w:rPr>
        <w:t xml:space="preserve">Caracteristici tehnice şi economice, încercări </w:t>
      </w:r>
      <w:r>
        <w:rPr>
          <w:lang w:val="ro-MD"/>
        </w:rPr>
        <w:t>experimentale</w:t>
      </w:r>
    </w:p>
    <w:tbl>
      <w:tblPr>
        <w:tblW w:w="9664" w:type="dxa"/>
        <w:jc w:val="left"/>
        <w:tblInd w:w="3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3" w:type="dxa"/>
          <w:bottom w:w="0" w:type="dxa"/>
          <w:right w:w="108" w:type="dxa"/>
        </w:tblCellMar>
      </w:tblPr>
      <w:tblGrid>
        <w:gridCol w:w="9664"/>
      </w:tblGrid>
      <w:tr>
        <w:trPr/>
        <w:tc>
          <w:tcPr>
            <w:tcW w:w="9664"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tcMar>
              <w:left w:w="103" w:type="dxa"/>
            </w:tcMar>
          </w:tcPr>
          <w:p>
            <w:pPr>
              <w:pStyle w:val="Normal"/>
              <w:widowControl/>
              <w:bidi w:val="0"/>
              <w:ind w:left="0" w:right="0" w:hanging="0"/>
              <w:jc w:val="both"/>
              <w:textAlignment w:val="auto"/>
              <w:rPr>
                <w:lang w:val="ro-RO"/>
              </w:rPr>
            </w:pPr>
            <w:r>
              <w:rPr>
                <w:rFonts w:cs="Times New Roman CE" w:ascii="Times New Roman CE" w:hAnsi="Times New Roman CE"/>
                <w:i/>
                <w:sz w:val="22"/>
                <w:szCs w:val="22"/>
                <w:lang w:val="ro-RO"/>
              </w:rPr>
              <w:t>A fost deja efectuată exploatarea experimentală a elaborării? Descrieţi rezultatele.</w:t>
            </w:r>
            <w:r>
              <w:rPr>
                <w:sz w:val="22"/>
                <w:szCs w:val="22"/>
                <w:lang w:val="ro-RO"/>
              </w:rPr>
              <w:t xml:space="preserve"> Material and methods: 111 (one hundred eleven) patients who were diagnosed with cirrhosis formed the research cohort. These patients had an enhanced clinical and biological evaluation. Ultrasound examination was done by Logiq E9, Voluson E8 equipment, using linear probe of 7-10 MHz frequency and convex probe of 3.5-5 MHz frequency by the transabdominal access, in real time two-dimensional (B) regimen, with the subsequent use of color Doppler and spectral Doppler techniques.</w:t>
            </w:r>
          </w:p>
        </w:tc>
      </w:tr>
    </w:tbl>
    <w:p>
      <w:pPr>
        <w:pStyle w:val="Normal"/>
        <w:widowControl/>
        <w:numPr>
          <w:ilvl w:val="0"/>
          <w:numId w:val="110"/>
        </w:numPr>
        <w:tabs>
          <w:tab w:val="left" w:pos="708" w:leader="none"/>
        </w:tabs>
        <w:suppressAutoHyphens w:val="true"/>
        <w:bidi w:val="0"/>
        <w:ind w:left="180" w:right="0" w:hanging="0"/>
        <w:jc w:val="left"/>
        <w:textAlignment w:val="auto"/>
        <w:rPr>
          <w:lang w:val="ro-MD"/>
        </w:rPr>
      </w:pPr>
      <w:r>
        <w:rPr>
          <w:rFonts w:cs="Times New Roman CE" w:ascii="Times New Roman CE" w:hAnsi="Times New Roman CE"/>
          <w:bCs/>
          <w:lang w:val="ro-MD"/>
        </w:rPr>
        <w:t>Stadiul de pregătire pentru implementare</w:t>
      </w:r>
      <w:r>
        <w:rPr>
          <w:bCs/>
          <w:sz w:val="26"/>
          <w:szCs w:val="26"/>
          <w:lang w:val="ro-MD"/>
        </w:rPr>
        <w:t xml:space="preserve"> </w:t>
      </w:r>
    </w:p>
    <w:tbl>
      <w:tblPr>
        <w:tblW w:w="9745" w:type="dxa"/>
        <w:jc w:val="left"/>
        <w:tblInd w:w="3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3" w:type="dxa"/>
          <w:bottom w:w="0" w:type="dxa"/>
          <w:right w:w="108" w:type="dxa"/>
        </w:tblCellMar>
      </w:tblPr>
      <w:tblGrid>
        <w:gridCol w:w="9745"/>
      </w:tblGrid>
      <w:tr>
        <w:trPr>
          <w:trHeight w:val="225" w:hRule="atLeast"/>
        </w:trPr>
        <w:tc>
          <w:tcPr>
            <w:tcW w:w="9745"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tcMar>
              <w:left w:w="103" w:type="dxa"/>
            </w:tcMar>
          </w:tcPr>
          <w:p>
            <w:pPr>
              <w:pStyle w:val="Normal"/>
              <w:widowControl/>
              <w:bidi w:val="0"/>
              <w:ind w:left="0" w:right="0" w:hanging="0"/>
              <w:jc w:val="left"/>
              <w:textAlignment w:val="auto"/>
              <w:rPr>
                <w:lang w:val="ro-RO"/>
              </w:rPr>
            </w:pPr>
            <w:r>
              <w:rPr>
                <w:b/>
                <w:bCs/>
                <w:sz w:val="22"/>
                <w:szCs w:val="22"/>
                <w:lang w:val="ro-RO"/>
              </w:rPr>
              <w:t>A fost prezentat un proiect de transfer tehnologic – Nr.340.</w:t>
            </w:r>
          </w:p>
        </w:tc>
      </w:tr>
    </w:tbl>
    <w:p>
      <w:pPr>
        <w:pStyle w:val="Normal"/>
        <w:widowControl/>
        <w:numPr>
          <w:ilvl w:val="0"/>
          <w:numId w:val="110"/>
        </w:numPr>
        <w:tabs>
          <w:tab w:val="left" w:pos="708" w:leader="none"/>
        </w:tabs>
        <w:suppressAutoHyphens w:val="true"/>
        <w:bidi w:val="0"/>
        <w:ind w:left="180" w:right="0" w:hanging="0"/>
        <w:jc w:val="left"/>
        <w:textAlignment w:val="auto"/>
        <w:rPr>
          <w:lang w:val="ro-MD"/>
        </w:rPr>
      </w:pPr>
      <w:r>
        <w:rPr>
          <w:bCs/>
          <w:lang w:val="ro-MD"/>
        </w:rPr>
        <w:t>Drepturile de autor</w:t>
      </w:r>
    </w:p>
    <w:tbl>
      <w:tblPr>
        <w:tblW w:w="9760" w:type="dxa"/>
        <w:jc w:val="left"/>
        <w:tblInd w:w="38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3" w:type="dxa"/>
          <w:bottom w:w="0" w:type="dxa"/>
          <w:right w:w="108" w:type="dxa"/>
        </w:tblCellMar>
      </w:tblPr>
      <w:tblGrid>
        <w:gridCol w:w="9760"/>
      </w:tblGrid>
      <w:tr>
        <w:trPr/>
        <w:tc>
          <w:tcPr>
            <w:tcW w:w="9760"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
                <w:color w:val="000000"/>
                <w:sz w:val="22"/>
                <w:szCs w:val="22"/>
                <w:lang w:val="ro-RO"/>
              </w:rPr>
              <w:t xml:space="preserve">TÂMBALĂ </w:t>
            </w:r>
            <w:r>
              <w:rPr>
                <w:i/>
                <w:color w:val="000000"/>
                <w:sz w:val="22"/>
                <w:szCs w:val="22"/>
              </w:rPr>
              <w:t>C</w:t>
            </w:r>
            <w:r>
              <w:rPr>
                <w:i/>
                <w:color w:val="000000"/>
                <w:sz w:val="22"/>
                <w:szCs w:val="22"/>
                <w:lang w:val="ro-RO"/>
              </w:rPr>
              <w:t>arolina</w:t>
            </w:r>
            <w:r>
              <w:rPr>
                <w:i/>
                <w:color w:val="000000"/>
                <w:sz w:val="22"/>
                <w:szCs w:val="22"/>
              </w:rPr>
              <w:t>.</w:t>
            </w:r>
            <w:r>
              <w:rPr>
                <w:i/>
                <w:color w:val="000000"/>
                <w:sz w:val="22"/>
                <w:szCs w:val="22"/>
                <w:lang w:val="ro-RO"/>
              </w:rPr>
              <w:t>; SECRIERU Iulian</w:t>
            </w:r>
          </w:p>
        </w:tc>
      </w:tr>
    </w:tbl>
    <w:p>
      <w:pPr>
        <w:pStyle w:val="Normal"/>
        <w:widowControl/>
        <w:numPr>
          <w:ilvl w:val="0"/>
          <w:numId w:val="110"/>
        </w:numPr>
        <w:tabs>
          <w:tab w:val="left" w:pos="708" w:leader="none"/>
        </w:tabs>
        <w:suppressAutoHyphens w:val="true"/>
        <w:bidi w:val="0"/>
        <w:ind w:left="180" w:right="0" w:hanging="0"/>
        <w:jc w:val="left"/>
        <w:textAlignment w:val="auto"/>
        <w:rPr>
          <w:lang w:val="ro-MD"/>
        </w:rPr>
      </w:pPr>
      <w:r>
        <w:rPr>
          <w:rFonts w:cs="Times New Roman CE" w:ascii="Times New Roman CE" w:hAnsi="Times New Roman CE"/>
          <w:bCs/>
          <w:lang w:val="ro-MD"/>
        </w:rPr>
        <w:t>Posibilităţile de realizare pe piaţa autohtonă şi mondială</w:t>
      </w:r>
    </w:p>
    <w:tbl>
      <w:tblPr>
        <w:tblW w:w="9785" w:type="dxa"/>
        <w:jc w:val="left"/>
        <w:tblInd w:w="38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3" w:type="dxa"/>
          <w:bottom w:w="0" w:type="dxa"/>
          <w:right w:w="108" w:type="dxa"/>
        </w:tblCellMar>
      </w:tblPr>
      <w:tblGrid>
        <w:gridCol w:w="9785"/>
      </w:tblGrid>
      <w:tr>
        <w:trPr>
          <w:trHeight w:val="503" w:hRule="atLeast"/>
        </w:trPr>
        <w:tc>
          <w:tcPr>
            <w:tcW w:w="9785"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Potenţialul de implementare este unul mare, deoarece la moment, nu se aplică nici o metodă analogică în diagnosticarea cirozei hepatice.</w:t>
            </w:r>
          </w:p>
        </w:tc>
      </w:tr>
    </w:tbl>
    <w:p>
      <w:pPr>
        <w:pStyle w:val="Normal"/>
        <w:widowControl/>
        <w:numPr>
          <w:ilvl w:val="0"/>
          <w:numId w:val="110"/>
        </w:numPr>
        <w:tabs>
          <w:tab w:val="left" w:pos="708" w:leader="none"/>
        </w:tabs>
        <w:suppressAutoHyphens w:val="true"/>
        <w:bidi w:val="0"/>
        <w:ind w:left="180" w:right="0" w:hanging="0"/>
        <w:jc w:val="left"/>
        <w:textAlignment w:val="auto"/>
        <w:rPr>
          <w:lang w:val="ro-MD"/>
        </w:rPr>
      </w:pPr>
      <w:r>
        <w:rPr>
          <w:rFonts w:cs="Times New Roman CE" w:ascii="Times New Roman CE" w:hAnsi="Times New Roman CE"/>
          <w:bCs/>
          <w:lang w:val="ro-MD"/>
        </w:rPr>
        <w:t>Beneficiar (pentru elaborări finanţate din surse extrabugetare)</w:t>
      </w:r>
    </w:p>
    <w:tbl>
      <w:tblPr>
        <w:tblW w:w="9774" w:type="dxa"/>
        <w:jc w:val="left"/>
        <w:tblInd w:w="38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0" w:type="dxa"/>
          <w:left w:w="103" w:type="dxa"/>
          <w:bottom w:w="0" w:type="dxa"/>
          <w:right w:w="108" w:type="dxa"/>
        </w:tblCellMar>
      </w:tblPr>
      <w:tblGrid>
        <w:gridCol w:w="9774"/>
      </w:tblGrid>
      <w:tr>
        <w:trPr/>
        <w:tc>
          <w:tcPr>
            <w:tcW w:w="9774" w:type="dxa"/>
            <w:tcBorders>
              <w:top w:val="single" w:sz="4" w:space="0" w:color="808080"/>
              <w:left w:val="single" w:sz="4" w:space="0" w:color="808080"/>
              <w:bottom w:val="single" w:sz="4" w:space="0" w:color="808080"/>
              <w:right w:val="single" w:sz="4" w:space="0" w:color="808080"/>
              <w:insideH w:val="single" w:sz="4" w:space="0" w:color="808080"/>
              <w:insideV w:val="single" w:sz="4" w:space="0" w:color="808080"/>
            </w:tcBorders>
            <w:shd w:fill="auto" w:val="clear"/>
            <w:tcMar>
              <w:left w:w="103" w:type="dxa"/>
            </w:tcMar>
            <w:vAlign w:val="center"/>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Centrele medicale de diagnostic, clinicienii, medicii de familie, ş.a.</w:t>
            </w:r>
          </w:p>
        </w:tc>
      </w:tr>
    </w:tbl>
    <w:p>
      <w:pPr>
        <w:pStyle w:val="Normal"/>
        <w:widowControl/>
        <w:numPr>
          <w:ilvl w:val="0"/>
          <w:numId w:val="110"/>
        </w:numPr>
        <w:tabs>
          <w:tab w:val="left" w:pos="708" w:leader="none"/>
        </w:tabs>
        <w:suppressAutoHyphens w:val="true"/>
        <w:bidi w:val="0"/>
        <w:ind w:left="180" w:right="0" w:hanging="0"/>
        <w:jc w:val="left"/>
        <w:textAlignment w:val="auto"/>
        <w:rPr>
          <w:lang w:val="ro-MD"/>
        </w:rPr>
      </w:pPr>
      <w:r>
        <w:rPr>
          <w:rFonts w:cs="Times New Roman CE" w:ascii="Times New Roman CE" w:hAnsi="Times New Roman CE"/>
          <w:bCs/>
          <w:lang w:val="ro-MD"/>
        </w:rPr>
        <w:t xml:space="preserve">Avantaje (în comparaţie cu produsele analoage existente), </w:t>
      </w:r>
      <w:r>
        <w:rPr>
          <w:rFonts w:cs="Times New Roman CE" w:ascii="Times New Roman CE" w:hAnsi="Times New Roman CE"/>
          <w:lang w:val="ro-MD"/>
        </w:rPr>
        <w:t>efectul economic şi social preconizat sau real.</w:t>
      </w:r>
      <w:r>
        <w:rPr>
          <w:i/>
          <w:lang w:val="ro-MD"/>
        </w:rPr>
        <w:t xml:space="preserve"> </w:t>
      </w:r>
      <w:r>
        <w:rPr>
          <w:rFonts w:cs="Times New Roman CE" w:ascii="Times New Roman CE" w:hAnsi="Times New Roman CE"/>
          <w:lang w:val="ro-RO"/>
        </w:rPr>
        <w:t>Se bazează pe măsurări non-invazive.</w:t>
      </w:r>
    </w:p>
    <w:p>
      <w:pPr>
        <w:pStyle w:val="Normal"/>
        <w:widowControl/>
        <w:tabs>
          <w:tab w:val="left" w:pos="2059" w:leader="none"/>
        </w:tabs>
        <w:bidi w:val="0"/>
        <w:ind w:left="2059" w:right="0" w:hanging="0"/>
        <w:jc w:val="left"/>
        <w:textAlignment w:val="auto"/>
        <w:rPr>
          <w:rFonts w:ascii="Times New Roman" w:hAnsi="Times New Roman"/>
          <w:bCs/>
          <w:lang w:val="fr-FR"/>
        </w:rPr>
      </w:pPr>
      <w:r>
        <w:rPr>
          <w:bCs/>
          <w:lang w:val="fr-FR"/>
        </w:rPr>
        <w:drawing>
          <wp:anchor behindDoc="0" distT="0" distB="0" distL="0" distR="0" simplePos="0" locked="0" layoutInCell="1" allowOverlap="1" relativeHeight="14">
            <wp:simplePos x="0" y="0"/>
            <wp:positionH relativeFrom="column">
              <wp:posOffset>-424815</wp:posOffset>
            </wp:positionH>
            <wp:positionV relativeFrom="paragraph">
              <wp:posOffset>-106045</wp:posOffset>
            </wp:positionV>
            <wp:extent cx="3209925" cy="4326255"/>
            <wp:effectExtent l="0" t="0" r="0" b="0"/>
            <wp:wrapSquare wrapText="bothSides"/>
            <wp:docPr id="13" name="Изображение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2" descr=""/>
                    <pic:cNvPicPr>
                      <a:picLocks noChangeAspect="1" noChangeArrowheads="1"/>
                    </pic:cNvPicPr>
                  </pic:nvPicPr>
                  <pic:blipFill>
                    <a:blip r:embed="rId50"/>
                    <a:stretch>
                      <a:fillRect/>
                    </a:stretch>
                  </pic:blipFill>
                  <pic:spPr bwMode="auto">
                    <a:xfrm>
                      <a:off x="0" y="0"/>
                      <a:ext cx="3209925" cy="4326255"/>
                    </a:xfrm>
                    <a:prstGeom prst="rect">
                      <a:avLst/>
                    </a:prstGeom>
                  </pic:spPr>
                </pic:pic>
              </a:graphicData>
            </a:graphic>
          </wp:anchor>
        </w:drawing>
        <w:drawing>
          <wp:anchor behindDoc="0" distT="0" distB="0" distL="0" distR="0" simplePos="0" locked="0" layoutInCell="1" allowOverlap="1" relativeHeight="15">
            <wp:simplePos x="0" y="0"/>
            <wp:positionH relativeFrom="column">
              <wp:posOffset>2670810</wp:posOffset>
            </wp:positionH>
            <wp:positionV relativeFrom="paragraph">
              <wp:posOffset>-216535</wp:posOffset>
            </wp:positionV>
            <wp:extent cx="4123055" cy="4379595"/>
            <wp:effectExtent l="0" t="0" r="0" b="0"/>
            <wp:wrapSquare wrapText="bothSides"/>
            <wp:docPr id="14" name="Изображение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3" descr=""/>
                    <pic:cNvPicPr>
                      <a:picLocks noChangeAspect="1" noChangeArrowheads="1"/>
                    </pic:cNvPicPr>
                  </pic:nvPicPr>
                  <pic:blipFill>
                    <a:blip r:embed="rId51"/>
                    <a:stretch>
                      <a:fillRect/>
                    </a:stretch>
                  </pic:blipFill>
                  <pic:spPr bwMode="auto">
                    <a:xfrm>
                      <a:off x="0" y="0"/>
                      <a:ext cx="4123055" cy="4379595"/>
                    </a:xfrm>
                    <a:prstGeom prst="rect">
                      <a:avLst/>
                    </a:prstGeom>
                  </pic:spPr>
                </pic:pic>
              </a:graphicData>
            </a:graphic>
          </wp:anchor>
        </w:drawing>
      </w:r>
    </w:p>
    <w:p>
      <w:pPr>
        <w:pStyle w:val="Normal"/>
        <w:widowControl/>
        <w:tabs>
          <w:tab w:val="left" w:pos="2059" w:leader="none"/>
        </w:tabs>
        <w:bidi w:val="0"/>
        <w:ind w:left="2059" w:right="0" w:hanging="0"/>
        <w:jc w:val="left"/>
        <w:textAlignment w:val="auto"/>
        <w:rPr>
          <w:rFonts w:ascii="Times New Roman" w:hAnsi="Times New Roman"/>
          <w:bCs/>
          <w:lang w:val="ro-MD"/>
        </w:rPr>
      </w:pPr>
      <w:r>
        <w:rPr>
          <w:bCs/>
          <w:lang w:val="ro-MD"/>
        </w:rPr>
      </w:r>
    </w:p>
    <w:p>
      <w:pPr>
        <w:pStyle w:val="Normal"/>
        <w:widowControl/>
        <w:tabs>
          <w:tab w:val="left" w:pos="2059" w:leader="none"/>
        </w:tabs>
        <w:bidi w:val="0"/>
        <w:ind w:left="2059" w:right="0" w:hanging="0"/>
        <w:jc w:val="left"/>
        <w:textAlignment w:val="auto"/>
        <w:rPr>
          <w:rFonts w:ascii="Times New Roman" w:hAnsi="Times New Roman"/>
          <w:bCs/>
          <w:lang w:val="ro-MD"/>
        </w:rPr>
      </w:pPr>
      <w:r>
        <w:rPr>
          <w:bCs/>
          <w:lang w:val="ro-MD"/>
        </w:rPr>
      </w:r>
    </w:p>
    <w:p>
      <w:pPr>
        <w:pStyle w:val="Normal"/>
        <w:widowControl/>
        <w:tabs>
          <w:tab w:val="left" w:pos="2059" w:leader="none"/>
        </w:tabs>
        <w:bidi w:val="0"/>
        <w:ind w:left="2059" w:right="0" w:hanging="0"/>
        <w:jc w:val="left"/>
        <w:textAlignment w:val="auto"/>
        <w:rPr>
          <w:rFonts w:ascii="Times New Roman" w:hAnsi="Times New Roman"/>
          <w:bCs/>
          <w:lang w:val="ro-MD"/>
        </w:rPr>
      </w:pPr>
      <w:r>
        <w:rPr>
          <w:bCs/>
          <w:lang w:val="ro-MD"/>
        </w:rPr>
      </w:r>
    </w:p>
    <w:p>
      <w:pPr>
        <w:pStyle w:val="Normal"/>
        <w:widowControl/>
        <w:tabs>
          <w:tab w:val="left" w:pos="2059" w:leader="none"/>
        </w:tabs>
        <w:bidi w:val="0"/>
        <w:ind w:left="2059" w:right="0" w:hanging="0"/>
        <w:jc w:val="left"/>
        <w:textAlignment w:val="auto"/>
        <w:rPr>
          <w:rFonts w:ascii="Times New Roman" w:hAnsi="Times New Roman"/>
          <w:bCs/>
          <w:lang w:val="ro-MD"/>
        </w:rPr>
      </w:pPr>
      <w:r>
        <w:rPr>
          <w:bCs/>
          <w:lang w:val="ro-MD"/>
        </w:rPr>
      </w:r>
    </w:p>
    <w:p>
      <w:pPr>
        <w:pStyle w:val="Normal"/>
        <w:widowControl/>
        <w:tabs>
          <w:tab w:val="left" w:pos="2059" w:leader="none"/>
        </w:tabs>
        <w:bidi w:val="0"/>
        <w:ind w:left="2059" w:right="0" w:hanging="0"/>
        <w:jc w:val="left"/>
        <w:textAlignment w:val="auto"/>
        <w:rPr>
          <w:rFonts w:ascii="Times New Roman" w:hAnsi="Times New Roman"/>
          <w:bCs/>
          <w:lang w:val="ro-MD"/>
        </w:rPr>
      </w:pPr>
      <w:r>
        <w:rPr>
          <w:bCs/>
          <w:lang w:val="ro-MD"/>
        </w:rPr>
      </w:r>
    </w:p>
    <w:p>
      <w:pPr>
        <w:pStyle w:val="Normal"/>
        <w:widowControl/>
        <w:tabs>
          <w:tab w:val="left" w:pos="2059" w:leader="none"/>
        </w:tabs>
        <w:bidi w:val="0"/>
        <w:ind w:left="2059" w:right="0" w:hanging="0"/>
        <w:jc w:val="left"/>
        <w:textAlignment w:val="auto"/>
        <w:rPr>
          <w:rFonts w:ascii="Times New Roman" w:hAnsi="Times New Roman"/>
          <w:bCs/>
          <w:lang w:val="ro-MD"/>
        </w:rPr>
      </w:pPr>
      <w:r>
        <w:rPr>
          <w:bCs/>
          <w:lang w:val="ro-MD"/>
        </w:rPr>
      </w:r>
    </w:p>
    <w:p>
      <w:pPr>
        <w:pStyle w:val="Normal"/>
        <w:widowControl/>
        <w:tabs>
          <w:tab w:val="left" w:pos="2059" w:leader="none"/>
        </w:tabs>
        <w:bidi w:val="0"/>
        <w:ind w:left="2059" w:right="0" w:hanging="0"/>
        <w:jc w:val="left"/>
        <w:textAlignment w:val="auto"/>
        <w:rPr>
          <w:rFonts w:ascii="Times New Roman" w:hAnsi="Times New Roman"/>
          <w:bCs/>
          <w:lang w:val="ro-MD"/>
        </w:rPr>
      </w:pPr>
      <w:r>
        <w:rPr>
          <w:bCs/>
          <w:lang w:val="ro-MD"/>
        </w:rPr>
      </w:r>
    </w:p>
    <w:p>
      <w:pPr>
        <w:pStyle w:val="Normal"/>
        <w:widowControl/>
        <w:tabs>
          <w:tab w:val="left" w:pos="2059" w:leader="none"/>
        </w:tabs>
        <w:bidi w:val="0"/>
        <w:ind w:left="2059" w:right="0" w:hanging="0"/>
        <w:jc w:val="left"/>
        <w:textAlignment w:val="auto"/>
        <w:rPr>
          <w:rFonts w:ascii="Times New Roman" w:hAnsi="Times New Roman"/>
          <w:bCs/>
          <w:lang w:val="ro-MD"/>
        </w:rPr>
      </w:pPr>
      <w:r>
        <w:rPr>
          <w:bCs/>
          <w:lang w:val="ro-MD"/>
        </w:rPr>
      </w:r>
    </w:p>
    <w:p>
      <w:pPr>
        <w:pStyle w:val="Normal"/>
        <w:widowControl/>
        <w:tabs>
          <w:tab w:val="left" w:pos="2059" w:leader="none"/>
        </w:tabs>
        <w:bidi w:val="0"/>
        <w:ind w:left="2059" w:right="0" w:hanging="0"/>
        <w:jc w:val="left"/>
        <w:textAlignment w:val="auto"/>
        <w:rPr>
          <w:rFonts w:ascii="Times New Roman" w:hAnsi="Times New Roman"/>
          <w:bCs/>
          <w:lang w:val="ro-MD"/>
        </w:rPr>
      </w:pPr>
      <w:r>
        <w:rPr>
          <w:bCs/>
          <w:lang w:val="ro-MD"/>
        </w:rPr>
      </w:r>
    </w:p>
    <w:p>
      <w:pPr>
        <w:pStyle w:val="Normal"/>
        <w:widowControl/>
        <w:tabs>
          <w:tab w:val="left" w:pos="2059" w:leader="none"/>
        </w:tabs>
        <w:bidi w:val="0"/>
        <w:ind w:left="2059" w:right="0" w:hanging="0"/>
        <w:jc w:val="left"/>
        <w:textAlignment w:val="auto"/>
        <w:rPr>
          <w:rFonts w:ascii="Times New Roman" w:hAnsi="Times New Roman"/>
          <w:bCs/>
          <w:lang w:val="ro-MD"/>
        </w:rPr>
      </w:pPr>
      <w:r>
        <w:rPr>
          <w:bCs/>
          <w:lang w:val="ro-MD"/>
        </w:rPr>
      </w:r>
    </w:p>
    <w:p>
      <w:pPr>
        <w:pStyle w:val="Normal"/>
        <w:widowControl/>
        <w:tabs>
          <w:tab w:val="left" w:pos="2059" w:leader="none"/>
        </w:tabs>
        <w:bidi w:val="0"/>
        <w:ind w:left="2059" w:right="0" w:hanging="0"/>
        <w:jc w:val="left"/>
        <w:textAlignment w:val="auto"/>
        <w:rPr>
          <w:rFonts w:ascii="Times New Roman" w:hAnsi="Times New Roman"/>
          <w:bCs/>
          <w:lang w:val="ro-MD"/>
        </w:rPr>
      </w:pPr>
      <w:r>
        <w:rPr>
          <w:bCs/>
          <w:lang w:val="ro-MD"/>
        </w:rPr>
      </w:r>
    </w:p>
    <w:p>
      <w:pPr>
        <w:pStyle w:val="Normal"/>
        <w:widowControl/>
        <w:tabs>
          <w:tab w:val="left" w:pos="2059" w:leader="none"/>
        </w:tabs>
        <w:bidi w:val="0"/>
        <w:ind w:left="2059" w:right="0" w:hanging="0"/>
        <w:jc w:val="left"/>
        <w:textAlignment w:val="auto"/>
        <w:rPr>
          <w:rFonts w:ascii="Times New Roman" w:hAnsi="Times New Roman"/>
          <w:bCs/>
          <w:lang w:val="ro-MD"/>
        </w:rPr>
      </w:pPr>
      <w:r>
        <w:rPr>
          <w:bCs/>
          <w:lang w:val="ro-MD"/>
        </w:rPr>
      </w:r>
    </w:p>
    <w:p>
      <w:pPr>
        <w:pStyle w:val="Normal"/>
        <w:widowControl/>
        <w:tabs>
          <w:tab w:val="left" w:pos="2059" w:leader="none"/>
        </w:tabs>
        <w:bidi w:val="0"/>
        <w:ind w:left="2059" w:right="0" w:hanging="0"/>
        <w:jc w:val="left"/>
        <w:textAlignment w:val="auto"/>
        <w:rPr>
          <w:rFonts w:ascii="Times New Roman" w:hAnsi="Times New Roman"/>
          <w:bCs/>
          <w:lang w:val="ro-MD"/>
        </w:rPr>
      </w:pPr>
      <w:r>
        <w:rPr>
          <w:bCs/>
          <w:lang w:val="ro-MD"/>
        </w:rPr>
      </w:r>
    </w:p>
    <w:p>
      <w:pPr>
        <w:pStyle w:val="Normal"/>
        <w:widowControl/>
        <w:tabs>
          <w:tab w:val="left" w:pos="2059" w:leader="none"/>
        </w:tabs>
        <w:bidi w:val="0"/>
        <w:ind w:left="2059" w:right="0" w:hanging="0"/>
        <w:jc w:val="left"/>
        <w:textAlignment w:val="auto"/>
        <w:rPr>
          <w:rFonts w:ascii="Times New Roman" w:hAnsi="Times New Roman"/>
          <w:bCs/>
          <w:lang w:val="ro-MD"/>
        </w:rPr>
      </w:pPr>
      <w:r>
        <w:rPr>
          <w:bCs/>
          <w:lang w:val="ro-MD"/>
        </w:rPr>
      </w:r>
    </w:p>
    <w:p>
      <w:pPr>
        <w:pStyle w:val="Normal"/>
        <w:widowControl/>
        <w:tabs>
          <w:tab w:val="left" w:pos="2059" w:leader="none"/>
        </w:tabs>
        <w:bidi w:val="0"/>
        <w:ind w:left="2059" w:right="0" w:hanging="0"/>
        <w:jc w:val="left"/>
        <w:textAlignment w:val="auto"/>
        <w:rPr>
          <w:rFonts w:ascii="Times New Roman" w:hAnsi="Times New Roman"/>
          <w:bCs/>
          <w:lang w:val="ro-MD"/>
        </w:rPr>
      </w:pPr>
      <w:r>
        <w:rPr>
          <w:bCs/>
          <w:lang w:val="ro-MD"/>
        </w:rPr>
      </w:r>
    </w:p>
    <w:p>
      <w:pPr>
        <w:pStyle w:val="Normal"/>
        <w:widowControl/>
        <w:tabs>
          <w:tab w:val="left" w:pos="2059" w:leader="none"/>
        </w:tabs>
        <w:bidi w:val="0"/>
        <w:ind w:left="2059" w:right="0" w:hanging="0"/>
        <w:jc w:val="left"/>
        <w:textAlignment w:val="auto"/>
        <w:rPr>
          <w:rFonts w:ascii="Times New Roman" w:hAnsi="Times New Roman"/>
          <w:bCs/>
          <w:lang w:val="ro-MD"/>
        </w:rPr>
      </w:pPr>
      <w:r>
        <w:rPr>
          <w:bCs/>
          <w:lang w:val="ro-MD"/>
        </w:rPr>
      </w:r>
    </w:p>
    <w:p>
      <w:pPr>
        <w:pStyle w:val="Normal"/>
        <w:widowControl/>
        <w:tabs>
          <w:tab w:val="left" w:pos="2059" w:leader="none"/>
        </w:tabs>
        <w:bidi w:val="0"/>
        <w:ind w:left="2059" w:right="0" w:hanging="0"/>
        <w:jc w:val="left"/>
        <w:textAlignment w:val="auto"/>
        <w:rPr>
          <w:rFonts w:ascii="Times New Roman" w:hAnsi="Times New Roman"/>
          <w:bCs/>
          <w:lang w:val="ro-MD"/>
        </w:rPr>
      </w:pPr>
      <w:r>
        <w:rPr>
          <w:bCs/>
          <w:lang w:val="ro-MD"/>
        </w:rPr>
      </w:r>
    </w:p>
    <w:p>
      <w:pPr>
        <w:pStyle w:val="Normal"/>
        <w:widowControl/>
        <w:tabs>
          <w:tab w:val="left" w:pos="2059" w:leader="none"/>
        </w:tabs>
        <w:bidi w:val="0"/>
        <w:ind w:left="2059" w:right="0" w:hanging="0"/>
        <w:jc w:val="left"/>
        <w:textAlignment w:val="auto"/>
        <w:rPr>
          <w:rFonts w:ascii="Times New Roman" w:hAnsi="Times New Roman"/>
          <w:bCs/>
          <w:lang w:val="ro-MD"/>
        </w:rPr>
      </w:pPr>
      <w:r>
        <w:rPr>
          <w:bCs/>
          <w:lang w:val="ro-MD"/>
        </w:rPr>
      </w:r>
    </w:p>
    <w:p>
      <w:pPr>
        <w:pStyle w:val="1"/>
        <w:keepNext/>
        <w:widowControl/>
        <w:numPr>
          <w:ilvl w:val="0"/>
          <w:numId w:val="0"/>
        </w:numPr>
        <w:bidi w:val="0"/>
        <w:spacing w:before="240" w:after="60"/>
        <w:ind w:left="0" w:right="0" w:hanging="0"/>
        <w:jc w:val="right"/>
        <w:textAlignment w:val="auto"/>
        <w:outlineLvl w:val="0"/>
        <w:rPr>
          <w:b w:val="false"/>
          <w:b w:val="false"/>
          <w:lang w:val="en-US"/>
        </w:rPr>
      </w:pPr>
      <w:bookmarkStart w:id="96" w:name="_Toc469651898"/>
      <w:bookmarkEnd w:id="96"/>
      <w:r>
        <w:rPr>
          <w:rFonts w:cs="Times New Roman" w:ascii="Times New Roman" w:hAnsi="Times New Roman"/>
          <w:b w:val="false"/>
          <w:lang w:val="en-US"/>
        </w:rPr>
        <w:t>Anexe E2</w:t>
      </w:r>
    </w:p>
    <w:p>
      <w:pPr>
        <w:pStyle w:val="2"/>
        <w:keepNext/>
        <w:widowControl/>
        <w:numPr>
          <w:ilvl w:val="0"/>
          <w:numId w:val="0"/>
        </w:numPr>
        <w:bidi w:val="0"/>
        <w:ind w:left="0" w:right="0" w:hanging="0"/>
        <w:jc w:val="left"/>
        <w:textAlignment w:val="auto"/>
        <w:outlineLvl w:val="1"/>
        <w:rPr>
          <w:rFonts w:ascii="Times New Roman" w:hAnsi="Times New Roman"/>
          <w:i/>
          <w:i/>
          <w:color w:val="FF0000"/>
          <w:sz w:val="26"/>
          <w:szCs w:val="26"/>
        </w:rPr>
      </w:pPr>
      <w:r>
        <w:rPr>
          <w:i/>
          <w:color w:val="FF0000"/>
          <w:sz w:val="26"/>
          <w:szCs w:val="26"/>
        </w:rPr>
      </w:r>
    </w:p>
    <w:p>
      <w:pPr>
        <w:pStyle w:val="2"/>
        <w:keepNext/>
        <w:widowControl/>
        <w:numPr>
          <w:ilvl w:val="0"/>
          <w:numId w:val="0"/>
        </w:numPr>
        <w:bidi w:val="0"/>
        <w:ind w:left="0" w:right="0" w:hanging="0"/>
        <w:jc w:val="left"/>
        <w:textAlignment w:val="auto"/>
        <w:outlineLvl w:val="1"/>
        <w:rPr>
          <w:lang w:val="it-IT"/>
        </w:rPr>
      </w:pPr>
      <w:bookmarkStart w:id="97" w:name="_Toc469651899"/>
      <w:r>
        <w:rPr>
          <w:i/>
          <w:sz w:val="26"/>
          <w:lang w:val="it-IT" w:eastAsia="ru-RU"/>
        </w:rPr>
        <w:t>Proceedings of the Workshop on Foundations of Informatics FOI-2016</w:t>
      </w:r>
      <w:bookmarkEnd w:id="97"/>
      <w:r>
        <w:rPr>
          <w:i/>
          <w:sz w:val="26"/>
          <w:lang w:val="it-IT" w:eastAsia="ru-RU"/>
        </w:rPr>
        <w:t xml:space="preserve">  </w:t>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en-US"/>
        </w:rPr>
      </w:pPr>
      <w:r>
        <w:rPr>
          <w:lang w:val="en-US"/>
        </w:rPr>
      </w:r>
    </w:p>
    <w:tbl>
      <w:tblPr>
        <w:tblW w:w="10206" w:type="dxa"/>
        <w:jc w:val="left"/>
        <w:tblInd w:w="342" w:type="dxa"/>
        <w:tblBorders/>
        <w:tblCellMar>
          <w:top w:w="0" w:type="dxa"/>
          <w:left w:w="108" w:type="dxa"/>
          <w:bottom w:w="0" w:type="dxa"/>
          <w:right w:w="108" w:type="dxa"/>
        </w:tblCellMar>
      </w:tblPr>
      <w:tblGrid>
        <w:gridCol w:w="4624"/>
        <w:gridCol w:w="239"/>
        <w:gridCol w:w="5343"/>
      </w:tblGrid>
      <w:tr>
        <w:trPr/>
        <w:tc>
          <w:tcPr>
            <w:tcW w:w="4624" w:type="dxa"/>
            <w:tcBorders/>
            <w:shd w:fill="auto" w:val="clear"/>
          </w:tcPr>
          <w:p>
            <w:pPr>
              <w:pStyle w:val="Normal"/>
              <w:widowControl/>
              <w:bidi w:val="0"/>
              <w:ind w:left="360" w:right="0" w:hanging="0"/>
              <w:jc w:val="left"/>
              <w:textAlignment w:val="auto"/>
              <w:rPr>
                <w:rFonts w:ascii="Times New Roman" w:hAnsi="Times New Roman"/>
                <w:sz w:val="22"/>
                <w:szCs w:val="22"/>
                <w:lang w:val="en-US"/>
              </w:rPr>
            </w:pPr>
            <w:bookmarkStart w:id="98" w:name="_Anexa_E21"/>
            <w:bookmarkEnd w:id="98"/>
            <w:r>
              <w:rPr/>
              <w:drawing>
                <wp:inline distT="0" distB="0" distL="0" distR="0">
                  <wp:extent cx="2557145" cy="3628390"/>
                  <wp:effectExtent l="0" t="0" r="0" b="0"/>
                  <wp:docPr id="15" name="Изображение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4" descr=""/>
                          <pic:cNvPicPr>
                            <a:picLocks noChangeAspect="1" noChangeArrowheads="1"/>
                          </pic:cNvPicPr>
                        </pic:nvPicPr>
                        <pic:blipFill>
                          <a:blip r:embed="rId52"/>
                          <a:stretch>
                            <a:fillRect/>
                          </a:stretch>
                        </pic:blipFill>
                        <pic:spPr bwMode="auto">
                          <a:xfrm>
                            <a:off x="0" y="0"/>
                            <a:ext cx="2557145" cy="3628390"/>
                          </a:xfrm>
                          <a:prstGeom prst="rect">
                            <a:avLst/>
                          </a:prstGeom>
                        </pic:spPr>
                      </pic:pic>
                    </a:graphicData>
                  </a:graphic>
                </wp:inline>
              </w:drawing>
            </w:r>
          </w:p>
        </w:tc>
        <w:tc>
          <w:tcPr>
            <w:tcW w:w="239" w:type="dxa"/>
            <w:tcBorders/>
            <w:shd w:fill="auto" w:val="clear"/>
          </w:tcPr>
          <w:p>
            <w:pPr>
              <w:pStyle w:val="Normal"/>
              <w:widowControl/>
              <w:bidi w:val="0"/>
              <w:ind w:left="0" w:right="0" w:hanging="0"/>
              <w:jc w:val="left"/>
              <w:textAlignment w:val="auto"/>
              <w:rPr>
                <w:rFonts w:ascii="Times New Roman" w:hAnsi="Times New Roman"/>
                <w:sz w:val="22"/>
                <w:szCs w:val="22"/>
                <w:lang w:val="en-US"/>
              </w:rPr>
            </w:pPr>
            <w:r>
              <w:rPr>
                <w:sz w:val="22"/>
                <w:szCs w:val="22"/>
                <w:lang w:val="en-US"/>
              </w:rPr>
            </w:r>
          </w:p>
        </w:tc>
        <w:tc>
          <w:tcPr>
            <w:tcW w:w="5343" w:type="dxa"/>
            <w:tcBorders/>
            <w:shd w:fill="auto" w:val="clear"/>
          </w:tcPr>
          <w:p>
            <w:pPr>
              <w:pStyle w:val="Normal"/>
              <w:widowControl/>
              <w:numPr>
                <w:ilvl w:val="0"/>
                <w:numId w:val="117"/>
              </w:numPr>
              <w:bidi w:val="0"/>
              <w:ind w:left="1080" w:right="0" w:hanging="720"/>
              <w:jc w:val="left"/>
              <w:textAlignment w:val="auto"/>
              <w:rPr>
                <w:lang w:val="en-US"/>
              </w:rPr>
            </w:pPr>
            <w:bookmarkStart w:id="99" w:name="_Toc437422745"/>
            <w:bookmarkStart w:id="100" w:name="_Toc469651900"/>
            <w:bookmarkStart w:id="101" w:name="_Toc469648814"/>
            <w:bookmarkEnd w:id="99"/>
            <w:bookmarkEnd w:id="100"/>
            <w:bookmarkEnd w:id="101"/>
            <w:r>
              <w:rPr>
                <w:rFonts w:cs="Times New Roman CE" w:ascii="Times New Roman CE" w:hAnsi="Times New Roman CE"/>
                <w:sz w:val="22"/>
                <w:szCs w:val="22"/>
                <w:lang w:val="en-US"/>
              </w:rPr>
              <w:t>Denumirea şi tipul lucrării</w:t>
            </w:r>
          </w:p>
          <w:p>
            <w:pPr>
              <w:pStyle w:val="Normal"/>
              <w:widowControl/>
              <w:bidi w:val="0"/>
              <w:ind w:left="360" w:right="0" w:hanging="0"/>
              <w:jc w:val="left"/>
              <w:textAlignment w:val="auto"/>
              <w:rPr>
                <w:lang w:val="en-US"/>
              </w:rPr>
            </w:pPr>
            <w:r>
              <w:rPr>
                <w:sz w:val="22"/>
                <w:szCs w:val="22"/>
                <w:lang w:val="en-US"/>
              </w:rPr>
              <w:t>Workshop on Foundations of Informatics:</w:t>
            </w:r>
          </w:p>
          <w:p>
            <w:pPr>
              <w:pStyle w:val="Normal"/>
              <w:widowControl/>
              <w:bidi w:val="0"/>
              <w:ind w:left="360" w:right="0" w:hanging="0"/>
              <w:jc w:val="left"/>
              <w:textAlignment w:val="auto"/>
              <w:rPr>
                <w:lang w:val="en-US"/>
              </w:rPr>
            </w:pPr>
            <w:r>
              <w:rPr>
                <w:sz w:val="22"/>
                <w:szCs w:val="22"/>
                <w:lang w:val="en-US"/>
              </w:rPr>
              <w:t>Proceedings FOI-2015, Iulie 25-30, 2016</w:t>
            </w:r>
            <w:r>
              <w:rPr>
                <w:rFonts w:cs="Times New Roman CE" w:ascii="Times New Roman CE" w:hAnsi="Times New Roman CE"/>
                <w:sz w:val="22"/>
                <w:szCs w:val="22"/>
                <w:lang w:val="en-US"/>
              </w:rPr>
              <w:t xml:space="preserve">, Chişinău/Inst. of Mathematics and Computer </w:t>
            </w:r>
          </w:p>
          <w:p>
            <w:pPr>
              <w:pStyle w:val="Normal"/>
              <w:widowControl/>
              <w:bidi w:val="0"/>
              <w:ind w:left="360" w:right="0" w:hanging="0"/>
              <w:jc w:val="left"/>
              <w:textAlignment w:val="auto"/>
              <w:rPr>
                <w:lang w:val="en-US"/>
              </w:rPr>
            </w:pPr>
            <w:r>
              <w:rPr>
                <w:sz w:val="22"/>
                <w:szCs w:val="22"/>
                <w:lang w:val="en-US"/>
              </w:rPr>
              <w:t>Science, Acad. of Sciences of Moldova;</w:t>
            </w:r>
          </w:p>
          <w:p>
            <w:pPr>
              <w:pStyle w:val="Normal"/>
              <w:widowControl/>
              <w:bidi w:val="0"/>
              <w:ind w:left="360" w:right="0" w:hanging="0"/>
              <w:jc w:val="left"/>
              <w:textAlignment w:val="auto"/>
              <w:rPr>
                <w:lang w:val="en-US"/>
              </w:rPr>
            </w:pPr>
            <w:r>
              <w:rPr>
                <w:sz w:val="22"/>
                <w:szCs w:val="22"/>
                <w:lang w:val="en-US"/>
              </w:rPr>
              <w:t xml:space="preserve"> </w:t>
            </w:r>
            <w:r>
              <w:rPr>
                <w:sz w:val="22"/>
                <w:szCs w:val="22"/>
                <w:lang w:val="en-US"/>
              </w:rPr>
              <w:t xml:space="preserve">ed.: S. Cojocaru, C. Gaindric. – </w:t>
            </w:r>
          </w:p>
          <w:p>
            <w:pPr>
              <w:pStyle w:val="Normal"/>
              <w:widowControl/>
              <w:bidi w:val="0"/>
              <w:ind w:left="360" w:right="0" w:hanging="0"/>
              <w:jc w:val="left"/>
              <w:textAlignment w:val="auto"/>
              <w:rPr>
                <w:lang w:val="en-US"/>
              </w:rPr>
            </w:pPr>
            <w:r>
              <w:rPr>
                <w:rFonts w:cs="Times New Roman CE" w:ascii="Times New Roman CE" w:hAnsi="Times New Roman CE"/>
                <w:sz w:val="22"/>
                <w:szCs w:val="22"/>
                <w:lang w:val="en-US"/>
              </w:rPr>
              <w:t xml:space="preserve">Chişinău: Institut of Mathematics and </w:t>
            </w:r>
          </w:p>
          <w:p>
            <w:pPr>
              <w:pStyle w:val="Normal"/>
              <w:widowControl/>
              <w:bidi w:val="0"/>
              <w:ind w:left="360" w:right="0" w:hanging="0"/>
              <w:jc w:val="left"/>
              <w:textAlignment w:val="auto"/>
              <w:rPr>
                <w:lang w:val="en-US"/>
              </w:rPr>
            </w:pPr>
            <w:r>
              <w:rPr>
                <w:sz w:val="22"/>
                <w:szCs w:val="22"/>
                <w:lang w:val="en-US"/>
              </w:rPr>
              <w:t xml:space="preserve">Computer Science, 2016, 351 p. </w:t>
            </w:r>
          </w:p>
          <w:p>
            <w:pPr>
              <w:pStyle w:val="Normal"/>
              <w:widowControl/>
              <w:bidi w:val="0"/>
              <w:ind w:left="360" w:right="0" w:hanging="0"/>
              <w:jc w:val="left"/>
              <w:textAlignment w:val="auto"/>
              <w:rPr>
                <w:rFonts w:ascii="Times New Roman" w:hAnsi="Times New Roman"/>
                <w:sz w:val="22"/>
                <w:szCs w:val="22"/>
                <w:lang w:val="en-US"/>
              </w:rPr>
            </w:pPr>
            <w:r>
              <w:rPr>
                <w:sz w:val="22"/>
                <w:szCs w:val="22"/>
                <w:lang w:val="en-US"/>
              </w:rPr>
            </w:r>
          </w:p>
          <w:p>
            <w:pPr>
              <w:pStyle w:val="Normal"/>
              <w:widowControl/>
              <w:bidi w:val="0"/>
              <w:ind w:left="360" w:right="0" w:hanging="0"/>
              <w:jc w:val="left"/>
              <w:textAlignment w:val="auto"/>
              <w:rPr>
                <w:lang w:val="en-US"/>
              </w:rPr>
            </w:pPr>
            <w:bookmarkStart w:id="102" w:name="_Toc437422746"/>
            <w:bookmarkStart w:id="103" w:name="_Toc469651901"/>
            <w:bookmarkStart w:id="104" w:name="_Toc469648815"/>
            <w:r>
              <w:rPr>
                <w:sz w:val="22"/>
                <w:szCs w:val="22"/>
                <w:lang w:val="en-US"/>
              </w:rPr>
              <w:t xml:space="preserve">II. </w:t>
            </w:r>
            <w:bookmarkEnd w:id="102"/>
            <w:bookmarkEnd w:id="103"/>
            <w:bookmarkEnd w:id="104"/>
            <w:r>
              <w:rPr>
                <w:rFonts w:cs="Times New Roman CE" w:ascii="Times New Roman CE" w:hAnsi="Times New Roman CE"/>
                <w:sz w:val="22"/>
                <w:szCs w:val="22"/>
                <w:lang w:val="en-US"/>
              </w:rPr>
              <w:t>Denumirea şi codul proiectului în cadrul căruia a  fost realizată lucrarea</w:t>
            </w:r>
          </w:p>
          <w:p>
            <w:pPr>
              <w:pStyle w:val="Normal"/>
              <w:widowControl/>
              <w:bidi w:val="0"/>
              <w:ind w:left="360" w:right="0" w:hanging="0"/>
              <w:jc w:val="left"/>
              <w:textAlignment w:val="auto"/>
              <w:rPr/>
            </w:pPr>
            <w:r>
              <w:rPr>
                <w:rFonts w:cs="Times New Roman CE" w:ascii="Times New Roman CE" w:hAnsi="Times New Roman CE"/>
                <w:sz w:val="22"/>
                <w:szCs w:val="22"/>
                <w:lang w:val="en-US"/>
              </w:rPr>
              <w:t>15.817.02.02A . ”Modele şi tehnologii în ingineria sistemelor inteligente şi a calculului performant”</w:t>
            </w:r>
          </w:p>
          <w:p>
            <w:pPr>
              <w:pStyle w:val="Normal"/>
              <w:widowControl/>
              <w:bidi w:val="0"/>
              <w:ind w:left="360" w:right="0" w:hanging="0"/>
              <w:jc w:val="left"/>
              <w:textAlignment w:val="auto"/>
              <w:rPr>
                <w:rFonts w:ascii="Times New Roman" w:hAnsi="Times New Roman"/>
                <w:sz w:val="22"/>
                <w:szCs w:val="22"/>
                <w:lang w:val="en-US"/>
              </w:rPr>
            </w:pPr>
            <w:r>
              <w:rPr>
                <w:sz w:val="22"/>
                <w:szCs w:val="22"/>
                <w:lang w:val="en-US"/>
              </w:rPr>
            </w:r>
          </w:p>
          <w:p>
            <w:pPr>
              <w:pStyle w:val="Normal"/>
              <w:widowControl/>
              <w:bidi w:val="0"/>
              <w:ind w:left="360" w:right="0" w:hanging="0"/>
              <w:jc w:val="left"/>
              <w:textAlignment w:val="auto"/>
              <w:rPr>
                <w:lang w:val="en-US"/>
              </w:rPr>
            </w:pPr>
            <w:bookmarkStart w:id="105" w:name="_Toc437422747"/>
            <w:bookmarkStart w:id="106" w:name="_Toc469651902"/>
            <w:bookmarkStart w:id="107" w:name="_Toc469648816"/>
            <w:r>
              <w:rPr>
                <w:sz w:val="22"/>
                <w:szCs w:val="22"/>
                <w:lang w:val="en-US"/>
              </w:rPr>
              <w:t xml:space="preserve">III. </w:t>
            </w:r>
            <w:bookmarkEnd w:id="105"/>
            <w:bookmarkEnd w:id="106"/>
            <w:bookmarkEnd w:id="107"/>
            <w:r>
              <w:rPr>
                <w:rFonts w:cs="Times New Roman CE" w:ascii="Times New Roman CE" w:hAnsi="Times New Roman CE"/>
                <w:sz w:val="22"/>
                <w:szCs w:val="22"/>
                <w:lang w:val="en-US"/>
              </w:rPr>
              <w:t>Anul, nr. ISBN al lucrării</w:t>
            </w:r>
          </w:p>
          <w:p>
            <w:pPr>
              <w:pStyle w:val="Normal"/>
              <w:widowControl/>
              <w:bidi w:val="0"/>
              <w:ind w:left="360" w:right="0" w:hanging="0"/>
              <w:jc w:val="left"/>
              <w:textAlignment w:val="auto"/>
              <w:rPr>
                <w:lang w:val="en-US"/>
              </w:rPr>
            </w:pPr>
            <w:r>
              <w:rPr>
                <w:sz w:val="22"/>
                <w:szCs w:val="22"/>
                <w:lang w:val="en-US"/>
              </w:rPr>
              <w:t>Chi</w:t>
            </w:r>
            <w:r>
              <w:rPr>
                <w:rFonts w:cs="Times New Roman CE" w:ascii="Times New Roman CE" w:hAnsi="Times New Roman CE"/>
                <w:sz w:val="22"/>
                <w:szCs w:val="22"/>
                <w:lang w:val="en-US"/>
              </w:rPr>
              <w:t>şinău, 201</w:t>
            </w:r>
            <w:r>
              <w:rPr>
                <w:sz w:val="22"/>
                <w:szCs w:val="22"/>
                <w:lang w:val="en-US"/>
              </w:rPr>
              <w:t xml:space="preserve">6. </w:t>
            </w:r>
          </w:p>
          <w:p>
            <w:pPr>
              <w:pStyle w:val="Normal"/>
              <w:widowControl/>
              <w:bidi w:val="0"/>
              <w:ind w:left="360" w:right="0" w:hanging="0"/>
              <w:jc w:val="left"/>
              <w:textAlignment w:val="auto"/>
              <w:rPr/>
            </w:pPr>
            <w:r>
              <w:rPr>
                <w:sz w:val="22"/>
                <w:szCs w:val="22"/>
                <w:lang w:val="en-US"/>
              </w:rPr>
              <w:t>ISBN 978-9975-4237-4-8</w:t>
            </w:r>
          </w:p>
          <w:p>
            <w:pPr>
              <w:pStyle w:val="Normal"/>
              <w:widowControl/>
              <w:bidi w:val="0"/>
              <w:ind w:left="360" w:right="0" w:hanging="0"/>
              <w:jc w:val="left"/>
              <w:textAlignment w:val="auto"/>
              <w:rPr>
                <w:rFonts w:ascii="Times New Roman" w:hAnsi="Times New Roman"/>
                <w:sz w:val="22"/>
                <w:szCs w:val="22"/>
                <w:lang w:val="en-US"/>
              </w:rPr>
            </w:pPr>
            <w:r>
              <w:rPr>
                <w:sz w:val="22"/>
                <w:szCs w:val="22"/>
                <w:lang w:val="en-US"/>
              </w:rPr>
            </w:r>
          </w:p>
        </w:tc>
      </w:tr>
    </w:tbl>
    <w:p>
      <w:pPr>
        <w:pStyle w:val="Normal"/>
        <w:widowControl/>
        <w:numPr>
          <w:ilvl w:val="0"/>
          <w:numId w:val="21"/>
        </w:numPr>
        <w:tabs>
          <w:tab w:val="left" w:pos="180" w:leader="none"/>
        </w:tabs>
        <w:bidi w:val="0"/>
        <w:ind w:left="180" w:right="0" w:hanging="0"/>
        <w:jc w:val="left"/>
        <w:textAlignment w:val="auto"/>
        <w:rPr>
          <w:lang w:val="en-US"/>
        </w:rPr>
      </w:pPr>
      <w:r>
        <w:rPr>
          <w:rFonts w:cs="Times New Roman CE" w:ascii="Times New Roman CE" w:hAnsi="Times New Roman CE"/>
          <w:sz w:val="22"/>
          <w:szCs w:val="22"/>
          <w:lang w:val="en-US"/>
        </w:rPr>
        <w:t>Autorul lucrării.</w:t>
      </w:r>
      <w:r>
        <w:rPr>
          <w:sz w:val="22"/>
          <w:szCs w:val="22"/>
          <w:lang w:val="en-US"/>
        </w:rPr>
        <w:t xml:space="preserve"> S. Cojocaru, C. Gaindric, (Eds.)</w:t>
      </w:r>
    </w:p>
    <w:p>
      <w:pPr>
        <w:pStyle w:val="Normal"/>
        <w:widowControl/>
        <w:bidi w:val="0"/>
        <w:ind w:left="360" w:right="0" w:hanging="0"/>
        <w:jc w:val="left"/>
        <w:textAlignment w:val="auto"/>
        <w:rPr>
          <w:rFonts w:ascii="Times New Roman" w:hAnsi="Times New Roman"/>
          <w:sz w:val="22"/>
          <w:szCs w:val="22"/>
          <w:lang w:val="en-US"/>
        </w:rPr>
      </w:pPr>
      <w:r>
        <w:rPr>
          <w:sz w:val="22"/>
          <w:szCs w:val="22"/>
          <w:lang w:val="en-US"/>
        </w:rPr>
      </w:r>
    </w:p>
    <w:p>
      <w:pPr>
        <w:pStyle w:val="Normal"/>
        <w:widowControl/>
        <w:numPr>
          <w:ilvl w:val="0"/>
          <w:numId w:val="21"/>
        </w:numPr>
        <w:tabs>
          <w:tab w:val="left" w:pos="180" w:leader="none"/>
        </w:tabs>
        <w:bidi w:val="0"/>
        <w:ind w:left="180" w:right="0" w:hanging="0"/>
        <w:jc w:val="left"/>
        <w:textAlignment w:val="auto"/>
        <w:rPr>
          <w:lang w:val="en-US"/>
        </w:rPr>
      </w:pPr>
      <w:r>
        <w:rPr>
          <w:rFonts w:cs="Times New Roman CE" w:ascii="Times New Roman CE" w:hAnsi="Times New Roman CE"/>
          <w:sz w:val="22"/>
          <w:szCs w:val="22"/>
          <w:lang w:val="en-US"/>
        </w:rPr>
        <w:t xml:space="preserve">Descrierea lucrării </w:t>
      </w:r>
    </w:p>
    <w:p>
      <w:pPr>
        <w:pStyle w:val="Normal"/>
        <w:widowControl/>
        <w:bidi w:val="0"/>
        <w:ind w:left="360" w:right="0" w:hanging="0"/>
        <w:jc w:val="left"/>
        <w:textAlignment w:val="auto"/>
        <w:rPr>
          <w:lang w:val="en-US"/>
        </w:rPr>
      </w:pPr>
      <w:r>
        <w:rPr>
          <w:rFonts w:cs="Times New Roman CE" w:ascii="Times New Roman CE" w:hAnsi="Times New Roman CE"/>
          <w:sz w:val="22"/>
          <w:szCs w:val="22"/>
          <w:lang w:val="en-US"/>
        </w:rPr>
        <w:t>Volumul reprezintă culegerea de lucrări prezentate la conferin</w:t>
      </w:r>
      <w:r>
        <w:rPr>
          <w:rFonts w:cs="Cambria Math" w:ascii="Cambria Math" w:hAnsi="Cambria Math"/>
          <w:sz w:val="22"/>
          <w:szCs w:val="22"/>
          <w:lang w:val="en-US"/>
        </w:rPr>
        <w:t>ț</w:t>
      </w:r>
      <w:r>
        <w:rPr>
          <w:sz w:val="22"/>
          <w:szCs w:val="22"/>
          <w:lang w:val="en-US"/>
        </w:rPr>
        <w:t>a interna</w:t>
      </w:r>
      <w:r>
        <w:rPr>
          <w:rFonts w:cs="Cambria Math" w:ascii="Cambria Math" w:hAnsi="Cambria Math"/>
          <w:sz w:val="22"/>
          <w:szCs w:val="22"/>
          <w:lang w:val="en-US"/>
        </w:rPr>
        <w:t>ț</w:t>
      </w:r>
      <w:r>
        <w:rPr>
          <w:rFonts w:cs="Times New Roman CE" w:ascii="Times New Roman CE" w:hAnsi="Times New Roman CE"/>
          <w:sz w:val="22"/>
          <w:szCs w:val="22"/>
          <w:lang w:val="en-US"/>
        </w:rPr>
        <w:t xml:space="preserve">ională „Workshop on Foundations of Informatics”, organizată de Institutul de Matematică </w:t>
      </w:r>
      <w:r>
        <w:rPr>
          <w:rFonts w:cs="Cambria Math" w:ascii="Cambria Math" w:hAnsi="Cambria Math"/>
          <w:sz w:val="22"/>
          <w:szCs w:val="22"/>
          <w:lang w:val="en-US"/>
        </w:rPr>
        <w:t>ș</w:t>
      </w:r>
      <w:r>
        <w:rPr>
          <w:sz w:val="22"/>
          <w:szCs w:val="22"/>
          <w:lang w:val="en-US"/>
        </w:rPr>
        <w:t>i Inf</w:t>
      </w:r>
      <w:r>
        <w:rPr>
          <w:rFonts w:cs="Times New Roman CE" w:ascii="Times New Roman CE" w:hAnsi="Times New Roman CE"/>
          <w:sz w:val="22"/>
          <w:szCs w:val="22"/>
          <w:lang w:val="en-US"/>
        </w:rPr>
        <w:t>ormatică al A</w:t>
      </w:r>
      <w:r>
        <w:rPr>
          <w:rFonts w:cs="Cambria Math" w:ascii="Cambria Math" w:hAnsi="Cambria Math"/>
          <w:sz w:val="22"/>
          <w:szCs w:val="22"/>
          <w:lang w:val="en-US"/>
        </w:rPr>
        <w:t>Ș</w:t>
      </w:r>
      <w:r>
        <w:rPr>
          <w:sz w:val="22"/>
          <w:szCs w:val="22"/>
          <w:lang w:val="en-US"/>
        </w:rPr>
        <w:t xml:space="preserve">M, 25-30 iulie 2016. </w:t>
      </w:r>
      <w:r>
        <w:rPr>
          <w:rFonts w:cs="Times New Roman CE" w:ascii="Times New Roman CE" w:hAnsi="Times New Roman CE"/>
          <w:sz w:val="22"/>
          <w:szCs w:val="22"/>
          <w:lang w:val="fr-FR"/>
        </w:rPr>
        <w:t xml:space="preserve">Au participat peste 40 de cercetători din 8 </w:t>
      </w:r>
      <w:r>
        <w:rPr>
          <w:rFonts w:cs="Cambria Math" w:ascii="Cambria Math" w:hAnsi="Cambria Math"/>
          <w:sz w:val="22"/>
          <w:szCs w:val="22"/>
          <w:lang w:val="fr-FR"/>
        </w:rPr>
        <w:t>ț</w:t>
      </w:r>
      <w:r>
        <w:rPr>
          <w:rFonts w:cs="Times New Roman CE" w:ascii="Times New Roman CE" w:hAnsi="Times New Roman CE"/>
          <w:sz w:val="22"/>
          <w:szCs w:val="22"/>
          <w:lang w:val="fr-FR"/>
        </w:rPr>
        <w:t xml:space="preserve">ări: Moldova, Olanda, Rusia, România, Turcia, Ucraina, Marea Britanie, SUA.  </w:t>
      </w:r>
      <w:r>
        <w:rPr>
          <w:sz w:val="22"/>
          <w:szCs w:val="22"/>
          <w:lang w:val="en-US"/>
        </w:rPr>
        <w:t>Publica</w:t>
      </w:r>
      <w:r>
        <w:rPr>
          <w:rFonts w:cs="Cambria Math" w:ascii="Cambria Math" w:hAnsi="Cambria Math"/>
          <w:sz w:val="22"/>
          <w:szCs w:val="22"/>
          <w:lang w:val="en-US"/>
        </w:rPr>
        <w:t>ț</w:t>
      </w:r>
      <w:r>
        <w:rPr>
          <w:sz w:val="22"/>
          <w:szCs w:val="22"/>
          <w:lang w:val="en-US"/>
        </w:rPr>
        <w:t>iile volumului sunt plasate în 11 compartimente:</w:t>
      </w:r>
    </w:p>
    <w:p>
      <w:pPr>
        <w:pStyle w:val="Normal"/>
        <w:widowControl/>
        <w:numPr>
          <w:ilvl w:val="0"/>
          <w:numId w:val="20"/>
        </w:numPr>
        <w:suppressAutoHyphens w:val="true"/>
        <w:bidi w:val="0"/>
        <w:ind w:left="360" w:right="0" w:hanging="0"/>
        <w:jc w:val="left"/>
        <w:textAlignment w:val="auto"/>
        <w:rPr/>
      </w:pPr>
      <w:r>
        <w:rPr>
          <w:sz w:val="22"/>
          <w:szCs w:val="22"/>
        </w:rPr>
        <w:t xml:space="preserve">Theory of computing </w:t>
      </w:r>
    </w:p>
    <w:p>
      <w:pPr>
        <w:pStyle w:val="Normal"/>
        <w:widowControl/>
        <w:numPr>
          <w:ilvl w:val="0"/>
          <w:numId w:val="20"/>
        </w:numPr>
        <w:bidi w:val="0"/>
        <w:ind w:left="360" w:right="0" w:hanging="0"/>
        <w:jc w:val="left"/>
        <w:textAlignment w:val="auto"/>
        <w:rPr>
          <w:lang w:val="en-US"/>
        </w:rPr>
      </w:pPr>
      <w:r>
        <w:rPr>
          <w:sz w:val="22"/>
          <w:szCs w:val="22"/>
          <w:lang w:val="en-US"/>
        </w:rPr>
        <w:t xml:space="preserve">Theoretical issues in artificial intelligence </w:t>
      </w:r>
    </w:p>
    <w:p>
      <w:pPr>
        <w:pStyle w:val="Normal"/>
        <w:widowControl/>
        <w:numPr>
          <w:ilvl w:val="0"/>
          <w:numId w:val="20"/>
        </w:numPr>
        <w:bidi w:val="0"/>
        <w:ind w:left="360" w:right="0" w:hanging="0"/>
        <w:jc w:val="left"/>
        <w:textAlignment w:val="auto"/>
        <w:rPr/>
      </w:pPr>
      <w:r>
        <w:rPr>
          <w:sz w:val="22"/>
          <w:szCs w:val="22"/>
          <w:lang w:val="en-US"/>
        </w:rPr>
        <w:t xml:space="preserve">Theoretical issues in automated reasoning </w:t>
      </w:r>
    </w:p>
    <w:p>
      <w:pPr>
        <w:pStyle w:val="Normal"/>
        <w:widowControl/>
        <w:numPr>
          <w:ilvl w:val="0"/>
          <w:numId w:val="20"/>
        </w:numPr>
        <w:bidi w:val="0"/>
        <w:ind w:left="360" w:right="0" w:hanging="0"/>
        <w:jc w:val="left"/>
        <w:textAlignment w:val="auto"/>
        <w:rPr>
          <w:lang w:val="en-US"/>
        </w:rPr>
      </w:pPr>
      <w:r>
        <w:rPr>
          <w:sz w:val="22"/>
          <w:szCs w:val="22"/>
          <w:lang w:val="en-US"/>
        </w:rPr>
        <w:t>Theoretical aspects of software system</w:t>
      </w:r>
      <w:r>
        <w:rPr>
          <w:rFonts w:cs="Arial" w:ascii="Arial" w:hAnsi="Arial"/>
          <w:sz w:val="22"/>
          <w:szCs w:val="22"/>
          <w:lang w:val="ro-RO" w:eastAsia="ro-RO"/>
        </w:rPr>
        <w:t xml:space="preserve"> </w:t>
      </w:r>
      <w:r>
        <w:rPr>
          <w:sz w:val="22"/>
          <w:szCs w:val="22"/>
          <w:lang w:val="en-US"/>
        </w:rPr>
        <w:t>development</w:t>
      </w:r>
    </w:p>
    <w:p>
      <w:pPr>
        <w:pStyle w:val="Normal"/>
        <w:widowControl/>
        <w:numPr>
          <w:ilvl w:val="0"/>
          <w:numId w:val="20"/>
        </w:numPr>
        <w:bidi w:val="0"/>
        <w:ind w:left="360" w:right="0" w:hanging="0"/>
        <w:jc w:val="left"/>
        <w:textAlignment w:val="auto"/>
        <w:rPr>
          <w:lang w:val="en-US"/>
        </w:rPr>
      </w:pPr>
      <w:r>
        <w:rPr>
          <w:sz w:val="22"/>
          <w:szCs w:val="22"/>
          <w:lang w:val="en-US"/>
        </w:rPr>
        <w:t xml:space="preserve">Knowledge representation </w:t>
      </w:r>
    </w:p>
    <w:p>
      <w:pPr>
        <w:pStyle w:val="Normal"/>
        <w:widowControl/>
        <w:numPr>
          <w:ilvl w:val="0"/>
          <w:numId w:val="20"/>
        </w:numPr>
        <w:bidi w:val="0"/>
        <w:ind w:left="360" w:right="0" w:hanging="0"/>
        <w:jc w:val="left"/>
        <w:textAlignment w:val="auto"/>
        <w:rPr>
          <w:lang w:val="en-US"/>
        </w:rPr>
      </w:pPr>
      <w:r>
        <w:rPr>
          <w:sz w:val="22"/>
          <w:szCs w:val="22"/>
          <w:lang w:val="en-US"/>
        </w:rPr>
        <w:t xml:space="preserve">Natural language processing </w:t>
      </w:r>
    </w:p>
    <w:p>
      <w:pPr>
        <w:pStyle w:val="Normal"/>
        <w:widowControl/>
        <w:numPr>
          <w:ilvl w:val="0"/>
          <w:numId w:val="20"/>
        </w:numPr>
        <w:bidi w:val="0"/>
        <w:ind w:left="360" w:right="0" w:hanging="0"/>
        <w:jc w:val="left"/>
        <w:textAlignment w:val="auto"/>
        <w:rPr>
          <w:lang w:val="en-US"/>
        </w:rPr>
      </w:pPr>
      <w:r>
        <w:rPr>
          <w:sz w:val="22"/>
          <w:szCs w:val="22"/>
          <w:lang w:val="en-US"/>
        </w:rPr>
        <w:t>Natural computing</w:t>
      </w:r>
      <w:r>
        <w:rPr>
          <w:sz w:val="22"/>
          <w:szCs w:val="22"/>
          <w:lang w:val="ro-RO"/>
        </w:rPr>
        <w:t xml:space="preserve">  </w:t>
      </w:r>
    </w:p>
    <w:p>
      <w:pPr>
        <w:pStyle w:val="Normal"/>
        <w:widowControl/>
        <w:numPr>
          <w:ilvl w:val="0"/>
          <w:numId w:val="20"/>
        </w:numPr>
        <w:bidi w:val="0"/>
        <w:ind w:left="360" w:right="0" w:hanging="0"/>
        <w:jc w:val="left"/>
        <w:textAlignment w:val="auto"/>
        <w:rPr>
          <w:lang w:val="en-US"/>
        </w:rPr>
      </w:pPr>
      <w:r>
        <w:rPr>
          <w:sz w:val="22"/>
          <w:szCs w:val="22"/>
          <w:lang w:val="en-US"/>
        </w:rPr>
        <w:t xml:space="preserve">Logics in informatics, databases, and AI </w:t>
      </w:r>
    </w:p>
    <w:p>
      <w:pPr>
        <w:pStyle w:val="Normal"/>
        <w:widowControl/>
        <w:numPr>
          <w:ilvl w:val="0"/>
          <w:numId w:val="20"/>
        </w:numPr>
        <w:bidi w:val="0"/>
        <w:ind w:left="360" w:right="0" w:hanging="0"/>
        <w:jc w:val="left"/>
        <w:textAlignment w:val="auto"/>
        <w:rPr/>
      </w:pPr>
      <w:r>
        <w:rPr>
          <w:sz w:val="22"/>
          <w:szCs w:val="22"/>
        </w:rPr>
        <w:t>Formal languages and automata</w:t>
      </w:r>
    </w:p>
    <w:p>
      <w:pPr>
        <w:pStyle w:val="Normal"/>
        <w:widowControl/>
        <w:numPr>
          <w:ilvl w:val="0"/>
          <w:numId w:val="20"/>
        </w:numPr>
        <w:bidi w:val="0"/>
        <w:ind w:left="360" w:right="0" w:hanging="0"/>
        <w:jc w:val="left"/>
        <w:textAlignment w:val="auto"/>
        <w:rPr/>
      </w:pPr>
      <w:r>
        <w:rPr>
          <w:sz w:val="22"/>
          <w:szCs w:val="22"/>
        </w:rPr>
        <w:t>Semantic technologies</w:t>
      </w:r>
    </w:p>
    <w:p>
      <w:pPr>
        <w:pStyle w:val="Normal"/>
        <w:widowControl/>
        <w:numPr>
          <w:ilvl w:val="0"/>
          <w:numId w:val="20"/>
        </w:numPr>
        <w:bidi w:val="0"/>
        <w:ind w:left="360" w:right="0" w:hanging="0"/>
        <w:jc w:val="left"/>
        <w:textAlignment w:val="auto"/>
        <w:rPr/>
      </w:pPr>
      <w:r>
        <w:rPr>
          <w:sz w:val="22"/>
          <w:szCs w:val="22"/>
        </w:rPr>
        <w:t>Natural language processing</w:t>
      </w:r>
    </w:p>
    <w:p>
      <w:pPr>
        <w:pStyle w:val="Normal"/>
        <w:widowControl/>
        <w:numPr>
          <w:ilvl w:val="0"/>
          <w:numId w:val="20"/>
        </w:numPr>
        <w:bidi w:val="0"/>
        <w:ind w:left="360" w:right="0" w:hanging="0"/>
        <w:jc w:val="left"/>
        <w:textAlignment w:val="auto"/>
        <w:rPr/>
      </w:pPr>
      <w:r>
        <w:rPr>
          <w:sz w:val="22"/>
          <w:szCs w:val="22"/>
        </w:rPr>
        <w:t>Cryptography and security</w:t>
      </w:r>
    </w:p>
    <w:p>
      <w:pPr>
        <w:pStyle w:val="Normal"/>
        <w:widowControl/>
        <w:numPr>
          <w:ilvl w:val="0"/>
          <w:numId w:val="20"/>
        </w:numPr>
        <w:bidi w:val="0"/>
        <w:ind w:left="360" w:right="0" w:hanging="0"/>
        <w:jc w:val="left"/>
        <w:textAlignment w:val="auto"/>
        <w:rPr/>
      </w:pPr>
      <w:r>
        <w:rPr>
          <w:sz w:val="22"/>
          <w:szCs w:val="22"/>
        </w:rPr>
        <w:t xml:space="preserve">Data mining and knowledge discovery </w:t>
      </w:r>
    </w:p>
    <w:p>
      <w:pPr>
        <w:pStyle w:val="Normal"/>
        <w:widowControl/>
        <w:numPr>
          <w:ilvl w:val="0"/>
          <w:numId w:val="20"/>
        </w:numPr>
        <w:bidi w:val="0"/>
        <w:ind w:left="360" w:right="0" w:hanging="0"/>
        <w:jc w:val="left"/>
        <w:textAlignment w:val="auto"/>
        <w:rPr/>
      </w:pPr>
      <w:r>
        <w:rPr>
          <w:sz w:val="22"/>
          <w:szCs w:val="22"/>
        </w:rPr>
        <w:t>Neural networks</w:t>
      </w:r>
    </w:p>
    <w:p>
      <w:pPr>
        <w:pStyle w:val="Normal"/>
        <w:widowControl/>
        <w:numPr>
          <w:ilvl w:val="0"/>
          <w:numId w:val="20"/>
        </w:numPr>
        <w:bidi w:val="0"/>
        <w:ind w:left="360" w:right="0" w:hanging="0"/>
        <w:jc w:val="left"/>
        <w:textAlignment w:val="auto"/>
        <w:rPr>
          <w:lang w:val="ro-RO"/>
        </w:rPr>
      </w:pPr>
      <w:r>
        <w:rPr>
          <w:sz w:val="22"/>
          <w:szCs w:val="22"/>
          <w:lang w:val="ro-RO"/>
        </w:rPr>
        <w:t>S</w:t>
      </w:r>
      <w:r>
        <w:rPr>
          <w:sz w:val="22"/>
          <w:szCs w:val="22"/>
        </w:rPr>
        <w:t>oft computing</w:t>
      </w:r>
    </w:p>
    <w:p>
      <w:pPr>
        <w:pStyle w:val="Normal"/>
        <w:widowControl/>
        <w:pBdr>
          <w:top w:val="outset" w:sz="6" w:space="0" w:color="FFFFFF"/>
          <w:left w:val="outset" w:sz="6" w:space="4" w:color="FFFFFF"/>
          <w:bottom w:val="inset" w:sz="6" w:space="1" w:color="FFFFFF"/>
          <w:right w:val="inset" w:sz="6" w:space="4" w:color="FFFFFF"/>
        </w:pBdr>
        <w:bidi w:val="0"/>
        <w:ind w:left="0" w:right="0" w:hanging="0"/>
        <w:jc w:val="left"/>
        <w:textAlignment w:val="auto"/>
        <w:rPr>
          <w:lang w:val="ro-MD"/>
        </w:rPr>
      </w:pPr>
      <w:r>
        <w:rPr>
          <w:lang w:val="ro-MD"/>
        </w:rPr>
      </w:r>
      <w:r>
        <w:br w:type="page"/>
      </w:r>
    </w:p>
    <w:p>
      <w:pPr>
        <w:pStyle w:val="Normal"/>
        <w:widowControl/>
        <w:pBdr>
          <w:top w:val="outset" w:sz="6" w:space="0" w:color="FFFFFF"/>
          <w:left w:val="outset" w:sz="6" w:space="4" w:color="FFFFFF"/>
          <w:bottom w:val="inset" w:sz="6" w:space="1" w:color="FFFFFF"/>
          <w:right w:val="inset" w:sz="6" w:space="4" w:color="FFFFFF"/>
        </w:pBdr>
        <w:bidi w:val="0"/>
        <w:ind w:left="0" w:right="0" w:hanging="0"/>
        <w:jc w:val="left"/>
        <w:textAlignment w:val="auto"/>
        <w:rPr>
          <w:lang w:val="it-IT"/>
        </w:rPr>
      </w:pPr>
      <w:bookmarkStart w:id="108" w:name="_Toc469648817"/>
      <w:bookmarkStart w:id="109" w:name="_Toc469651903"/>
      <w:r>
        <w:rPr>
          <w:i/>
          <w:sz w:val="26"/>
          <w:lang w:val="it-IT"/>
        </w:rPr>
        <w:t>Multidisciplinary Creativity. Homage to Gheorghe Paun on His 65th Birthday</w:t>
      </w:r>
      <w:bookmarkEnd w:id="108"/>
      <w:bookmarkEnd w:id="109"/>
      <w:r>
        <w:rPr>
          <w:i/>
          <w:sz w:val="26"/>
          <w:lang w:val="it-IT"/>
        </w:rPr>
        <w:t xml:space="preserve"> </w:t>
      </w:r>
    </w:p>
    <w:p>
      <w:pPr>
        <w:pStyle w:val="Normal"/>
        <w:widowControl/>
        <w:pBdr>
          <w:top w:val="outset" w:sz="6" w:space="0" w:color="FFFFFF"/>
          <w:left w:val="outset" w:sz="6" w:space="4" w:color="FFFFFF"/>
          <w:bottom w:val="inset" w:sz="6" w:space="1" w:color="FFFFFF"/>
          <w:right w:val="inset" w:sz="6" w:space="4" w:color="FFFFFF"/>
        </w:pBdr>
        <w:bidi w:val="0"/>
        <w:ind w:left="0" w:right="0" w:hanging="0"/>
        <w:jc w:val="left"/>
        <w:textAlignment w:val="auto"/>
        <w:rPr>
          <w:rFonts w:ascii="Times New Roman" w:hAnsi="Times New Roman"/>
          <w:bCs/>
          <w:color w:val="FF0000"/>
          <w:lang w:val="ro-RO"/>
        </w:rPr>
      </w:pPr>
      <w:r>
        <w:rPr>
          <w:bCs/>
          <w:color w:val="FF0000"/>
          <w:lang w:val="ro-RO"/>
        </w:rPr>
      </w:r>
    </w:p>
    <w:p>
      <w:pPr>
        <w:pStyle w:val="Normal"/>
        <w:widowControl/>
        <w:bidi w:val="0"/>
        <w:ind w:left="0" w:right="0" w:hanging="0"/>
        <w:jc w:val="left"/>
        <w:textAlignment w:val="auto"/>
        <w:rPr>
          <w:rFonts w:ascii="Times New Roman" w:hAnsi="Times New Roman"/>
          <w:lang w:val="en-US"/>
        </w:rPr>
      </w:pPr>
      <w:r>
        <w:rPr>
          <w:lang w:val="en-US"/>
        </w:rPr>
      </w:r>
    </w:p>
    <w:tbl>
      <w:tblPr>
        <w:tblW w:w="9571" w:type="dxa"/>
        <w:jc w:val="left"/>
        <w:tblInd w:w="-109" w:type="dxa"/>
        <w:tblBorders/>
        <w:tblCellMar>
          <w:top w:w="0" w:type="dxa"/>
          <w:left w:w="108" w:type="dxa"/>
          <w:bottom w:w="0" w:type="dxa"/>
          <w:right w:w="108" w:type="dxa"/>
        </w:tblCellMar>
      </w:tblPr>
      <w:tblGrid>
        <w:gridCol w:w="4643"/>
        <w:gridCol w:w="285"/>
        <w:gridCol w:w="4643"/>
      </w:tblGrid>
      <w:tr>
        <w:trPr>
          <w:trHeight w:val="1130" w:hRule="atLeast"/>
        </w:trPr>
        <w:tc>
          <w:tcPr>
            <w:tcW w:w="4643" w:type="dxa"/>
            <w:tcBorders/>
            <w:shd w:fill="auto" w:val="clear"/>
          </w:tcPr>
          <w:p>
            <w:pPr>
              <w:pStyle w:val="Normal"/>
              <w:widowControl/>
              <w:bidi w:val="0"/>
              <w:ind w:left="0" w:right="0" w:hanging="0"/>
              <w:jc w:val="left"/>
              <w:textAlignment w:val="auto"/>
              <w:rPr>
                <w:rFonts w:ascii="Times New Roman" w:hAnsi="Times New Roman"/>
              </w:rPr>
            </w:pPr>
            <w:r>
              <w:rPr/>
              <w:drawing>
                <wp:inline distT="0" distB="0" distL="0" distR="0">
                  <wp:extent cx="2269490" cy="3806825"/>
                  <wp:effectExtent l="0" t="0" r="0" b="0"/>
                  <wp:docPr id="16" name="Изображение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5" descr=""/>
                          <pic:cNvPicPr>
                            <a:picLocks noChangeAspect="1" noChangeArrowheads="1"/>
                          </pic:cNvPicPr>
                        </pic:nvPicPr>
                        <pic:blipFill>
                          <a:blip r:embed="rId53"/>
                          <a:stretch>
                            <a:fillRect/>
                          </a:stretch>
                        </pic:blipFill>
                        <pic:spPr bwMode="auto">
                          <a:xfrm>
                            <a:off x="0" y="0"/>
                            <a:ext cx="2269490" cy="3806825"/>
                          </a:xfrm>
                          <a:prstGeom prst="rect">
                            <a:avLst/>
                          </a:prstGeom>
                        </pic:spPr>
                      </pic:pic>
                    </a:graphicData>
                  </a:graphic>
                </wp:inline>
              </w:drawing>
            </w:r>
          </w:p>
        </w:tc>
        <w:tc>
          <w:tcPr>
            <w:tcW w:w="285" w:type="dxa"/>
            <w:tcBorders/>
            <w:shd w:fill="auto" w:val="clear"/>
          </w:tcPr>
          <w:p>
            <w:pPr>
              <w:pStyle w:val="Normal"/>
              <w:widowControl/>
              <w:bidi w:val="0"/>
              <w:ind w:left="0" w:right="0" w:hanging="0"/>
              <w:jc w:val="left"/>
              <w:textAlignment w:val="auto"/>
              <w:rPr>
                <w:rFonts w:ascii="Times New Roman" w:hAnsi="Times New Roman"/>
              </w:rPr>
            </w:pPr>
            <w:r>
              <w:rPr/>
            </w:r>
          </w:p>
        </w:tc>
        <w:tc>
          <w:tcPr>
            <w:tcW w:w="4643" w:type="dxa"/>
            <w:tcBorders/>
            <w:shd w:fill="auto" w:val="clear"/>
          </w:tcPr>
          <w:p>
            <w:pPr>
              <w:pStyle w:val="2"/>
              <w:widowControl/>
              <w:numPr>
                <w:ilvl w:val="0"/>
                <w:numId w:val="0"/>
              </w:numPr>
              <w:tabs>
                <w:tab w:val="left" w:pos="426" w:leader="none"/>
                <w:tab w:val="left" w:pos="1065" w:leader="none"/>
                <w:tab w:val="left" w:pos="2201" w:leader="none"/>
                <w:tab w:val="left" w:pos="3686" w:leader="none"/>
              </w:tabs>
              <w:suppressAutoHyphens w:val="true"/>
              <w:bidi w:val="0"/>
              <w:spacing w:before="120" w:after="120"/>
              <w:ind w:left="0" w:right="0" w:hanging="0"/>
              <w:jc w:val="left"/>
              <w:textAlignment w:val="auto"/>
              <w:outlineLvl w:val="1"/>
              <w:rPr>
                <w:lang w:val="ro-MD"/>
              </w:rPr>
            </w:pPr>
            <w:bookmarkStart w:id="110" w:name="_Toc469648818"/>
            <w:bookmarkStart w:id="111" w:name="_Toc469651904"/>
            <w:r>
              <w:rPr>
                <w:bCs/>
                <w:sz w:val="22"/>
                <w:szCs w:val="22"/>
                <w:lang w:val="ro-MD" w:eastAsia="en-US"/>
              </w:rPr>
              <w:t xml:space="preserve">I. </w:t>
            </w:r>
            <w:bookmarkEnd w:id="110"/>
            <w:bookmarkEnd w:id="111"/>
            <w:r>
              <w:rPr>
                <w:rFonts w:cs="Times New Roman CE" w:ascii="Times New Roman CE" w:hAnsi="Times New Roman CE"/>
                <w:bCs/>
                <w:sz w:val="22"/>
                <w:szCs w:val="22"/>
                <w:lang w:val="ro-MD" w:eastAsia="en-US"/>
              </w:rPr>
              <w:t>Denumirea şi tipul lucrării</w:t>
            </w:r>
          </w:p>
          <w:p>
            <w:pPr>
              <w:pStyle w:val="ListParagraph"/>
              <w:widowControl/>
              <w:suppressAutoHyphens w:val="true"/>
              <w:bidi w:val="0"/>
              <w:spacing w:before="0" w:after="0"/>
              <w:ind w:left="0" w:right="0" w:hanging="0"/>
              <w:contextualSpacing/>
              <w:jc w:val="both"/>
              <w:textAlignment w:val="auto"/>
              <w:rPr>
                <w:lang w:val="ro-RO"/>
              </w:rPr>
            </w:pPr>
            <w:r>
              <w:rPr>
                <w:iCs/>
                <w:szCs w:val="20"/>
                <w:lang w:val="ro-RO" w:eastAsia="ro-RO"/>
              </w:rPr>
              <w:t>ALHAZOV, A; FREUND, R.; IVANOV, S.; OSWALD, M. Observations on P Systems with States. pp. 17-28.</w:t>
            </w:r>
          </w:p>
          <w:p>
            <w:pPr>
              <w:pStyle w:val="ListParagraph"/>
              <w:widowControl/>
              <w:suppressAutoHyphens w:val="true"/>
              <w:bidi w:val="0"/>
              <w:spacing w:before="0" w:after="0"/>
              <w:ind w:left="29" w:right="0" w:hanging="0"/>
              <w:contextualSpacing/>
              <w:jc w:val="left"/>
              <w:textAlignment w:val="auto"/>
              <w:rPr>
                <w:lang w:val="ro-RO"/>
              </w:rPr>
            </w:pPr>
            <w:r>
              <w:rPr>
                <w:iCs/>
                <w:szCs w:val="20"/>
                <w:lang w:val="ro-RO" w:eastAsia="ro-RO"/>
              </w:rPr>
              <w:t xml:space="preserve">In: Multidisciplinary Creativity. Homage to Gheorghe Paun on His 65th Birthday </w:t>
            </w:r>
          </w:p>
          <w:p>
            <w:pPr>
              <w:pStyle w:val="ListParagraph"/>
              <w:widowControl/>
              <w:suppressAutoHyphens w:val="true"/>
              <w:bidi w:val="0"/>
              <w:spacing w:before="0" w:after="0"/>
              <w:ind w:left="29" w:right="0" w:hanging="0"/>
              <w:contextualSpacing/>
              <w:jc w:val="left"/>
              <w:textAlignment w:val="auto"/>
              <w:rPr/>
            </w:pPr>
            <w:r>
              <w:rPr>
                <w:szCs w:val="20"/>
                <w:lang w:val="en-US" w:eastAsia="ro-RO"/>
              </w:rPr>
              <w:t xml:space="preserve">Editors: </w:t>
            </w:r>
            <w:hyperlink r:id="rId54">
              <w:r>
                <w:rPr>
                  <w:webHidden/>
                  <w:rStyle w:val="Style5"/>
                  <w:color w:val="0000FF"/>
                  <w:szCs w:val="20"/>
                  <w:u w:val="single"/>
                  <w:lang w:val="en-US" w:eastAsia="ro-RO"/>
                </w:rPr>
                <w:t>Marian Gheorghe</w:t>
              </w:r>
            </w:hyperlink>
            <w:r>
              <w:rPr>
                <w:szCs w:val="20"/>
                <w:lang w:val="en-US" w:eastAsia="ro-RO"/>
              </w:rPr>
              <w:t xml:space="preserve">, </w:t>
            </w:r>
            <w:hyperlink r:id="rId55">
              <w:r>
                <w:rPr>
                  <w:webHidden/>
                  <w:rStyle w:val="Style5"/>
                  <w:color w:val="0000FF"/>
                  <w:szCs w:val="20"/>
                  <w:u w:val="single"/>
                  <w:lang w:val="en-US" w:eastAsia="ro-RO"/>
                </w:rPr>
                <w:t>Ion Petre</w:t>
              </w:r>
            </w:hyperlink>
            <w:r>
              <w:rPr>
                <w:szCs w:val="20"/>
                <w:lang w:val="en-US" w:eastAsia="ro-RO"/>
              </w:rPr>
              <w:t xml:space="preserve">, </w:t>
            </w:r>
            <w:hyperlink r:id="rId56">
              <w:r>
                <w:rPr>
                  <w:webHidden/>
                  <w:rStyle w:val="Style5"/>
                  <w:color w:val="0000FF"/>
                  <w:szCs w:val="20"/>
                  <w:u w:val="single"/>
                  <w:lang w:val="en-US" w:eastAsia="ro-RO"/>
                </w:rPr>
                <w:t>Mario J. Perez-Jimenez</w:t>
              </w:r>
            </w:hyperlink>
            <w:r>
              <w:rPr>
                <w:szCs w:val="20"/>
                <w:lang w:val="en-US" w:eastAsia="ro-RO"/>
              </w:rPr>
              <w:t xml:space="preserve">, </w:t>
            </w:r>
            <w:hyperlink r:id="rId57">
              <w:r>
                <w:rPr>
                  <w:webHidden/>
                  <w:rStyle w:val="Style5"/>
                  <w:color w:val="0000FF"/>
                  <w:szCs w:val="20"/>
                  <w:u w:val="single"/>
                  <w:lang w:val="en-US" w:eastAsia="ro-RO"/>
                </w:rPr>
                <w:t>Grzegorz Rozenberg</w:t>
              </w:r>
            </w:hyperlink>
            <w:r>
              <w:rPr>
                <w:szCs w:val="20"/>
                <w:lang w:val="en-US" w:eastAsia="ro-RO"/>
              </w:rPr>
              <w:t xml:space="preserve">, </w:t>
            </w:r>
            <w:hyperlink r:id="rId58">
              <w:r>
                <w:rPr>
                  <w:webHidden/>
                  <w:rStyle w:val="Style5"/>
                  <w:color w:val="0000FF"/>
                  <w:szCs w:val="20"/>
                  <w:u w:val="single"/>
                  <w:lang w:val="en-US" w:eastAsia="ro-RO"/>
                </w:rPr>
                <w:t>Arto Salomaa</w:t>
              </w:r>
            </w:hyperlink>
            <w:r>
              <w:rPr>
                <w:iCs/>
                <w:szCs w:val="20"/>
                <w:lang w:val="ro-RO" w:eastAsia="ro-RO"/>
              </w:rPr>
              <w:t xml:space="preserve"> Editura Spandugino, Bucharest, 2015, </w:t>
            </w:r>
          </w:p>
          <w:p>
            <w:pPr>
              <w:pStyle w:val="2"/>
              <w:widowControl/>
              <w:numPr>
                <w:ilvl w:val="0"/>
                <w:numId w:val="0"/>
              </w:numPr>
              <w:tabs>
                <w:tab w:val="left" w:pos="426" w:leader="none"/>
                <w:tab w:val="left" w:pos="1065" w:leader="none"/>
                <w:tab w:val="left" w:pos="2201" w:leader="none"/>
                <w:tab w:val="left" w:pos="3686" w:leader="none"/>
              </w:tabs>
              <w:suppressAutoHyphens w:val="true"/>
              <w:bidi w:val="0"/>
              <w:spacing w:before="120" w:after="120"/>
              <w:ind w:left="0" w:right="0" w:hanging="0"/>
              <w:jc w:val="left"/>
              <w:textAlignment w:val="auto"/>
              <w:outlineLvl w:val="1"/>
              <w:rPr>
                <w:lang w:val="ro-RO"/>
              </w:rPr>
            </w:pPr>
            <w:bookmarkStart w:id="112" w:name="_Toc469648819"/>
            <w:bookmarkStart w:id="113" w:name="_Toc469651905"/>
            <w:r>
              <w:rPr>
                <w:lang w:val="ro-RO" w:eastAsia="en-US"/>
              </w:rPr>
              <w:t>II.</w:t>
            </w:r>
            <w:bookmarkEnd w:id="112"/>
            <w:bookmarkEnd w:id="113"/>
            <w:r>
              <w:rPr>
                <w:rFonts w:cs="Times New Roman CE" w:ascii="Times New Roman CE" w:hAnsi="Times New Roman CE"/>
                <w:lang w:val="ro-MD" w:eastAsia="en-US"/>
              </w:rPr>
              <w:t xml:space="preserve"> Denumirea şi codul proiectului în cadrul căruia a  fost realizată lucrarea</w:t>
            </w:r>
          </w:p>
          <w:p>
            <w:pPr>
              <w:pStyle w:val="Normal"/>
              <w:widowControl/>
              <w:tabs>
                <w:tab w:val="left" w:pos="360" w:leader="none"/>
                <w:tab w:val="left" w:pos="3686" w:leader="none"/>
              </w:tabs>
              <w:bidi w:val="0"/>
              <w:ind w:left="99" w:right="0" w:hanging="0"/>
              <w:jc w:val="left"/>
              <w:textAlignment w:val="auto"/>
              <w:rPr>
                <w:lang w:val="en-US"/>
              </w:rPr>
            </w:pPr>
            <w:r>
              <w:rPr>
                <w:rFonts w:cs="Times New Roman CE" w:ascii="Times New Roman CE" w:hAnsi="Times New Roman CE"/>
                <w:lang w:val="en-US"/>
              </w:rPr>
              <w:t>15.817.02.02A . ”Modele şi tehnologii în ingineria sistemelor inteligente şi a calculului performant”</w:t>
            </w:r>
          </w:p>
          <w:p>
            <w:pPr>
              <w:pStyle w:val="2"/>
              <w:widowControl/>
              <w:numPr>
                <w:ilvl w:val="0"/>
                <w:numId w:val="0"/>
              </w:numPr>
              <w:tabs>
                <w:tab w:val="left" w:pos="426" w:leader="none"/>
                <w:tab w:val="left" w:pos="1065" w:leader="none"/>
                <w:tab w:val="left" w:pos="2201" w:leader="none"/>
                <w:tab w:val="left" w:pos="3686" w:leader="none"/>
              </w:tabs>
              <w:suppressAutoHyphens w:val="true"/>
              <w:bidi w:val="0"/>
              <w:spacing w:before="120" w:after="120"/>
              <w:ind w:left="0" w:right="0" w:hanging="0"/>
              <w:jc w:val="left"/>
              <w:textAlignment w:val="auto"/>
              <w:outlineLvl w:val="1"/>
              <w:rPr>
                <w:lang w:val="ro-MD"/>
              </w:rPr>
            </w:pPr>
            <w:bookmarkStart w:id="114" w:name="_Toc469648820"/>
            <w:bookmarkStart w:id="115" w:name="_Toc469651906"/>
            <w:r>
              <w:rPr>
                <w:lang w:val="ro-MD" w:eastAsia="en-US"/>
              </w:rPr>
              <w:t xml:space="preserve">III. </w:t>
            </w:r>
            <w:bookmarkEnd w:id="114"/>
            <w:bookmarkEnd w:id="115"/>
            <w:r>
              <w:rPr>
                <w:rFonts w:cs="Times New Roman CE" w:ascii="Times New Roman CE" w:hAnsi="Times New Roman CE"/>
                <w:lang w:val="ro-MD" w:eastAsia="en-US"/>
              </w:rPr>
              <w:t>Anul, nr. ISBN al lucrării</w:t>
            </w:r>
          </w:p>
          <w:p>
            <w:pPr>
              <w:pStyle w:val="Normal"/>
              <w:widowControl/>
              <w:tabs>
                <w:tab w:val="left" w:pos="360" w:leader="none"/>
                <w:tab w:val="left" w:pos="3686" w:leader="none"/>
              </w:tabs>
              <w:bidi w:val="0"/>
              <w:ind w:left="99" w:right="0" w:hanging="0"/>
              <w:jc w:val="left"/>
              <w:textAlignment w:val="auto"/>
              <w:rPr>
                <w:lang w:val="en-US"/>
              </w:rPr>
            </w:pPr>
            <w:r>
              <w:rPr>
                <w:lang w:val="en-US"/>
              </w:rPr>
              <w:t xml:space="preserve">This book first published 2015. </w:t>
            </w:r>
          </w:p>
          <w:p>
            <w:pPr>
              <w:pStyle w:val="Normal"/>
              <w:widowControl/>
              <w:tabs>
                <w:tab w:val="left" w:pos="360" w:leader="none"/>
                <w:tab w:val="left" w:pos="3686" w:leader="none"/>
              </w:tabs>
              <w:bidi w:val="0"/>
              <w:ind w:left="99" w:right="0" w:hanging="0"/>
              <w:jc w:val="left"/>
              <w:textAlignment w:val="auto"/>
              <w:rPr>
                <w:lang w:val="fr-FR"/>
              </w:rPr>
            </w:pPr>
            <w:r>
              <w:rPr>
                <w:lang w:val="fr-FR"/>
              </w:rPr>
              <w:t>ISBN: 606-8401-63-8, Bucuresti,</w:t>
            </w:r>
            <w:r>
              <w:rPr>
                <w:lang w:val="ro-RO"/>
              </w:rPr>
              <w:t xml:space="preserve"> </w:t>
            </w:r>
            <w:r>
              <w:rPr>
                <w:lang w:val="fr-FR"/>
              </w:rPr>
              <w:t>Limba: Engleza, Numar de pagini: 334</w:t>
            </w:r>
          </w:p>
        </w:tc>
      </w:tr>
    </w:tbl>
    <w:p>
      <w:pPr>
        <w:pStyle w:val="Normal"/>
        <w:widowControl/>
        <w:bidi w:val="0"/>
        <w:ind w:left="0" w:right="0" w:hanging="0"/>
        <w:jc w:val="left"/>
        <w:textAlignment w:val="auto"/>
        <w:rPr>
          <w:rFonts w:ascii="Times New Roman" w:hAnsi="Times New Roman"/>
          <w:lang w:val="fr-FR"/>
        </w:rPr>
      </w:pPr>
      <w:r>
        <w:rPr>
          <w:lang w:val="fr-FR"/>
        </w:rPr>
      </w:r>
    </w:p>
    <w:p>
      <w:pPr>
        <w:pStyle w:val="2"/>
        <w:keepNext/>
        <w:widowControl/>
        <w:numPr>
          <w:ilvl w:val="0"/>
          <w:numId w:val="21"/>
        </w:numPr>
        <w:tabs>
          <w:tab w:val="left" w:pos="180" w:leader="none"/>
          <w:tab w:val="left" w:pos="426" w:leader="none"/>
          <w:tab w:val="left" w:pos="1065" w:leader="none"/>
          <w:tab w:val="left" w:pos="2201" w:leader="none"/>
          <w:tab w:val="left" w:pos="3686" w:leader="none"/>
        </w:tabs>
        <w:suppressAutoHyphens w:val="true"/>
        <w:bidi w:val="0"/>
        <w:spacing w:before="120" w:after="120"/>
        <w:ind w:left="180" w:right="0" w:hanging="0"/>
        <w:jc w:val="left"/>
        <w:textAlignment w:val="auto"/>
        <w:outlineLvl w:val="1"/>
        <w:rPr>
          <w:lang w:val="ro-MD"/>
        </w:rPr>
      </w:pPr>
      <w:bookmarkStart w:id="116" w:name="_Toc469648821"/>
      <w:bookmarkStart w:id="117" w:name="_Toc469651907"/>
      <w:r>
        <w:rPr>
          <w:rFonts w:cs="Times New Roman CE" w:ascii="Times New Roman CE" w:hAnsi="Times New Roman CE"/>
          <w:sz w:val="24"/>
          <w:lang w:val="ro-MD"/>
        </w:rPr>
        <w:t>Autorii lucrării.</w:t>
      </w:r>
      <w:bookmarkEnd w:id="116"/>
      <w:bookmarkEnd w:id="117"/>
      <w:r>
        <w:rPr>
          <w:rFonts w:cs="Times New Roman CE" w:ascii="Times New Roman CE" w:hAnsi="Times New Roman CE"/>
          <w:sz w:val="24"/>
          <w:lang w:val="ro-MD"/>
        </w:rPr>
        <w:t xml:space="preserve"> </w:t>
      </w:r>
    </w:p>
    <w:p>
      <w:pPr>
        <w:pStyle w:val="2"/>
        <w:keepNext/>
        <w:widowControl/>
        <w:numPr>
          <w:ilvl w:val="0"/>
          <w:numId w:val="0"/>
        </w:numPr>
        <w:tabs>
          <w:tab w:val="left" w:pos="426" w:leader="none"/>
          <w:tab w:val="left" w:pos="1065" w:leader="none"/>
          <w:tab w:val="left" w:pos="2201" w:leader="none"/>
          <w:tab w:val="left" w:pos="3686" w:leader="none"/>
        </w:tabs>
        <w:suppressAutoHyphens w:val="true"/>
        <w:bidi w:val="0"/>
        <w:spacing w:before="120" w:after="120"/>
        <w:ind w:left="0" w:right="0" w:hanging="0"/>
        <w:jc w:val="left"/>
        <w:textAlignment w:val="auto"/>
        <w:outlineLvl w:val="1"/>
        <w:rPr/>
      </w:pPr>
      <w:bookmarkStart w:id="118" w:name="_Toc469648822"/>
      <w:bookmarkStart w:id="119" w:name="_Toc469651908"/>
      <w:r>
        <w:rPr>
          <w:iCs/>
          <w:sz w:val="24"/>
          <w:lang w:eastAsia="ro-RO"/>
        </w:rPr>
        <w:t>ALHAZOV, A; FREUND, R.; IVANOV, S.; OSWALD, M.</w:t>
      </w:r>
      <w:bookmarkEnd w:id="118"/>
      <w:bookmarkEnd w:id="119"/>
      <w:r>
        <w:rPr>
          <w:iCs/>
          <w:sz w:val="24"/>
          <w:lang w:eastAsia="ro-RO"/>
        </w:rPr>
        <w:t xml:space="preserve"> </w:t>
      </w:r>
    </w:p>
    <w:p>
      <w:pPr>
        <w:pStyle w:val="2"/>
        <w:keepNext/>
        <w:widowControl/>
        <w:numPr>
          <w:ilvl w:val="0"/>
          <w:numId w:val="21"/>
        </w:numPr>
        <w:tabs>
          <w:tab w:val="left" w:pos="180" w:leader="none"/>
          <w:tab w:val="left" w:pos="426" w:leader="none"/>
          <w:tab w:val="left" w:pos="1065" w:leader="none"/>
          <w:tab w:val="left" w:pos="2201" w:leader="none"/>
          <w:tab w:val="left" w:pos="3686" w:leader="none"/>
        </w:tabs>
        <w:suppressAutoHyphens w:val="true"/>
        <w:bidi w:val="0"/>
        <w:spacing w:before="120" w:after="120"/>
        <w:ind w:left="180" w:right="0" w:hanging="0"/>
        <w:jc w:val="left"/>
        <w:textAlignment w:val="auto"/>
        <w:outlineLvl w:val="1"/>
        <w:rPr>
          <w:lang w:val="ro-MD"/>
        </w:rPr>
      </w:pPr>
      <w:bookmarkStart w:id="120" w:name="_Toc469648823"/>
      <w:bookmarkStart w:id="121" w:name="_Toc469651909"/>
      <w:bookmarkEnd w:id="120"/>
      <w:bookmarkEnd w:id="121"/>
      <w:r>
        <w:rPr>
          <w:rFonts w:cs="Times New Roman CE" w:ascii="Times New Roman CE" w:hAnsi="Times New Roman CE"/>
          <w:sz w:val="24"/>
          <w:lang w:val="ro-MD"/>
        </w:rPr>
        <w:t>Descrierea lucrării (până la 100 cuvinte)</w:t>
      </w:r>
    </w:p>
    <w:p>
      <w:pPr>
        <w:pStyle w:val="Normal"/>
        <w:widowControl/>
        <w:bidi w:val="0"/>
        <w:ind w:left="0" w:right="0" w:hanging="0"/>
        <w:jc w:val="both"/>
        <w:textAlignment w:val="auto"/>
        <w:rPr>
          <w:lang w:val="en-US"/>
        </w:rPr>
      </w:pPr>
      <w:r>
        <w:rPr>
          <w:lang w:val="en-US" w:eastAsia="ro-RO"/>
        </w:rPr>
        <w:t xml:space="preserve">The book contains original papers dealing with Membrane Computing and Theoretical Computer Science. The topics include mathematical aspects of P systems, modelling of biological processes, combinatorics of words, grammar systems, tree languages, and randomness. Informal personal reflections conclude the book. </w:t>
      </w:r>
    </w:p>
    <w:p>
      <w:pPr>
        <w:pStyle w:val="Normal"/>
        <w:widowControl/>
        <w:bidi w:val="0"/>
        <w:ind w:left="0" w:right="0" w:hanging="0"/>
        <w:jc w:val="both"/>
        <w:textAlignment w:val="auto"/>
        <w:rPr>
          <w:lang w:val="en-US"/>
        </w:rPr>
      </w:pPr>
      <w:r>
        <w:rPr>
          <w:lang w:val="en-US" w:eastAsia="ro-RO"/>
        </w:rPr>
        <w:t>The book i</w:t>
      </w:r>
      <w:r>
        <w:rPr>
          <w:rFonts w:cs="Times New Roman CE" w:ascii="Times New Roman CE" w:hAnsi="Times New Roman CE"/>
          <w:lang w:val="en-US" w:eastAsia="ro-RO"/>
        </w:rPr>
        <w:t>s dedicated to Gheorghe Păun’s 65th birthday.</w:t>
      </w:r>
    </w:p>
    <w:p>
      <w:pPr>
        <w:pStyle w:val="Normal"/>
        <w:widowControl/>
        <w:bidi w:val="0"/>
        <w:ind w:left="0" w:right="0" w:hanging="0"/>
        <w:jc w:val="both"/>
        <w:textAlignment w:val="auto"/>
        <w:rPr>
          <w:rFonts w:ascii="Times New Roman" w:hAnsi="Times New Roman"/>
          <w:lang w:val="en-US" w:eastAsia="ro-RO"/>
        </w:rPr>
      </w:pPr>
      <w:r>
        <w:rPr>
          <w:lang w:val="en-US" w:eastAsia="ro-RO"/>
        </w:rPr>
      </w:r>
    </w:p>
    <w:p>
      <w:pPr>
        <w:pStyle w:val="Normal"/>
        <w:widowControl/>
        <w:bidi w:val="0"/>
        <w:ind w:left="0" w:right="0" w:hanging="0"/>
        <w:jc w:val="both"/>
        <w:textAlignment w:val="auto"/>
        <w:rPr>
          <w:rFonts w:ascii="Times New Roman" w:hAnsi="Times New Roman"/>
          <w:lang w:val="en-US" w:eastAsia="ro-RO"/>
        </w:rPr>
      </w:pPr>
      <w:r>
        <w:rPr>
          <w:lang w:val="en-US" w:eastAsia="ro-RO"/>
        </w:rPr>
      </w:r>
    </w:p>
    <w:p>
      <w:pPr>
        <w:pStyle w:val="Normal"/>
        <w:widowControl/>
        <w:pBdr>
          <w:top w:val="outset" w:sz="6" w:space="0" w:color="FFFFFF"/>
          <w:left w:val="outset" w:sz="6" w:space="4" w:color="FFFFFF"/>
          <w:bottom w:val="inset" w:sz="6" w:space="1" w:color="FFFFFF"/>
          <w:right w:val="inset" w:sz="6" w:space="4" w:color="FFFFFF"/>
        </w:pBdr>
        <w:bidi w:val="0"/>
        <w:ind w:left="0" w:right="0" w:hanging="0"/>
        <w:jc w:val="left"/>
        <w:textAlignment w:val="auto"/>
        <w:rPr>
          <w:rFonts w:ascii="Times New Roman" w:hAnsi="Times New Roman"/>
          <w:bCs/>
          <w:color w:val="FF0000"/>
          <w:lang w:val="en-US"/>
        </w:rPr>
      </w:pPr>
      <w:r>
        <w:rPr>
          <w:bCs/>
          <w:color w:val="FF0000"/>
          <w:lang w:val="en-US"/>
        </w:rPr>
      </w:r>
      <w:r>
        <w:br w:type="page"/>
      </w:r>
    </w:p>
    <w:tbl>
      <w:tblPr>
        <w:tblW w:w="10173" w:type="dxa"/>
        <w:jc w:val="left"/>
        <w:tblInd w:w="-10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3" w:type="dxa"/>
          <w:bottom w:w="0" w:type="dxa"/>
          <w:right w:w="108" w:type="dxa"/>
        </w:tblCellMar>
      </w:tblPr>
      <w:tblGrid>
        <w:gridCol w:w="2297"/>
        <w:gridCol w:w="7875"/>
      </w:tblGrid>
      <w:tr>
        <w:trPr>
          <w:trHeight w:val="5376" w:hRule="atLeast"/>
        </w:trPr>
        <w:tc>
          <w:tcPr>
            <w:tcW w:w="229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5"/>
              <w:pageBreakBefore/>
              <w:widowControl/>
              <w:numPr>
                <w:ilvl w:val="0"/>
                <w:numId w:val="0"/>
              </w:numPr>
              <w:bidi w:val="0"/>
              <w:ind w:left="0" w:right="0" w:hanging="0"/>
              <w:jc w:val="left"/>
              <w:textAlignment w:val="auto"/>
              <w:outlineLvl w:val="4"/>
              <w:rPr>
                <w:rFonts w:ascii="Times New Roman" w:hAnsi="Times New Roman"/>
                <w:b w:val="false"/>
                <w:b w:val="false"/>
                <w:bCs/>
                <w:i/>
                <w:i/>
                <w:spacing w:val="20"/>
                <w:sz w:val="22"/>
                <w:szCs w:val="20"/>
                <w:lang w:val="ro-MD"/>
              </w:rPr>
            </w:pPr>
            <w:r>
              <w:rPr/>
              <w:drawing>
                <wp:inline distT="0" distB="0" distL="0" distR="0">
                  <wp:extent cx="1779905" cy="2527935"/>
                  <wp:effectExtent l="0" t="0" r="0" b="0"/>
                  <wp:docPr id="17" name="Изображение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6" descr=""/>
                          <pic:cNvPicPr>
                            <a:picLocks noChangeAspect="1" noChangeArrowheads="1"/>
                          </pic:cNvPicPr>
                        </pic:nvPicPr>
                        <pic:blipFill>
                          <a:blip r:embed="rId59"/>
                          <a:stretch>
                            <a:fillRect/>
                          </a:stretch>
                        </pic:blipFill>
                        <pic:spPr bwMode="auto">
                          <a:xfrm>
                            <a:off x="0" y="0"/>
                            <a:ext cx="1779905" cy="2527935"/>
                          </a:xfrm>
                          <a:prstGeom prst="rect">
                            <a:avLst/>
                          </a:prstGeom>
                        </pic:spPr>
                      </pic:pic>
                    </a:graphicData>
                  </a:graphic>
                </wp:inline>
              </w:drawing>
            </w:r>
          </w:p>
        </w:tc>
        <w:tc>
          <w:tcPr>
            <w:tcW w:w="78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numPr>
                <w:ilvl w:val="0"/>
                <w:numId w:val="114"/>
              </w:numPr>
              <w:tabs>
                <w:tab w:val="left" w:pos="1065" w:leader="none"/>
                <w:tab w:val="left" w:pos="2201" w:leader="none"/>
              </w:tabs>
              <w:bidi w:val="0"/>
              <w:spacing w:before="120" w:after="120"/>
              <w:ind w:left="1080" w:right="0" w:hanging="720"/>
              <w:jc w:val="left"/>
              <w:textAlignment w:val="auto"/>
              <w:rPr>
                <w:lang w:val="ro-MD"/>
              </w:rPr>
            </w:pPr>
            <w:r>
              <w:rPr>
                <w:rFonts w:cs="Times New Roman CE" w:ascii="Times New Roman CE" w:hAnsi="Times New Roman CE"/>
                <w:bCs/>
                <w:sz w:val="22"/>
                <w:szCs w:val="22"/>
                <w:lang w:val="ro-MD"/>
              </w:rPr>
              <w:t>Denumirea şi tipul lucrării</w:t>
            </w:r>
          </w:p>
          <w:tbl>
            <w:tblPr>
              <w:tblW w:w="7579" w:type="dxa"/>
              <w:jc w:val="left"/>
              <w:tblInd w:w="5" w:type="dxa"/>
              <w:tblBorders>
                <w:top w:val="dotted" w:sz="4" w:space="0" w:color="000001"/>
                <w:left w:val="dotted" w:sz="4" w:space="0" w:color="000001"/>
                <w:bottom w:val="dotted" w:sz="4" w:space="0" w:color="000001"/>
                <w:right w:val="dotted" w:sz="4" w:space="0" w:color="000001"/>
                <w:insideH w:val="dotted" w:sz="4" w:space="0" w:color="000001"/>
                <w:insideV w:val="dotted" w:sz="4" w:space="0" w:color="000001"/>
              </w:tblBorders>
              <w:tblCellMar>
                <w:top w:w="0" w:type="dxa"/>
                <w:left w:w="103" w:type="dxa"/>
                <w:bottom w:w="0" w:type="dxa"/>
                <w:right w:w="108" w:type="dxa"/>
              </w:tblCellMar>
            </w:tblPr>
            <w:tblGrid>
              <w:gridCol w:w="7579"/>
            </w:tblGrid>
            <w:tr>
              <w:trPr/>
              <w:tc>
                <w:tcPr>
                  <w:tcW w:w="7579" w:type="dxa"/>
                  <w:tcBorders>
                    <w:top w:val="dotted" w:sz="4" w:space="0" w:color="000001"/>
                    <w:left w:val="dotted" w:sz="4" w:space="0" w:color="000001"/>
                    <w:bottom w:val="dotted" w:sz="4" w:space="0" w:color="000001"/>
                    <w:right w:val="dotted" w:sz="4" w:space="0" w:color="000001"/>
                    <w:insideH w:val="dotted" w:sz="4" w:space="0" w:color="000001"/>
                    <w:insideV w:val="dotted" w:sz="4" w:space="0" w:color="000001"/>
                  </w:tcBorders>
                  <w:shd w:fill="auto" w:val="clear"/>
                  <w:tcMar>
                    <w:left w:w="103" w:type="dxa"/>
                  </w:tcMar>
                </w:tcPr>
                <w:p>
                  <w:pPr>
                    <w:pStyle w:val="Normal"/>
                    <w:widowControl/>
                    <w:bidi w:val="0"/>
                    <w:ind w:left="0" w:right="0" w:hanging="0"/>
                    <w:jc w:val="left"/>
                    <w:textAlignment w:val="auto"/>
                    <w:rPr>
                      <w:lang w:val="ro-RO"/>
                    </w:rPr>
                  </w:pPr>
                  <w:r>
                    <w:rPr>
                      <w:rFonts w:eastAsia="SimSun" w:cs="Times New Roman CE" w:ascii="Times New Roman CE" w:hAnsi="Times New Roman CE"/>
                      <w:i/>
                      <w:sz w:val="22"/>
                      <w:szCs w:val="22"/>
                      <w:lang w:val="ro-RO" w:eastAsia="zh-CN"/>
                    </w:rPr>
                    <w:t>Matematică discretă (</w:t>
                  </w:r>
                  <w:r>
                    <w:rPr>
                      <w:i/>
                      <w:iCs/>
                      <w:sz w:val="22"/>
                      <w:szCs w:val="22"/>
                      <w:lang w:val="ro-MD"/>
                    </w:rPr>
                    <w:t xml:space="preserve"> note de curs</w:t>
                  </w:r>
                  <w:r>
                    <w:rPr>
                      <w:i/>
                      <w:sz w:val="22"/>
                      <w:szCs w:val="22"/>
                      <w:lang w:val="ro-MD"/>
                    </w:rPr>
                    <w:t>).</w:t>
                  </w:r>
                  <w:r>
                    <w:rPr>
                      <w:sz w:val="22"/>
                      <w:szCs w:val="22"/>
                      <w:lang w:val="ro-MD"/>
                    </w:rPr>
                    <w:t xml:space="preserve"> </w:t>
                  </w:r>
                  <w:r>
                    <w:rPr>
                      <w:rFonts w:eastAsia="SimSun" w:cs="Times New Roman CE" w:ascii="Times New Roman CE" w:hAnsi="Times New Roman CE"/>
                      <w:sz w:val="22"/>
                      <w:szCs w:val="22"/>
                      <w:lang w:val="ro-RO" w:eastAsia="zh-CN"/>
                    </w:rPr>
                    <w:t xml:space="preserve">Universitatea  Academiei de Ştiinţe a Moldovei. – Chişinău , 2016,  88 p. </w:t>
                  </w:r>
                </w:p>
              </w:tc>
            </w:tr>
          </w:tbl>
          <w:p>
            <w:pPr>
              <w:pStyle w:val="Normal"/>
              <w:widowControl/>
              <w:numPr>
                <w:ilvl w:val="0"/>
                <w:numId w:val="114"/>
              </w:numPr>
              <w:tabs>
                <w:tab w:val="left" w:pos="1065" w:leader="none"/>
                <w:tab w:val="left" w:pos="2201" w:leader="none"/>
              </w:tabs>
              <w:bidi w:val="0"/>
              <w:spacing w:before="120" w:after="120"/>
              <w:ind w:left="1080" w:right="0" w:hanging="720"/>
              <w:jc w:val="left"/>
              <w:textAlignment w:val="auto"/>
              <w:rPr>
                <w:lang w:val="ro-MD"/>
              </w:rPr>
            </w:pPr>
            <w:r>
              <w:rPr>
                <w:rFonts w:cs="Times New Roman CE" w:ascii="Times New Roman CE" w:hAnsi="Times New Roman CE"/>
                <w:bCs/>
                <w:sz w:val="22"/>
                <w:szCs w:val="22"/>
                <w:lang w:val="ro-MD"/>
              </w:rPr>
              <w:t>II. Denumirea şi codul proiectului în cadrul căruia a fost realizată lucrarea</w:t>
            </w:r>
          </w:p>
          <w:tbl>
            <w:tblPr>
              <w:tblW w:w="7606" w:type="dxa"/>
              <w:jc w:val="left"/>
              <w:tblInd w:w="153" w:type="dxa"/>
              <w:tblBorders>
                <w:top w:val="dotted" w:sz="4" w:space="0" w:color="000001"/>
                <w:left w:val="dotted" w:sz="4" w:space="0" w:color="000001"/>
                <w:bottom w:val="dotted" w:sz="4" w:space="0" w:color="000001"/>
                <w:right w:val="dotted" w:sz="4" w:space="0" w:color="000001"/>
                <w:insideH w:val="dotted" w:sz="4" w:space="0" w:color="000001"/>
                <w:insideV w:val="dotted" w:sz="4" w:space="0" w:color="000001"/>
              </w:tblBorders>
              <w:tblCellMar>
                <w:top w:w="0" w:type="dxa"/>
                <w:left w:w="103" w:type="dxa"/>
                <w:bottom w:w="0" w:type="dxa"/>
                <w:right w:w="108" w:type="dxa"/>
              </w:tblCellMar>
            </w:tblPr>
            <w:tblGrid>
              <w:gridCol w:w="7606"/>
            </w:tblGrid>
            <w:tr>
              <w:trPr>
                <w:trHeight w:val="491" w:hRule="atLeast"/>
              </w:trPr>
              <w:tc>
                <w:tcPr>
                  <w:tcW w:w="7606" w:type="dxa"/>
                  <w:tcBorders>
                    <w:top w:val="dotted" w:sz="4" w:space="0" w:color="000001"/>
                    <w:left w:val="dotted" w:sz="4" w:space="0" w:color="000001"/>
                    <w:bottom w:val="dotted" w:sz="4" w:space="0" w:color="000001"/>
                    <w:right w:val="dotted" w:sz="4" w:space="0" w:color="000001"/>
                    <w:insideH w:val="dotted" w:sz="4" w:space="0" w:color="000001"/>
                    <w:insideV w:val="dotted" w:sz="4" w:space="0" w:color="000001"/>
                  </w:tcBorders>
                  <w:shd w:fill="auto" w:val="clear"/>
                  <w:tcMar>
                    <w:left w:w="103" w:type="dxa"/>
                  </w:tcMar>
                </w:tcPr>
                <w:p>
                  <w:pPr>
                    <w:pStyle w:val="Normal"/>
                    <w:widowControl/>
                    <w:tabs>
                      <w:tab w:val="left" w:pos="1065" w:leader="none"/>
                      <w:tab w:val="left" w:pos="2201" w:leader="none"/>
                    </w:tabs>
                    <w:bidi w:val="0"/>
                    <w:ind w:left="0" w:right="0" w:hanging="0"/>
                    <w:jc w:val="left"/>
                    <w:textAlignment w:val="auto"/>
                    <w:rPr>
                      <w:lang w:val="ro-RO"/>
                    </w:rPr>
                  </w:pPr>
                  <w:r>
                    <w:rPr>
                      <w:spacing w:val="-1"/>
                      <w:sz w:val="22"/>
                      <w:szCs w:val="22"/>
                      <w:lang w:val="ro-RO"/>
                    </w:rPr>
                    <w:t xml:space="preserve">15.817.02.04F  </w:t>
                  </w:r>
                  <w:r>
                    <w:rPr>
                      <w:rFonts w:cs="Times New Roman CE" w:ascii="Times New Roman CE" w:hAnsi="Times New Roman CE"/>
                      <w:sz w:val="22"/>
                      <w:szCs w:val="22"/>
                      <w:lang w:val="ro-RO"/>
                    </w:rPr>
                    <w:t>„Tendinţe moderne în algebră, topologie şi geometrie: cercetări fundamentale şi aplicaţii”</w:t>
                  </w:r>
                </w:p>
              </w:tc>
            </w:tr>
          </w:tbl>
          <w:p>
            <w:pPr>
              <w:pStyle w:val="Normal"/>
              <w:widowControl/>
              <w:numPr>
                <w:ilvl w:val="0"/>
                <w:numId w:val="115"/>
              </w:numPr>
              <w:bidi w:val="0"/>
              <w:spacing w:lineRule="exact" w:line="360" w:before="120" w:after="0"/>
              <w:ind w:left="1080" w:right="0" w:hanging="720"/>
              <w:jc w:val="left"/>
              <w:textAlignment w:val="auto"/>
              <w:rPr>
                <w:lang w:val="ro-MD"/>
              </w:rPr>
            </w:pPr>
            <w:r>
              <w:rPr>
                <w:rFonts w:cs="Times New Roman CE" w:ascii="Times New Roman CE" w:hAnsi="Times New Roman CE"/>
                <w:sz w:val="22"/>
                <w:szCs w:val="22"/>
                <w:lang w:val="ro-MD"/>
              </w:rPr>
              <w:t>ISBN-ul lucrării</w:t>
            </w:r>
          </w:p>
          <w:tbl>
            <w:tblPr>
              <w:tblW w:w="7594" w:type="dxa"/>
              <w:jc w:val="left"/>
              <w:tblInd w:w="153"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7594"/>
            </w:tblGrid>
            <w:tr>
              <w:trPr>
                <w:trHeight w:val="435" w:hRule="atLeast"/>
              </w:trPr>
              <w:tc>
                <w:tcPr>
                  <w:tcW w:w="7594"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spacing w:lineRule="exact" w:line="360"/>
                    <w:ind w:left="0" w:right="0" w:hanging="0"/>
                    <w:jc w:val="left"/>
                    <w:textAlignment w:val="auto"/>
                    <w:rPr>
                      <w:lang w:val="ro-MD"/>
                    </w:rPr>
                  </w:pPr>
                  <w:r>
                    <w:rPr>
                      <w:bCs/>
                      <w:sz w:val="22"/>
                      <w:szCs w:val="22"/>
                      <w:lang w:val="ro-MD"/>
                    </w:rPr>
                    <w:t>ISBN 978-9975-933-98-8</w:t>
                  </w:r>
                </w:p>
              </w:tc>
            </w:tr>
          </w:tbl>
          <w:p>
            <w:pPr>
              <w:pStyle w:val="Normal"/>
              <w:widowControl/>
              <w:numPr>
                <w:ilvl w:val="0"/>
                <w:numId w:val="115"/>
              </w:numPr>
              <w:tabs>
                <w:tab w:val="left" w:pos="1065" w:leader="none"/>
                <w:tab w:val="left" w:pos="2201" w:leader="none"/>
              </w:tabs>
              <w:bidi w:val="0"/>
              <w:spacing w:before="120" w:after="120"/>
              <w:ind w:left="1080" w:right="0" w:hanging="720"/>
              <w:jc w:val="left"/>
              <w:textAlignment w:val="auto"/>
              <w:rPr>
                <w:lang w:val="ro-MD"/>
              </w:rPr>
            </w:pPr>
            <w:r>
              <w:rPr>
                <w:sz w:val="22"/>
                <w:szCs w:val="22"/>
                <w:lang w:val="ro-MD"/>
              </w:rPr>
              <w:t xml:space="preserve">Autorul (ii) </w:t>
            </w:r>
            <w:r>
              <w:rPr>
                <w:rFonts w:cs="Times New Roman CE" w:ascii="Times New Roman CE" w:hAnsi="Times New Roman CE"/>
                <w:bCs/>
                <w:sz w:val="22"/>
                <w:szCs w:val="22"/>
                <w:lang w:val="ro-MD"/>
              </w:rPr>
              <w:t>lucrării</w:t>
            </w:r>
          </w:p>
          <w:tbl>
            <w:tblPr>
              <w:tblW w:w="8485" w:type="dxa"/>
              <w:jc w:val="left"/>
              <w:tblInd w:w="153" w:type="dxa"/>
              <w:tblBorders>
                <w:top w:val="dotted" w:sz="4" w:space="0" w:color="000001"/>
                <w:left w:val="dotted" w:sz="4" w:space="0" w:color="000001"/>
                <w:bottom w:val="dotted" w:sz="4" w:space="0" w:color="000001"/>
                <w:right w:val="dotted" w:sz="4" w:space="0" w:color="000001"/>
                <w:insideH w:val="dotted" w:sz="4" w:space="0" w:color="000001"/>
                <w:insideV w:val="dotted" w:sz="4" w:space="0" w:color="000001"/>
              </w:tblBorders>
              <w:tblCellMar>
                <w:top w:w="0" w:type="dxa"/>
                <w:left w:w="103" w:type="dxa"/>
                <w:bottom w:w="0" w:type="dxa"/>
                <w:right w:w="108" w:type="dxa"/>
              </w:tblCellMar>
            </w:tblPr>
            <w:tblGrid>
              <w:gridCol w:w="8485"/>
            </w:tblGrid>
            <w:tr>
              <w:trPr>
                <w:trHeight w:val="452" w:hRule="atLeast"/>
              </w:trPr>
              <w:tc>
                <w:tcPr>
                  <w:tcW w:w="8485" w:type="dxa"/>
                  <w:tcBorders>
                    <w:top w:val="dotted" w:sz="4" w:space="0" w:color="000001"/>
                    <w:left w:val="dotted" w:sz="4" w:space="0" w:color="000001"/>
                    <w:bottom w:val="dotted" w:sz="4" w:space="0" w:color="000001"/>
                    <w:right w:val="dotted" w:sz="4" w:space="0" w:color="000001"/>
                    <w:insideH w:val="dotted" w:sz="4" w:space="0" w:color="000001"/>
                    <w:insideV w:val="dotted" w:sz="4" w:space="0" w:color="000001"/>
                  </w:tcBorders>
                  <w:shd w:fill="auto" w:val="clear"/>
                  <w:tcMar>
                    <w:left w:w="103" w:type="dxa"/>
                  </w:tcMar>
                </w:tcPr>
                <w:p>
                  <w:pPr>
                    <w:pStyle w:val="Normal"/>
                    <w:widowControl/>
                    <w:bidi w:val="0"/>
                    <w:ind w:left="0" w:right="0" w:hanging="0"/>
                    <w:jc w:val="both"/>
                    <w:textAlignment w:val="auto"/>
                    <w:rPr>
                      <w:lang w:val="ro-MD"/>
                    </w:rPr>
                  </w:pPr>
                  <w:r>
                    <w:rPr>
                      <w:rFonts w:cs="Times New Roman CE" w:ascii="Times New Roman CE" w:hAnsi="Times New Roman CE"/>
                      <w:sz w:val="22"/>
                      <w:szCs w:val="22"/>
                      <w:lang w:val="ro-MD"/>
                    </w:rPr>
                    <w:t>Cucu Ion,  conferenţiar universitar</w:t>
                  </w:r>
                  <w:r>
                    <w:rPr>
                      <w:sz w:val="22"/>
                      <w:szCs w:val="22"/>
                      <w:lang w:val="ro-RO"/>
                    </w:rPr>
                    <w:t>, Uiversitatea de Stat a Moldovei;</w:t>
                  </w:r>
                </w:p>
                <w:p>
                  <w:pPr>
                    <w:pStyle w:val="Normal"/>
                    <w:widowControl/>
                    <w:bidi w:val="0"/>
                    <w:ind w:left="0" w:right="0" w:hanging="0"/>
                    <w:jc w:val="both"/>
                    <w:textAlignment w:val="auto"/>
                    <w:rPr>
                      <w:lang w:val="ro-RO"/>
                    </w:rPr>
                  </w:pPr>
                  <w:r>
                    <w:rPr>
                      <w:sz w:val="22"/>
                      <w:szCs w:val="22"/>
                      <w:lang w:val="ro-RO"/>
                    </w:rPr>
                    <w:t>Izba</w:t>
                  </w:r>
                  <w:r>
                    <w:rPr>
                      <w:rFonts w:cs="Cambria Math" w:ascii="Cambria Math" w:hAnsi="Cambria Math"/>
                      <w:sz w:val="22"/>
                      <w:szCs w:val="22"/>
                      <w:lang w:val="ro-RO"/>
                    </w:rPr>
                    <w:t>ș</w:t>
                  </w:r>
                  <w:r>
                    <w:rPr>
                      <w:rFonts w:cs="Times New Roman CE" w:ascii="Times New Roman CE" w:hAnsi="Times New Roman CE"/>
                      <w:sz w:val="22"/>
                      <w:szCs w:val="22"/>
                      <w:lang w:val="ro-RO"/>
                    </w:rPr>
                    <w:t xml:space="preserve"> Olga, conferenţiar cercetător, Institutul de Matematică </w:t>
                  </w:r>
                  <w:r>
                    <w:rPr>
                      <w:rFonts w:cs="Cambria Math" w:ascii="Cambria Math" w:hAnsi="Cambria Math"/>
                      <w:sz w:val="22"/>
                      <w:szCs w:val="22"/>
                      <w:lang w:val="ro-RO"/>
                    </w:rPr>
                    <w:t>ș</w:t>
                  </w:r>
                  <w:r>
                    <w:rPr>
                      <w:rFonts w:cs="Times New Roman CE" w:ascii="Times New Roman CE" w:hAnsi="Times New Roman CE"/>
                      <w:sz w:val="22"/>
                      <w:szCs w:val="22"/>
                      <w:lang w:val="ro-RO"/>
                    </w:rPr>
                    <w:t>i Informatică al A</w:t>
                  </w:r>
                  <w:r>
                    <w:rPr>
                      <w:rFonts w:cs="Cambria Math" w:ascii="Cambria Math" w:hAnsi="Cambria Math"/>
                      <w:sz w:val="22"/>
                      <w:szCs w:val="22"/>
                      <w:lang w:val="ro-RO"/>
                    </w:rPr>
                    <w:t>Ș</w:t>
                  </w:r>
                  <w:r>
                    <w:rPr>
                      <w:sz w:val="22"/>
                      <w:szCs w:val="22"/>
                      <w:lang w:val="ro-RO"/>
                    </w:rPr>
                    <w:t>M</w:t>
                  </w:r>
                </w:p>
              </w:tc>
            </w:tr>
          </w:tbl>
          <w:p>
            <w:pPr>
              <w:pStyle w:val="Normal"/>
              <w:widowControl/>
              <w:numPr>
                <w:ilvl w:val="0"/>
                <w:numId w:val="115"/>
              </w:numPr>
              <w:tabs>
                <w:tab w:val="left" w:pos="1065" w:leader="none"/>
                <w:tab w:val="left" w:pos="2201" w:leader="none"/>
              </w:tabs>
              <w:bidi w:val="0"/>
              <w:spacing w:before="120" w:after="120"/>
              <w:ind w:left="1080" w:right="0" w:hanging="720"/>
              <w:jc w:val="left"/>
              <w:textAlignment w:val="auto"/>
              <w:rPr>
                <w:lang w:val="ro-MD"/>
              </w:rPr>
            </w:pPr>
            <w:r>
              <w:rPr>
                <w:rStyle w:val="Strong"/>
                <w:bCs/>
                <w:color w:val="000000"/>
                <w:sz w:val="22"/>
                <w:szCs w:val="22"/>
                <w:lang w:val="ro-MD"/>
              </w:rPr>
              <w:t xml:space="preserve">Descrierea </w:t>
            </w:r>
            <w:r>
              <w:rPr>
                <w:rFonts w:cs="Times New Roman CE" w:ascii="Times New Roman CE" w:hAnsi="Times New Roman CE"/>
                <w:sz w:val="22"/>
                <w:szCs w:val="22"/>
                <w:lang w:val="ro-MD"/>
              </w:rPr>
              <w:t xml:space="preserve">ştiinţifică a lucrării </w:t>
            </w:r>
          </w:p>
          <w:tbl>
            <w:tblPr>
              <w:tblW w:w="7470" w:type="dxa"/>
              <w:jc w:val="left"/>
              <w:tblInd w:w="5" w:type="dxa"/>
              <w:tblBorders>
                <w:top w:val="dotted" w:sz="4" w:space="0" w:color="000001"/>
                <w:left w:val="dotted" w:sz="4" w:space="0" w:color="000001"/>
                <w:bottom w:val="dotted" w:sz="4" w:space="0" w:color="000001"/>
                <w:right w:val="dotted" w:sz="4" w:space="0" w:color="000001"/>
                <w:insideH w:val="dotted" w:sz="4" w:space="0" w:color="000001"/>
                <w:insideV w:val="dotted" w:sz="4" w:space="0" w:color="000001"/>
              </w:tblBorders>
              <w:tblCellMar>
                <w:top w:w="0" w:type="dxa"/>
                <w:left w:w="103" w:type="dxa"/>
                <w:bottom w:w="0" w:type="dxa"/>
                <w:right w:w="108" w:type="dxa"/>
              </w:tblCellMar>
            </w:tblPr>
            <w:tblGrid>
              <w:gridCol w:w="7470"/>
            </w:tblGrid>
            <w:tr>
              <w:trPr>
                <w:trHeight w:val="837" w:hRule="atLeast"/>
              </w:trPr>
              <w:tc>
                <w:tcPr>
                  <w:tcW w:w="7470" w:type="dxa"/>
                  <w:tcBorders>
                    <w:top w:val="dotted" w:sz="4" w:space="0" w:color="000001"/>
                    <w:left w:val="dotted" w:sz="4" w:space="0" w:color="000001"/>
                    <w:bottom w:val="dotted" w:sz="4" w:space="0" w:color="000001"/>
                    <w:right w:val="dotted" w:sz="4" w:space="0" w:color="000001"/>
                    <w:insideH w:val="dotted" w:sz="4" w:space="0" w:color="000001"/>
                    <w:insideV w:val="dotted" w:sz="4" w:space="0" w:color="000001"/>
                  </w:tcBorders>
                  <w:shd w:fill="auto" w:val="clear"/>
                  <w:tcMar>
                    <w:left w:w="103" w:type="dxa"/>
                  </w:tcMar>
                </w:tcPr>
                <w:p>
                  <w:pPr>
                    <w:pStyle w:val="Normal"/>
                    <w:widowControl/>
                    <w:bidi w:val="0"/>
                    <w:ind w:left="0" w:right="0" w:hanging="0"/>
                    <w:jc w:val="both"/>
                    <w:textAlignment w:val="auto"/>
                    <w:rPr>
                      <w:lang w:val="ro-MD"/>
                    </w:rPr>
                  </w:pPr>
                  <w:r>
                    <w:rPr>
                      <w:rFonts w:cs="Times New Roman CE" w:ascii="Times New Roman CE" w:hAnsi="Times New Roman CE"/>
                      <w:bCs/>
                      <w:lang w:val="ro-MD"/>
                    </w:rPr>
                    <w:t>În lucrare sunt expuse bazele unor capitole de matematică discretă. Se adresează studenţilor, masteranzilor, doctoranzilor de la speciali</w:t>
                  </w:r>
                  <w:r>
                    <w:rPr>
                      <w:rFonts w:cs="Cambria Math" w:ascii="Cambria Math" w:hAnsi="Cambria Math"/>
                      <w:bCs/>
                      <w:lang w:val="ro-MD"/>
                    </w:rPr>
                    <w:t>t</w:t>
                  </w:r>
                  <w:r>
                    <w:rPr>
                      <w:rFonts w:cs="Times New Roman CE" w:ascii="Times New Roman CE" w:hAnsi="Times New Roman CE"/>
                      <w:bCs/>
                      <w:lang w:val="ro-MD"/>
                    </w:rPr>
                    <w:t>ă</w:t>
                  </w:r>
                  <w:r>
                    <w:rPr>
                      <w:rFonts w:cs="Cambria Math" w:ascii="Cambria Math" w:hAnsi="Cambria Math"/>
                      <w:bCs/>
                      <w:lang w:val="ro-MD"/>
                    </w:rPr>
                    <w:t>ț</w:t>
                  </w:r>
                  <w:r>
                    <w:rPr>
                      <w:rFonts w:cs="Times New Roman CE" w:ascii="Times New Roman CE" w:hAnsi="Times New Roman CE"/>
                      <w:bCs/>
                      <w:lang w:val="ro-MD"/>
                    </w:rPr>
                    <w:t xml:space="preserve">ile  matematică </w:t>
                  </w:r>
                  <w:r>
                    <w:rPr>
                      <w:rFonts w:cs="Cambria Math" w:ascii="Cambria Math" w:hAnsi="Cambria Math"/>
                      <w:bCs/>
                      <w:lang w:val="ro-MD"/>
                    </w:rPr>
                    <w:t>ș</w:t>
                  </w:r>
                  <w:r>
                    <w:rPr>
                      <w:rFonts w:cs="Times New Roman CE" w:ascii="Times New Roman CE" w:hAnsi="Times New Roman CE"/>
                      <w:bCs/>
                      <w:lang w:val="ro-MD"/>
                    </w:rPr>
                    <w:t>i informatică.</w:t>
                  </w:r>
                </w:p>
              </w:tc>
            </w:tr>
          </w:tbl>
          <w:p>
            <w:pPr>
              <w:pStyle w:val="Normal"/>
              <w:widowControl/>
              <w:tabs>
                <w:tab w:val="left" w:pos="1065" w:leader="none"/>
                <w:tab w:val="left" w:pos="2201" w:leader="none"/>
              </w:tabs>
              <w:bidi w:val="0"/>
              <w:spacing w:before="120" w:after="120"/>
              <w:ind w:left="0" w:right="0" w:hanging="0"/>
              <w:jc w:val="left"/>
              <w:textAlignment w:val="auto"/>
              <w:rPr>
                <w:rFonts w:ascii="Times New Roman" w:hAnsi="Times New Roman"/>
                <w:bCs/>
                <w:lang w:val="ro-MD"/>
              </w:rPr>
            </w:pPr>
            <w:r>
              <w:rPr>
                <w:bCs/>
                <w:lang w:val="ro-MD"/>
              </w:rPr>
            </w:r>
          </w:p>
        </w:tc>
      </w:tr>
    </w:tbl>
    <w:p>
      <w:pPr>
        <w:pStyle w:val="2"/>
        <w:keepNext/>
        <w:widowControl/>
        <w:numPr>
          <w:ilvl w:val="0"/>
          <w:numId w:val="0"/>
        </w:numPr>
        <w:bidi w:val="0"/>
        <w:ind w:left="0" w:right="0" w:hanging="0"/>
        <w:jc w:val="left"/>
        <w:textAlignment w:val="auto"/>
        <w:outlineLvl w:val="1"/>
        <w:rPr>
          <w:lang w:val="it-IT"/>
        </w:rPr>
      </w:pPr>
      <w:bookmarkStart w:id="122" w:name="_Toc469651910"/>
      <w:bookmarkEnd w:id="122"/>
      <w:r>
        <w:rPr>
          <w:rFonts w:cs="Times New Roman CE" w:ascii="Times New Roman CE" w:hAnsi="Times New Roman CE"/>
          <w:i/>
          <w:sz w:val="26"/>
          <w:lang w:val="it-IT" w:eastAsia="ru-RU"/>
        </w:rPr>
        <w:t>Matematică discretă ( note de curs)</w:t>
      </w:r>
    </w:p>
    <w:p>
      <w:pPr>
        <w:pStyle w:val="Normal"/>
        <w:widowControl/>
        <w:pBdr>
          <w:top w:val="outset" w:sz="6" w:space="0" w:color="FFFFFF"/>
          <w:left w:val="outset" w:sz="6" w:space="4" w:color="FFFFFF"/>
          <w:bottom w:val="inset" w:sz="6" w:space="1" w:color="FFFFFF"/>
          <w:right w:val="inset" w:sz="6" w:space="4" w:color="FFFFFF"/>
        </w:pBdr>
        <w:bidi w:val="0"/>
        <w:ind w:left="0" w:right="0" w:hanging="0"/>
        <w:jc w:val="left"/>
        <w:textAlignment w:val="auto"/>
        <w:rPr>
          <w:rFonts w:ascii="Times New Roman" w:hAnsi="Times New Roman"/>
          <w:bCs/>
          <w:color w:val="FF0000"/>
          <w:lang w:val="ro-MD"/>
        </w:rPr>
      </w:pPr>
      <w:r>
        <w:rPr>
          <w:bCs/>
          <w:color w:val="FF0000"/>
          <w:lang w:val="ro-MD"/>
        </w:rPr>
      </w:r>
    </w:p>
    <w:p>
      <w:pPr>
        <w:pStyle w:val="Normal"/>
        <w:widowControl/>
        <w:pBdr>
          <w:top w:val="outset" w:sz="6" w:space="0" w:color="FFFFFF"/>
          <w:left w:val="outset" w:sz="6" w:space="4" w:color="FFFFFF"/>
          <w:bottom w:val="inset" w:sz="6" w:space="1" w:color="FFFFFF"/>
          <w:right w:val="inset" w:sz="6" w:space="4" w:color="FFFFFF"/>
        </w:pBdr>
        <w:bidi w:val="0"/>
        <w:ind w:left="0" w:right="0" w:hanging="0"/>
        <w:jc w:val="left"/>
        <w:textAlignment w:val="auto"/>
        <w:rPr>
          <w:rFonts w:ascii="Times New Roman" w:hAnsi="Times New Roman"/>
          <w:bCs/>
          <w:color w:val="FF0000"/>
          <w:lang w:val="ro-MD"/>
        </w:rPr>
      </w:pPr>
      <w:r>
        <w:rPr>
          <w:bCs/>
          <w:color w:val="FF0000"/>
          <w:lang w:val="ro-MD"/>
        </w:rPr>
      </w:r>
    </w:p>
    <w:p>
      <w:pPr>
        <w:pStyle w:val="Normal"/>
        <w:widowControl/>
        <w:pBdr>
          <w:top w:val="outset" w:sz="6" w:space="0" w:color="FFFFFF"/>
          <w:left w:val="outset" w:sz="6" w:space="4" w:color="FFFFFF"/>
          <w:bottom w:val="inset" w:sz="6" w:space="1" w:color="FFFFFF"/>
          <w:right w:val="inset" w:sz="6" w:space="4" w:color="FFFFFF"/>
        </w:pBdr>
        <w:bidi w:val="0"/>
        <w:ind w:left="0" w:right="0" w:hanging="0"/>
        <w:jc w:val="left"/>
        <w:textAlignment w:val="auto"/>
        <w:rPr>
          <w:rFonts w:ascii="Times New Roman" w:hAnsi="Times New Roman"/>
          <w:bCs/>
          <w:color w:val="FF0000"/>
          <w:lang w:val="ro-MD"/>
        </w:rPr>
      </w:pPr>
      <w:r>
        <w:rPr>
          <w:bCs/>
          <w:color w:val="FF0000"/>
          <w:lang w:val="ro-MD"/>
        </w:rPr>
      </w:r>
    </w:p>
    <w:p>
      <w:pPr>
        <w:pStyle w:val="2"/>
        <w:keepNext/>
        <w:widowControl/>
        <w:numPr>
          <w:ilvl w:val="0"/>
          <w:numId w:val="0"/>
        </w:numPr>
        <w:bidi w:val="0"/>
        <w:ind w:left="0" w:right="0" w:hanging="0"/>
        <w:jc w:val="left"/>
        <w:textAlignment w:val="auto"/>
        <w:outlineLvl w:val="1"/>
        <w:rPr>
          <w:rFonts w:ascii="Times New Roman" w:hAnsi="Times New Roman"/>
          <w:sz w:val="26"/>
          <w:lang w:val="it-IT" w:eastAsia="ru-RU"/>
        </w:rPr>
      </w:pPr>
      <w:r>
        <w:rPr>
          <w:sz w:val="26"/>
          <w:lang w:val="it-IT" w:eastAsia="ru-RU"/>
        </w:rPr>
      </w:r>
    </w:p>
    <w:p>
      <w:pPr>
        <w:pStyle w:val="Normal"/>
        <w:widowControl/>
        <w:bidi w:val="0"/>
        <w:ind w:left="0" w:right="0" w:hanging="0"/>
        <w:jc w:val="left"/>
        <w:textAlignment w:val="auto"/>
        <w:rPr>
          <w:rFonts w:ascii="Times New Roman" w:hAnsi="Times New Roman"/>
          <w:lang w:val="it-IT"/>
        </w:rPr>
      </w:pPr>
      <w:r>
        <w:rPr>
          <w:lang w:val="it-IT"/>
        </w:rPr>
      </w:r>
    </w:p>
    <w:p>
      <w:pPr>
        <w:pStyle w:val="Normal"/>
        <w:widowControl/>
        <w:bidi w:val="0"/>
        <w:ind w:left="0" w:right="0" w:hanging="0"/>
        <w:jc w:val="left"/>
        <w:textAlignment w:val="auto"/>
        <w:rPr>
          <w:rFonts w:ascii="Times New Roman" w:hAnsi="Times New Roman"/>
          <w:lang w:val="it-IT"/>
        </w:rPr>
      </w:pPr>
      <w:r>
        <w:rPr>
          <w:lang w:val="it-IT"/>
        </w:rPr>
      </w:r>
    </w:p>
    <w:p>
      <w:pPr>
        <w:pStyle w:val="Normal"/>
        <w:widowControl/>
        <w:bidi w:val="0"/>
        <w:ind w:left="0" w:right="0" w:hanging="0"/>
        <w:jc w:val="left"/>
        <w:textAlignment w:val="auto"/>
        <w:rPr>
          <w:rFonts w:ascii="Times New Roman" w:hAnsi="Times New Roman"/>
          <w:lang w:val="it-IT"/>
        </w:rPr>
      </w:pPr>
      <w:r>
        <w:rPr>
          <w:lang w:val="it-IT"/>
        </w:rPr>
      </w:r>
    </w:p>
    <w:p>
      <w:pPr>
        <w:pStyle w:val="Normal"/>
        <w:widowControl/>
        <w:bidi w:val="0"/>
        <w:ind w:left="0" w:right="0" w:hanging="0"/>
        <w:jc w:val="left"/>
        <w:textAlignment w:val="auto"/>
        <w:rPr>
          <w:rFonts w:ascii="Times New Roman" w:hAnsi="Times New Roman"/>
          <w:lang w:val="it-IT"/>
        </w:rPr>
      </w:pPr>
      <w:r>
        <w:rPr>
          <w:lang w:val="it-IT"/>
        </w:rPr>
      </w:r>
    </w:p>
    <w:p>
      <w:pPr>
        <w:pStyle w:val="Normal"/>
        <w:widowControl/>
        <w:bidi w:val="0"/>
        <w:ind w:left="0" w:right="0" w:hanging="0"/>
        <w:jc w:val="left"/>
        <w:textAlignment w:val="auto"/>
        <w:rPr>
          <w:rFonts w:ascii="Times New Roman" w:hAnsi="Times New Roman"/>
          <w:lang w:val="it-IT"/>
        </w:rPr>
      </w:pPr>
      <w:r>
        <w:rPr>
          <w:lang w:val="it-IT"/>
        </w:rPr>
      </w:r>
    </w:p>
    <w:p>
      <w:pPr>
        <w:pStyle w:val="Normal"/>
        <w:widowControl/>
        <w:bidi w:val="0"/>
        <w:ind w:left="0" w:right="0" w:hanging="0"/>
        <w:jc w:val="left"/>
        <w:textAlignment w:val="auto"/>
        <w:rPr>
          <w:rFonts w:ascii="Times New Roman" w:hAnsi="Times New Roman"/>
          <w:lang w:val="it-IT"/>
        </w:rPr>
      </w:pPr>
      <w:r>
        <w:rPr>
          <w:lang w:val="it-IT"/>
        </w:rPr>
      </w:r>
    </w:p>
    <w:p>
      <w:pPr>
        <w:pStyle w:val="Normal"/>
        <w:widowControl/>
        <w:bidi w:val="0"/>
        <w:ind w:left="0" w:right="0" w:hanging="0"/>
        <w:jc w:val="left"/>
        <w:textAlignment w:val="auto"/>
        <w:rPr>
          <w:rFonts w:ascii="Times New Roman" w:hAnsi="Times New Roman"/>
          <w:lang w:val="it-IT"/>
        </w:rPr>
      </w:pPr>
      <w:r>
        <w:rPr>
          <w:lang w:val="it-IT"/>
        </w:rPr>
      </w:r>
    </w:p>
    <w:p>
      <w:pPr>
        <w:pStyle w:val="Normal"/>
        <w:widowControl/>
        <w:bidi w:val="0"/>
        <w:ind w:left="0" w:right="0" w:hanging="0"/>
        <w:jc w:val="left"/>
        <w:textAlignment w:val="auto"/>
        <w:rPr>
          <w:rFonts w:ascii="Times New Roman" w:hAnsi="Times New Roman"/>
          <w:lang w:val="it-IT"/>
        </w:rPr>
      </w:pPr>
      <w:r>
        <w:rPr>
          <w:lang w:val="it-IT"/>
        </w:rPr>
      </w:r>
    </w:p>
    <w:p>
      <w:pPr>
        <w:pStyle w:val="Normal"/>
        <w:widowControl/>
        <w:bidi w:val="0"/>
        <w:ind w:left="0" w:right="0" w:hanging="0"/>
        <w:jc w:val="left"/>
        <w:textAlignment w:val="auto"/>
        <w:rPr>
          <w:rFonts w:ascii="Times New Roman" w:hAnsi="Times New Roman"/>
          <w:lang w:val="it-IT"/>
        </w:rPr>
      </w:pPr>
      <w:r>
        <w:rPr>
          <w:lang w:val="it-IT"/>
        </w:rPr>
      </w:r>
    </w:p>
    <w:p>
      <w:pPr>
        <w:pStyle w:val="Normal"/>
        <w:widowControl/>
        <w:bidi w:val="0"/>
        <w:ind w:left="0" w:right="0" w:hanging="0"/>
        <w:jc w:val="left"/>
        <w:textAlignment w:val="auto"/>
        <w:rPr>
          <w:rFonts w:ascii="Times New Roman" w:hAnsi="Times New Roman"/>
          <w:lang w:val="it-IT"/>
        </w:rPr>
      </w:pPr>
      <w:r>
        <w:rPr>
          <w:lang w:val="it-IT"/>
        </w:rPr>
      </w:r>
    </w:p>
    <w:p>
      <w:pPr>
        <w:pStyle w:val="Normal"/>
        <w:widowControl/>
        <w:bidi w:val="0"/>
        <w:ind w:left="0" w:right="0" w:hanging="0"/>
        <w:jc w:val="left"/>
        <w:textAlignment w:val="auto"/>
        <w:rPr>
          <w:rFonts w:ascii="Times New Roman" w:hAnsi="Times New Roman"/>
          <w:lang w:val="it-IT"/>
        </w:rPr>
      </w:pPr>
      <w:r>
        <w:rPr>
          <w:lang w:val="it-IT"/>
        </w:rPr>
      </w:r>
    </w:p>
    <w:p>
      <w:pPr>
        <w:pStyle w:val="Normal"/>
        <w:widowControl/>
        <w:bidi w:val="0"/>
        <w:ind w:left="0" w:right="0" w:hanging="0"/>
        <w:jc w:val="left"/>
        <w:textAlignment w:val="auto"/>
        <w:rPr>
          <w:rFonts w:ascii="Times New Roman" w:hAnsi="Times New Roman"/>
          <w:lang w:val="it-IT"/>
        </w:rPr>
      </w:pPr>
      <w:r>
        <w:rPr>
          <w:lang w:val="it-IT"/>
        </w:rPr>
      </w:r>
    </w:p>
    <w:p>
      <w:pPr>
        <w:pStyle w:val="Normal"/>
        <w:widowControl/>
        <w:bidi w:val="0"/>
        <w:ind w:left="0" w:right="0" w:hanging="0"/>
        <w:jc w:val="left"/>
        <w:textAlignment w:val="auto"/>
        <w:rPr>
          <w:rFonts w:ascii="Times New Roman" w:hAnsi="Times New Roman"/>
          <w:lang w:val="it-IT"/>
        </w:rPr>
      </w:pPr>
      <w:r>
        <w:rPr>
          <w:lang w:val="it-IT"/>
        </w:rPr>
      </w:r>
    </w:p>
    <w:p>
      <w:pPr>
        <w:pStyle w:val="Normal"/>
        <w:widowControl/>
        <w:bidi w:val="0"/>
        <w:ind w:left="0" w:right="0" w:hanging="0"/>
        <w:jc w:val="left"/>
        <w:textAlignment w:val="auto"/>
        <w:rPr>
          <w:rFonts w:ascii="Times New Roman" w:hAnsi="Times New Roman"/>
          <w:lang w:val="it-IT"/>
        </w:rPr>
      </w:pPr>
      <w:r>
        <w:rPr>
          <w:lang w:val="it-IT"/>
        </w:rPr>
      </w:r>
    </w:p>
    <w:p>
      <w:pPr>
        <w:pStyle w:val="Normal"/>
        <w:widowControl/>
        <w:bidi w:val="0"/>
        <w:ind w:left="0" w:right="0" w:hanging="0"/>
        <w:jc w:val="left"/>
        <w:textAlignment w:val="auto"/>
        <w:rPr>
          <w:rFonts w:ascii="Times New Roman" w:hAnsi="Times New Roman"/>
          <w:lang w:val="it-IT"/>
        </w:rPr>
      </w:pPr>
      <w:r>
        <w:rPr>
          <w:lang w:val="it-IT"/>
        </w:rPr>
      </w:r>
    </w:p>
    <w:p>
      <w:pPr>
        <w:pStyle w:val="Normal"/>
        <w:widowControl/>
        <w:bidi w:val="0"/>
        <w:ind w:left="0" w:right="0" w:hanging="0"/>
        <w:jc w:val="left"/>
        <w:textAlignment w:val="auto"/>
        <w:rPr>
          <w:rFonts w:ascii="Times New Roman" w:hAnsi="Times New Roman"/>
          <w:lang w:val="it-IT"/>
        </w:rPr>
      </w:pPr>
      <w:r>
        <w:rPr>
          <w:lang w:val="it-IT"/>
        </w:rPr>
      </w:r>
    </w:p>
    <w:p>
      <w:pPr>
        <w:pStyle w:val="Normal"/>
        <w:widowControl/>
        <w:bidi w:val="0"/>
        <w:ind w:left="0" w:right="0" w:hanging="0"/>
        <w:jc w:val="left"/>
        <w:textAlignment w:val="auto"/>
        <w:rPr>
          <w:lang w:val="it-IT"/>
        </w:rPr>
      </w:pPr>
      <w:r>
        <w:rPr>
          <w:lang w:val="it-IT"/>
        </w:rPr>
      </w:r>
      <w:r>
        <w:br w:type="page"/>
      </w:r>
    </w:p>
    <w:p>
      <w:pPr>
        <w:pStyle w:val="Normal"/>
        <w:widowControl/>
        <w:bidi w:val="0"/>
        <w:ind w:left="0" w:right="0" w:hanging="0"/>
        <w:jc w:val="left"/>
        <w:textAlignment w:val="auto"/>
        <w:rPr>
          <w:lang w:val="it-IT"/>
        </w:rPr>
      </w:pPr>
      <w:bookmarkStart w:id="123" w:name="_Toc469651911"/>
      <w:bookmarkEnd w:id="123"/>
      <w:r>
        <w:rPr>
          <w:i/>
          <w:sz w:val="26"/>
          <w:lang w:val="it-IT"/>
        </w:rPr>
        <w:t>Procesarea limbajului natural. Aspecte morfologice</w:t>
      </w:r>
    </w:p>
    <w:p>
      <w:pPr>
        <w:pStyle w:val="Normal"/>
        <w:widowControl/>
        <w:bidi w:val="0"/>
        <w:ind w:left="0" w:right="0" w:hanging="0"/>
        <w:jc w:val="left"/>
        <w:textAlignment w:val="auto"/>
        <w:rPr>
          <w:rFonts w:ascii="Times New Roman" w:hAnsi="Times New Roman"/>
          <w:lang w:val="it-IT"/>
        </w:rPr>
      </w:pPr>
      <w:r>
        <w:rPr>
          <w:lang w:val="it-IT"/>
        </w:rPr>
      </w:r>
    </w:p>
    <w:p>
      <w:pPr>
        <w:pStyle w:val="Normal"/>
        <w:widowControl/>
        <w:bidi w:val="0"/>
        <w:ind w:left="0" w:right="0" w:hanging="0"/>
        <w:jc w:val="left"/>
        <w:textAlignment w:val="auto"/>
        <w:rPr>
          <w:rFonts w:ascii="Times New Roman" w:hAnsi="Times New Roman"/>
          <w:lang w:val="it-IT"/>
        </w:rPr>
      </w:pPr>
      <w:r>
        <w:rPr>
          <w:lang w:val="it-IT"/>
        </w:rPr>
      </w:r>
    </w:p>
    <w:tbl>
      <w:tblPr>
        <w:tblW w:w="10206" w:type="dxa"/>
        <w:jc w:val="left"/>
        <w:tblInd w:w="342" w:type="dxa"/>
        <w:tblBorders/>
        <w:tblCellMar>
          <w:top w:w="0" w:type="dxa"/>
          <w:left w:w="108" w:type="dxa"/>
          <w:bottom w:w="0" w:type="dxa"/>
          <w:right w:w="108" w:type="dxa"/>
        </w:tblCellMar>
      </w:tblPr>
      <w:tblGrid>
        <w:gridCol w:w="4624"/>
        <w:gridCol w:w="239"/>
        <w:gridCol w:w="5343"/>
      </w:tblGrid>
      <w:tr>
        <w:trPr/>
        <w:tc>
          <w:tcPr>
            <w:tcW w:w="4624" w:type="dxa"/>
            <w:tcBorders/>
            <w:shd w:fill="auto" w:val="clear"/>
          </w:tcPr>
          <w:p>
            <w:pPr>
              <w:pStyle w:val="Normal"/>
              <w:widowControl/>
              <w:bidi w:val="0"/>
              <w:ind w:left="0" w:right="0" w:hanging="0"/>
              <w:jc w:val="left"/>
              <w:textAlignment w:val="auto"/>
              <w:rPr>
                <w:rFonts w:ascii="Times New Roman" w:hAnsi="Times New Roman"/>
                <w:sz w:val="32"/>
                <w:szCs w:val="32"/>
                <w:lang w:val="en-US" w:eastAsia="en-US"/>
              </w:rPr>
            </w:pPr>
            <w:r>
              <w:rPr/>
              <w:drawing>
                <wp:inline distT="0" distB="0" distL="0" distR="0">
                  <wp:extent cx="2727960" cy="3900805"/>
                  <wp:effectExtent l="0" t="0" r="0" b="0"/>
                  <wp:docPr id="18" name="Изображение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7" descr=""/>
                          <pic:cNvPicPr>
                            <a:picLocks noChangeAspect="1" noChangeArrowheads="1"/>
                          </pic:cNvPicPr>
                        </pic:nvPicPr>
                        <pic:blipFill>
                          <a:blip r:embed="rId60"/>
                          <a:stretch>
                            <a:fillRect/>
                          </a:stretch>
                        </pic:blipFill>
                        <pic:spPr bwMode="auto">
                          <a:xfrm>
                            <a:off x="0" y="0"/>
                            <a:ext cx="2727960" cy="3900805"/>
                          </a:xfrm>
                          <a:prstGeom prst="rect">
                            <a:avLst/>
                          </a:prstGeom>
                        </pic:spPr>
                      </pic:pic>
                    </a:graphicData>
                  </a:graphic>
                </wp:inline>
              </w:drawing>
            </w:r>
          </w:p>
        </w:tc>
        <w:tc>
          <w:tcPr>
            <w:tcW w:w="239" w:type="dxa"/>
            <w:tcBorders/>
            <w:shd w:fill="auto" w:val="clear"/>
          </w:tcPr>
          <w:p>
            <w:pPr>
              <w:pStyle w:val="Normal"/>
              <w:widowControl/>
              <w:bidi w:val="0"/>
              <w:ind w:left="0" w:right="0" w:hanging="0"/>
              <w:jc w:val="left"/>
              <w:textAlignment w:val="auto"/>
              <w:rPr>
                <w:rFonts w:ascii="Times New Roman" w:hAnsi="Times New Roman"/>
                <w:lang w:val="en-US"/>
              </w:rPr>
            </w:pPr>
            <w:r>
              <w:rPr>
                <w:lang w:val="en-US"/>
              </w:rPr>
            </w:r>
          </w:p>
        </w:tc>
        <w:tc>
          <w:tcPr>
            <w:tcW w:w="5343" w:type="dxa"/>
            <w:tcBorders/>
            <w:shd w:fill="auto" w:val="clear"/>
          </w:tcPr>
          <w:p>
            <w:pPr>
              <w:pStyle w:val="Normal"/>
              <w:widowControl/>
              <w:numPr>
                <w:ilvl w:val="0"/>
                <w:numId w:val="8"/>
              </w:numPr>
              <w:tabs>
                <w:tab w:val="left" w:pos="0" w:leader="none"/>
              </w:tabs>
              <w:suppressAutoHyphens w:val="true"/>
              <w:bidi w:val="0"/>
              <w:ind w:left="360" w:right="0" w:hanging="360"/>
              <w:jc w:val="left"/>
              <w:textAlignment w:val="auto"/>
              <w:rPr>
                <w:lang w:val="ro-MD"/>
              </w:rPr>
            </w:pPr>
            <w:bookmarkStart w:id="124" w:name="_Toc469648826"/>
            <w:bookmarkStart w:id="125" w:name="_Toc469651912"/>
            <w:r>
              <w:rPr>
                <w:bCs/>
                <w:lang w:val="ro-MD"/>
              </w:rPr>
              <w:t xml:space="preserve">I. </w:t>
            </w:r>
            <w:bookmarkEnd w:id="124"/>
            <w:bookmarkEnd w:id="125"/>
            <w:r>
              <w:rPr>
                <w:rFonts w:cs="Times New Roman CE" w:ascii="Times New Roman CE" w:hAnsi="Times New Roman CE"/>
                <w:bCs/>
                <w:lang w:val="ro-MD"/>
              </w:rPr>
              <w:t>Denumirea şi tipul lucrării</w:t>
            </w:r>
          </w:p>
          <w:p>
            <w:pPr>
              <w:pStyle w:val="Normal"/>
              <w:widowControl/>
              <w:bidi w:val="0"/>
              <w:ind w:left="0" w:right="0" w:hanging="0"/>
              <w:jc w:val="left"/>
              <w:textAlignment w:val="auto"/>
              <w:rPr>
                <w:lang w:val="ro-MD"/>
              </w:rPr>
            </w:pPr>
            <w:r>
              <w:rPr>
                <w:bCs/>
                <w:lang w:val="ro-MD"/>
              </w:rPr>
              <w:t>Svetlana Cojocaru. Procesarea limbajului natural. Aspecte morfologice. UnAS</w:t>
            </w:r>
            <w:r>
              <w:rPr>
                <w:rFonts w:cs="Times New Roman CE" w:ascii="Times New Roman CE" w:hAnsi="Times New Roman CE"/>
                <w:bCs/>
                <w:lang w:val="ro-MD"/>
              </w:rPr>
              <w:t xml:space="preserve">M, IMI AŞM, Chişinău, 2016, 39 p. </w:t>
            </w:r>
          </w:p>
          <w:p>
            <w:pPr>
              <w:pStyle w:val="Normal"/>
              <w:widowControl/>
              <w:bidi w:val="0"/>
              <w:ind w:left="0" w:right="0" w:hanging="0"/>
              <w:jc w:val="left"/>
              <w:textAlignment w:val="auto"/>
              <w:rPr>
                <w:rFonts w:ascii="Times New Roman" w:hAnsi="Times New Roman"/>
                <w:sz w:val="27"/>
                <w:szCs w:val="27"/>
                <w:lang w:val="ro-RO" w:eastAsia="ro-RO"/>
              </w:rPr>
            </w:pPr>
            <w:r>
              <w:rPr>
                <w:sz w:val="27"/>
                <w:szCs w:val="27"/>
                <w:lang w:val="ro-RO" w:eastAsia="ro-RO"/>
              </w:rPr>
            </w:r>
          </w:p>
          <w:p>
            <w:pPr>
              <w:pStyle w:val="Normal"/>
              <w:widowControl/>
              <w:bidi w:val="0"/>
              <w:ind w:left="0" w:right="0" w:hanging="0"/>
              <w:jc w:val="left"/>
              <w:textAlignment w:val="auto"/>
              <w:rPr>
                <w:lang w:val="ro-MD"/>
              </w:rPr>
            </w:pPr>
            <w:r>
              <w:rPr>
                <w:bCs/>
                <w:lang w:val="ro-MD"/>
              </w:rPr>
              <w:t xml:space="preserve">II. </w:t>
            </w:r>
            <w:r>
              <w:rPr>
                <w:rFonts w:cs="Times New Roman CE" w:ascii="Times New Roman CE" w:hAnsi="Times New Roman CE"/>
                <w:bCs/>
                <w:lang w:val="ro-MD"/>
              </w:rPr>
              <w:t>Denumirea şi codul proiectului în cadrul căruia a  fost realizată lucrarea</w:t>
            </w:r>
          </w:p>
          <w:p>
            <w:pPr>
              <w:pStyle w:val="Normal"/>
              <w:widowControl/>
              <w:tabs>
                <w:tab w:val="left" w:pos="360" w:leader="none"/>
                <w:tab w:val="left" w:pos="3686" w:leader="none"/>
              </w:tabs>
              <w:bidi w:val="0"/>
              <w:ind w:left="99" w:right="0" w:hanging="0"/>
              <w:jc w:val="left"/>
              <w:textAlignment w:val="auto"/>
              <w:rPr>
                <w:lang w:val="ro-RO"/>
              </w:rPr>
            </w:pPr>
            <w:r>
              <w:rPr>
                <w:rFonts w:cs="Times New Roman CE" w:ascii="Times New Roman CE" w:hAnsi="Times New Roman CE"/>
                <w:lang w:val="ro-RO"/>
              </w:rPr>
              <w:t>15.817.02.02A . ”Modele şi tehnologii în ingineria sistemelor inteligente şi a calculului performant”</w:t>
            </w:r>
          </w:p>
          <w:p>
            <w:pPr>
              <w:pStyle w:val="Normal"/>
              <w:widowControl/>
              <w:tabs>
                <w:tab w:val="left" w:pos="360" w:leader="none"/>
                <w:tab w:val="left" w:pos="3686" w:leader="none"/>
              </w:tabs>
              <w:bidi w:val="0"/>
              <w:ind w:left="99" w:right="0" w:hanging="0"/>
              <w:jc w:val="left"/>
              <w:textAlignment w:val="auto"/>
              <w:rPr>
                <w:rFonts w:ascii="Times New Roman" w:hAnsi="Times New Roman"/>
                <w:sz w:val="22"/>
                <w:szCs w:val="22"/>
                <w:lang w:val="ro-RO" w:eastAsia="en-US"/>
              </w:rPr>
            </w:pPr>
            <w:r>
              <w:rPr>
                <w:sz w:val="22"/>
                <w:szCs w:val="22"/>
                <w:lang w:val="ro-RO" w:eastAsia="en-US"/>
              </w:rPr>
            </w:r>
          </w:p>
          <w:p>
            <w:pPr>
              <w:pStyle w:val="2"/>
              <w:widowControl/>
              <w:numPr>
                <w:ilvl w:val="0"/>
                <w:numId w:val="0"/>
              </w:numPr>
              <w:tabs>
                <w:tab w:val="left" w:pos="426" w:leader="none"/>
                <w:tab w:val="left" w:pos="1065" w:leader="none"/>
                <w:tab w:val="left" w:pos="2201" w:leader="none"/>
                <w:tab w:val="left" w:pos="3686" w:leader="none"/>
              </w:tabs>
              <w:suppressAutoHyphens w:val="true"/>
              <w:bidi w:val="0"/>
              <w:spacing w:before="120" w:after="120"/>
              <w:ind w:left="0" w:right="0" w:hanging="0"/>
              <w:jc w:val="left"/>
              <w:textAlignment w:val="auto"/>
              <w:outlineLvl w:val="1"/>
              <w:rPr>
                <w:lang w:val="ro-MD"/>
              </w:rPr>
            </w:pPr>
            <w:bookmarkStart w:id="126" w:name="_Toc469648827"/>
            <w:bookmarkStart w:id="127" w:name="_Toc469651913"/>
            <w:r>
              <w:rPr>
                <w:bCs/>
                <w:lang w:val="ro-MD" w:eastAsia="en-US"/>
              </w:rPr>
              <w:t xml:space="preserve">III. </w:t>
            </w:r>
            <w:bookmarkEnd w:id="126"/>
            <w:bookmarkEnd w:id="127"/>
            <w:r>
              <w:rPr>
                <w:rFonts w:cs="Times New Roman CE" w:ascii="Times New Roman CE" w:hAnsi="Times New Roman CE"/>
                <w:bCs/>
                <w:lang w:val="ro-MD" w:eastAsia="en-US"/>
              </w:rPr>
              <w:t>Anul, nr. ISBN al lucrării</w:t>
            </w:r>
          </w:p>
          <w:p>
            <w:pPr>
              <w:pStyle w:val="Normal"/>
              <w:widowControl/>
              <w:tabs>
                <w:tab w:val="left" w:pos="3686" w:leader="none"/>
              </w:tabs>
              <w:bidi w:val="0"/>
              <w:ind w:left="0" w:right="0" w:hanging="0"/>
              <w:jc w:val="left"/>
              <w:textAlignment w:val="auto"/>
              <w:rPr>
                <w:lang w:val="ro-RO"/>
              </w:rPr>
            </w:pPr>
            <w:r>
              <w:rPr>
                <w:rFonts w:cs="Times New Roman CE" w:ascii="Times New Roman CE" w:hAnsi="Times New Roman CE"/>
                <w:sz w:val="22"/>
                <w:szCs w:val="22"/>
                <w:lang w:val="ro-RO" w:eastAsia="en-US"/>
              </w:rPr>
              <w:t xml:space="preserve">Chişinău, 2016. </w:t>
            </w:r>
          </w:p>
          <w:p>
            <w:pPr>
              <w:pStyle w:val="Normal"/>
              <w:widowControl/>
              <w:bidi w:val="0"/>
              <w:ind w:left="0" w:right="0" w:hanging="0"/>
              <w:jc w:val="left"/>
              <w:textAlignment w:val="auto"/>
              <w:rPr>
                <w:lang w:val="ro-RO"/>
              </w:rPr>
            </w:pPr>
            <w:r>
              <w:rPr>
                <w:sz w:val="27"/>
                <w:szCs w:val="27"/>
                <w:lang w:val="ro-RO" w:eastAsia="ro-RO"/>
              </w:rPr>
              <w:t>ISBN 978-9975-933-93-3</w:t>
            </w:r>
          </w:p>
          <w:p>
            <w:pPr>
              <w:pStyle w:val="Normal"/>
              <w:widowControl/>
              <w:bidi w:val="0"/>
              <w:ind w:left="0" w:right="0" w:hanging="0"/>
              <w:jc w:val="left"/>
              <w:textAlignment w:val="auto"/>
              <w:rPr>
                <w:rFonts w:ascii="Times New Roman" w:hAnsi="Times New Roman"/>
                <w:sz w:val="27"/>
                <w:szCs w:val="27"/>
                <w:lang w:val="ro-RO" w:eastAsia="ro-RO"/>
              </w:rPr>
            </w:pPr>
            <w:r>
              <w:rPr>
                <w:sz w:val="27"/>
                <w:szCs w:val="27"/>
                <w:lang w:val="ro-RO" w:eastAsia="ro-RO"/>
              </w:rPr>
            </w:r>
          </w:p>
          <w:p>
            <w:pPr>
              <w:pStyle w:val="Normal"/>
              <w:widowControl/>
              <w:numPr>
                <w:ilvl w:val="0"/>
                <w:numId w:val="8"/>
              </w:numPr>
              <w:tabs>
                <w:tab w:val="left" w:pos="0" w:leader="none"/>
              </w:tabs>
              <w:suppressAutoHyphens w:val="true"/>
              <w:bidi w:val="0"/>
              <w:ind w:left="360" w:right="0" w:hanging="360"/>
              <w:jc w:val="left"/>
              <w:textAlignment w:val="auto"/>
              <w:rPr>
                <w:lang w:val="ro-MD"/>
              </w:rPr>
            </w:pPr>
            <w:r>
              <w:rPr>
                <w:bCs/>
                <w:lang w:val="ro-MD"/>
              </w:rPr>
              <w:t xml:space="preserve">IV. </w:t>
            </w:r>
            <w:r>
              <w:rPr>
                <w:rFonts w:cs="Times New Roman CE" w:ascii="Times New Roman CE" w:hAnsi="Times New Roman CE"/>
                <w:bCs/>
                <w:lang w:val="ro-MD"/>
              </w:rPr>
              <w:t>Autorul lucrării</w:t>
            </w:r>
            <w:r>
              <w:rPr>
                <w:b/>
                <w:bCs/>
                <w:lang w:val="ro-MD"/>
              </w:rPr>
              <w:t>.</w:t>
            </w:r>
            <w:r>
              <w:rPr>
                <w:lang w:val="fr-FR"/>
              </w:rPr>
              <w:t xml:space="preserve"> </w:t>
            </w:r>
          </w:p>
          <w:p>
            <w:pPr>
              <w:pStyle w:val="Normal"/>
              <w:widowControl/>
              <w:numPr>
                <w:ilvl w:val="0"/>
                <w:numId w:val="8"/>
              </w:numPr>
              <w:tabs>
                <w:tab w:val="left" w:pos="0" w:leader="none"/>
              </w:tabs>
              <w:suppressAutoHyphens w:val="true"/>
              <w:bidi w:val="0"/>
              <w:ind w:left="360" w:right="0" w:hanging="360"/>
              <w:jc w:val="left"/>
              <w:textAlignment w:val="auto"/>
              <w:rPr>
                <w:lang w:val="ro-MD"/>
              </w:rPr>
            </w:pPr>
            <w:r>
              <w:rPr>
                <w:bCs/>
                <w:lang w:val="ro-MD"/>
              </w:rPr>
              <w:t>dr</w:t>
            </w:r>
            <w:r>
              <w:rPr>
                <w:sz w:val="27"/>
                <w:szCs w:val="27"/>
                <w:lang w:val="ro-RO" w:eastAsia="ro-RO"/>
              </w:rPr>
              <w:t>.h., prof.cerc. Svetlana COJOCARU</w:t>
            </w:r>
          </w:p>
          <w:p>
            <w:pPr>
              <w:pStyle w:val="Normal"/>
              <w:widowControl/>
              <w:suppressAutoHyphens w:val="true"/>
              <w:bidi w:val="0"/>
              <w:ind w:left="0" w:right="0" w:hanging="0"/>
              <w:jc w:val="left"/>
              <w:textAlignment w:val="auto"/>
              <w:rPr>
                <w:rFonts w:ascii="Times New Roman" w:hAnsi="Times New Roman"/>
                <w:sz w:val="27"/>
                <w:szCs w:val="27"/>
                <w:lang w:val="ro-RO" w:eastAsia="ro-RO"/>
              </w:rPr>
            </w:pPr>
            <w:r>
              <w:rPr>
                <w:sz w:val="27"/>
                <w:szCs w:val="27"/>
                <w:lang w:val="ro-RO" w:eastAsia="ro-RO"/>
              </w:rPr>
            </w:r>
          </w:p>
          <w:p>
            <w:pPr>
              <w:pStyle w:val="Normal"/>
              <w:widowControl/>
              <w:numPr>
                <w:ilvl w:val="0"/>
                <w:numId w:val="8"/>
              </w:numPr>
              <w:tabs>
                <w:tab w:val="left" w:pos="0" w:leader="none"/>
              </w:tabs>
              <w:suppressAutoHyphens w:val="true"/>
              <w:bidi w:val="0"/>
              <w:ind w:left="360" w:right="0" w:hanging="360"/>
              <w:jc w:val="left"/>
              <w:textAlignment w:val="auto"/>
              <w:rPr>
                <w:lang w:val="ro-MD"/>
              </w:rPr>
            </w:pPr>
            <w:r>
              <w:rPr>
                <w:bCs/>
                <w:lang w:val="ro-MD"/>
              </w:rPr>
              <w:t xml:space="preserve">V. </w:t>
            </w:r>
            <w:r>
              <w:rPr>
                <w:rFonts w:cs="Times New Roman CE" w:ascii="Times New Roman CE" w:hAnsi="Times New Roman CE"/>
                <w:bCs/>
                <w:lang w:val="ro-MD"/>
              </w:rPr>
              <w:t xml:space="preserve">Descrierea lucrării </w:t>
            </w:r>
          </w:p>
          <w:p>
            <w:pPr>
              <w:pStyle w:val="Normal"/>
              <w:widowControl/>
              <w:suppressAutoHyphens w:val="true"/>
              <w:bidi w:val="0"/>
              <w:ind w:left="0" w:right="0" w:hanging="0"/>
              <w:jc w:val="left"/>
              <w:textAlignment w:val="auto"/>
              <w:rPr>
                <w:rFonts w:ascii="Times New Roman" w:hAnsi="Times New Roman"/>
                <w:lang w:val="fr-FR"/>
              </w:rPr>
            </w:pPr>
            <w:r>
              <w:rPr>
                <w:lang w:val="fr-FR"/>
              </w:rPr>
            </w:r>
          </w:p>
        </w:tc>
      </w:tr>
    </w:tbl>
    <w:p>
      <w:pPr>
        <w:pStyle w:val="Normal"/>
        <w:widowControl/>
        <w:bidi w:val="0"/>
        <w:ind w:left="0" w:right="0" w:hanging="0"/>
        <w:jc w:val="left"/>
        <w:textAlignment w:val="auto"/>
        <w:rPr>
          <w:rFonts w:ascii="Times New Roman" w:hAnsi="Times New Roman"/>
          <w:lang w:val="fr-FR"/>
        </w:rPr>
      </w:pPr>
      <w:r>
        <w:rPr>
          <w:lang w:val="fr-FR"/>
        </w:rPr>
      </w:r>
    </w:p>
    <w:p>
      <w:pPr>
        <w:pStyle w:val="Normal"/>
        <w:widowControl/>
        <w:bidi w:val="0"/>
        <w:ind w:left="0" w:right="0" w:hanging="0"/>
        <w:jc w:val="left"/>
        <w:textAlignment w:val="auto"/>
        <w:rPr>
          <w:rFonts w:ascii="Times New Roman" w:hAnsi="Times New Roman"/>
          <w:lang w:val="fr-FR"/>
        </w:rPr>
      </w:pPr>
      <w:r>
        <w:rPr>
          <w:lang w:val="fr-FR"/>
        </w:rPr>
      </w:r>
    </w:p>
    <w:p>
      <w:pPr>
        <w:pStyle w:val="Normal"/>
        <w:widowControl/>
        <w:bidi w:val="0"/>
        <w:ind w:left="0" w:right="0" w:hanging="0"/>
        <w:jc w:val="both"/>
        <w:textAlignment w:val="auto"/>
        <w:rPr>
          <w:lang w:val="ro-RO"/>
        </w:rPr>
      </w:pPr>
      <w:r>
        <w:rPr>
          <w:lang w:val="ro-RO"/>
        </w:rPr>
        <w:t>Volumul</w:t>
      </w:r>
      <w:r>
        <w:rPr>
          <w:rFonts w:cs="Times New Roman CE" w:ascii="Times New Roman CE" w:hAnsi="Times New Roman CE"/>
          <w:lang w:val="ro-MD"/>
        </w:rPr>
        <w:t xml:space="preserve"> reprezintă un suport de curs pentru studierea aspectelor morfologice în procesarea limbajului natural. Este evidenţiat rolul comunicării în limbaj natural în cadrul interfeţelor inteligente, ilustrat pe exemple din calculul simbolic. Sunt descrise metode de flexionare automată a cuvintelor din limba română bazate pe gramatici cu context dispersat, precum şi implementarea lor pri</w:t>
      </w:r>
      <w:r>
        <w:rPr>
          <w:lang w:val="ro-MD"/>
        </w:rPr>
        <w:t xml:space="preserve">n intermediul sistemelor cu membrane (P sisteme). </w:t>
      </w:r>
    </w:p>
    <w:p>
      <w:pPr>
        <w:pStyle w:val="Normal"/>
        <w:widowControl/>
        <w:pBdr>
          <w:top w:val="outset" w:sz="6" w:space="0" w:color="FFFFFF"/>
          <w:left w:val="outset" w:sz="6" w:space="4" w:color="FFFFFF"/>
          <w:bottom w:val="inset" w:sz="6" w:space="1" w:color="FFFFFF"/>
          <w:right w:val="inset" w:sz="6" w:space="4" w:color="FFFFFF"/>
        </w:pBdr>
        <w:bidi w:val="0"/>
        <w:ind w:left="0" w:right="0" w:hanging="0"/>
        <w:jc w:val="left"/>
        <w:textAlignment w:val="auto"/>
        <w:rPr>
          <w:rFonts w:ascii="Times New Roman" w:hAnsi="Times New Roman"/>
          <w:bCs/>
          <w:color w:val="FF0000"/>
          <w:lang w:val="ro-RO"/>
        </w:rPr>
      </w:pPr>
      <w:r>
        <w:rPr>
          <w:bCs/>
          <w:color w:val="FF0000"/>
          <w:lang w:val="ro-RO"/>
        </w:rPr>
      </w:r>
    </w:p>
    <w:p>
      <w:pPr>
        <w:pStyle w:val="Normal"/>
        <w:widowControl/>
        <w:pBdr>
          <w:top w:val="outset" w:sz="6" w:space="0" w:color="FFFFFF"/>
          <w:left w:val="outset" w:sz="6" w:space="4" w:color="FFFFFF"/>
          <w:bottom w:val="inset" w:sz="6" w:space="1" w:color="FFFFFF"/>
          <w:right w:val="inset" w:sz="6" w:space="4" w:color="FFFFFF"/>
        </w:pBdr>
        <w:bidi w:val="0"/>
        <w:ind w:left="0" w:right="0" w:hanging="0"/>
        <w:jc w:val="left"/>
        <w:textAlignment w:val="auto"/>
        <w:rPr>
          <w:rFonts w:ascii="Times New Roman" w:hAnsi="Times New Roman"/>
          <w:bCs/>
          <w:color w:val="FF0000"/>
          <w:lang w:val="ro-MD"/>
        </w:rPr>
      </w:pPr>
      <w:r>
        <w:rPr>
          <w:bCs/>
          <w:color w:val="FF0000"/>
          <w:lang w:val="ro-MD"/>
        </w:rPr>
      </w:r>
    </w:p>
    <w:p>
      <w:pPr>
        <w:pStyle w:val="Normal"/>
        <w:widowControl/>
        <w:pBdr>
          <w:top w:val="outset" w:sz="6" w:space="0" w:color="FFFFFF"/>
          <w:left w:val="outset" w:sz="6" w:space="4" w:color="FFFFFF"/>
          <w:bottom w:val="inset" w:sz="6" w:space="1" w:color="FFFFFF"/>
          <w:right w:val="inset" w:sz="6" w:space="4" w:color="FFFFFF"/>
        </w:pBdr>
        <w:bidi w:val="0"/>
        <w:ind w:left="0" w:right="0" w:hanging="0"/>
        <w:jc w:val="left"/>
        <w:textAlignment w:val="auto"/>
        <w:rPr>
          <w:rFonts w:ascii="Times New Roman" w:hAnsi="Times New Roman"/>
          <w:bCs/>
          <w:color w:val="FF0000"/>
          <w:lang w:val="ro-MD"/>
        </w:rPr>
      </w:pPr>
      <w:r>
        <w:rPr>
          <w:bCs/>
          <w:color w:val="FF0000"/>
          <w:lang w:val="ro-MD"/>
        </w:rPr>
      </w:r>
    </w:p>
    <w:p>
      <w:pPr>
        <w:pStyle w:val="Normal"/>
        <w:widowControl/>
        <w:pBdr>
          <w:top w:val="outset" w:sz="6" w:space="0" w:color="FFFFFF"/>
          <w:left w:val="outset" w:sz="6" w:space="4" w:color="FFFFFF"/>
          <w:bottom w:val="inset" w:sz="6" w:space="1" w:color="FFFFFF"/>
          <w:right w:val="inset" w:sz="6" w:space="4" w:color="FFFFFF"/>
        </w:pBdr>
        <w:bidi w:val="0"/>
        <w:ind w:left="0" w:right="0" w:hanging="0"/>
        <w:jc w:val="left"/>
        <w:textAlignment w:val="auto"/>
        <w:rPr>
          <w:rFonts w:ascii="Times New Roman" w:hAnsi="Times New Roman"/>
          <w:bCs/>
          <w:color w:val="FF0000"/>
          <w:lang w:val="ro-MD"/>
        </w:rPr>
      </w:pPr>
      <w:r>
        <w:rPr>
          <w:bCs/>
          <w:color w:val="FF0000"/>
          <w:lang w:val="ro-MD"/>
        </w:rPr>
      </w:r>
    </w:p>
    <w:p>
      <w:pPr>
        <w:pStyle w:val="Normal"/>
        <w:widowControl/>
        <w:pBdr>
          <w:top w:val="outset" w:sz="6" w:space="0" w:color="FFFFFF"/>
          <w:left w:val="outset" w:sz="6" w:space="4" w:color="FFFFFF"/>
          <w:bottom w:val="inset" w:sz="6" w:space="1" w:color="FFFFFF"/>
          <w:right w:val="inset" w:sz="6" w:space="4" w:color="FFFFFF"/>
        </w:pBdr>
        <w:bidi w:val="0"/>
        <w:ind w:left="0" w:right="0" w:hanging="0"/>
        <w:jc w:val="left"/>
        <w:textAlignment w:val="auto"/>
        <w:rPr>
          <w:rFonts w:ascii="Times New Roman" w:hAnsi="Times New Roman"/>
          <w:bCs/>
          <w:color w:val="FF0000"/>
          <w:lang w:val="ro-MD"/>
        </w:rPr>
      </w:pPr>
      <w:r>
        <w:rPr>
          <w:bCs/>
          <w:color w:val="FF0000"/>
          <w:lang w:val="ro-MD"/>
        </w:rPr>
      </w:r>
    </w:p>
    <w:p>
      <w:pPr>
        <w:pStyle w:val="Normal"/>
        <w:widowControl/>
        <w:pBdr>
          <w:top w:val="outset" w:sz="6" w:space="0" w:color="FFFFFF"/>
          <w:left w:val="outset" w:sz="6" w:space="4" w:color="FFFFFF"/>
          <w:bottom w:val="inset" w:sz="6" w:space="1" w:color="FFFFFF"/>
          <w:right w:val="inset" w:sz="6" w:space="4" w:color="FFFFFF"/>
        </w:pBdr>
        <w:bidi w:val="0"/>
        <w:ind w:left="0" w:right="0" w:hanging="0"/>
        <w:jc w:val="left"/>
        <w:textAlignment w:val="auto"/>
        <w:rPr>
          <w:rFonts w:ascii="Times New Roman" w:hAnsi="Times New Roman"/>
          <w:bCs/>
          <w:color w:val="FF0000"/>
          <w:lang w:val="ro-MD"/>
        </w:rPr>
      </w:pPr>
      <w:r>
        <w:rPr>
          <w:bCs/>
          <w:color w:val="FF0000"/>
          <w:lang w:val="ro-MD"/>
        </w:rPr>
      </w:r>
    </w:p>
    <w:p>
      <w:pPr>
        <w:pStyle w:val="Normal"/>
        <w:widowControl/>
        <w:pBdr>
          <w:top w:val="outset" w:sz="6" w:space="0" w:color="FFFFFF"/>
          <w:left w:val="outset" w:sz="6" w:space="4" w:color="FFFFFF"/>
          <w:bottom w:val="inset" w:sz="6" w:space="1" w:color="FFFFFF"/>
          <w:right w:val="inset" w:sz="6" w:space="4" w:color="FFFFFF"/>
        </w:pBdr>
        <w:bidi w:val="0"/>
        <w:ind w:left="0" w:right="0" w:hanging="0"/>
        <w:jc w:val="left"/>
        <w:textAlignment w:val="auto"/>
        <w:rPr>
          <w:rFonts w:ascii="Times New Roman" w:hAnsi="Times New Roman"/>
          <w:bCs/>
          <w:color w:val="FF0000"/>
          <w:lang w:val="ro-MD"/>
        </w:rPr>
      </w:pPr>
      <w:r>
        <w:rPr>
          <w:bCs/>
          <w:color w:val="FF0000"/>
          <w:lang w:val="ro-MD"/>
        </w:rPr>
      </w:r>
    </w:p>
    <w:p>
      <w:pPr>
        <w:pStyle w:val="Normal"/>
        <w:widowControl/>
        <w:pBdr>
          <w:top w:val="outset" w:sz="6" w:space="0" w:color="FFFFFF"/>
          <w:left w:val="outset" w:sz="6" w:space="4" w:color="FFFFFF"/>
          <w:bottom w:val="inset" w:sz="6" w:space="1" w:color="FFFFFF"/>
          <w:right w:val="inset" w:sz="6" w:space="4" w:color="FFFFFF"/>
        </w:pBdr>
        <w:bidi w:val="0"/>
        <w:ind w:left="0" w:right="0" w:hanging="0"/>
        <w:jc w:val="left"/>
        <w:textAlignment w:val="auto"/>
        <w:rPr>
          <w:rFonts w:ascii="Times New Roman" w:hAnsi="Times New Roman"/>
          <w:bCs/>
          <w:color w:val="FF0000"/>
          <w:lang w:val="ro-MD"/>
        </w:rPr>
      </w:pPr>
      <w:r>
        <w:rPr>
          <w:bCs/>
          <w:color w:val="FF0000"/>
          <w:lang w:val="ro-MD"/>
        </w:rPr>
      </w:r>
    </w:p>
    <w:p>
      <w:pPr>
        <w:pStyle w:val="Normal"/>
        <w:widowControl/>
        <w:pBdr>
          <w:top w:val="outset" w:sz="6" w:space="0" w:color="FFFFFF"/>
          <w:left w:val="outset" w:sz="6" w:space="4" w:color="FFFFFF"/>
          <w:bottom w:val="inset" w:sz="6" w:space="1" w:color="FFFFFF"/>
          <w:right w:val="inset" w:sz="6" w:space="4" w:color="FFFFFF"/>
        </w:pBdr>
        <w:bidi w:val="0"/>
        <w:ind w:left="0" w:right="0" w:hanging="0"/>
        <w:jc w:val="left"/>
        <w:textAlignment w:val="auto"/>
        <w:rPr>
          <w:rFonts w:ascii="Times New Roman" w:hAnsi="Times New Roman"/>
          <w:bCs/>
          <w:color w:val="FF0000"/>
          <w:lang w:val="ro-MD"/>
        </w:rPr>
      </w:pPr>
      <w:r>
        <w:rPr>
          <w:bCs/>
          <w:color w:val="FF0000"/>
          <w:lang w:val="ro-MD"/>
        </w:rPr>
      </w:r>
    </w:p>
    <w:p>
      <w:pPr>
        <w:pStyle w:val="Normal"/>
        <w:widowControl/>
        <w:pBdr>
          <w:top w:val="outset" w:sz="6" w:space="0" w:color="FFFFFF"/>
          <w:left w:val="outset" w:sz="6" w:space="4" w:color="FFFFFF"/>
          <w:bottom w:val="inset" w:sz="6" w:space="1" w:color="FFFFFF"/>
          <w:right w:val="inset" w:sz="6" w:space="4" w:color="FFFFFF"/>
        </w:pBdr>
        <w:bidi w:val="0"/>
        <w:ind w:left="0" w:right="0" w:hanging="0"/>
        <w:jc w:val="left"/>
        <w:textAlignment w:val="auto"/>
        <w:rPr>
          <w:rFonts w:ascii="Times New Roman" w:hAnsi="Times New Roman"/>
          <w:bCs/>
          <w:color w:val="FF0000"/>
          <w:lang w:val="ro-MD"/>
        </w:rPr>
      </w:pPr>
      <w:r>
        <w:rPr>
          <w:bCs/>
          <w:color w:val="FF0000"/>
          <w:lang w:val="ro-MD"/>
        </w:rPr>
      </w:r>
    </w:p>
    <w:p>
      <w:pPr>
        <w:pStyle w:val="Normal"/>
        <w:widowControl/>
        <w:pBdr>
          <w:top w:val="outset" w:sz="6" w:space="0" w:color="FFFFFF"/>
          <w:left w:val="outset" w:sz="6" w:space="4" w:color="FFFFFF"/>
          <w:bottom w:val="inset" w:sz="6" w:space="1" w:color="FFFFFF"/>
          <w:right w:val="inset" w:sz="6" w:space="4" w:color="FFFFFF"/>
        </w:pBdr>
        <w:bidi w:val="0"/>
        <w:ind w:left="0" w:right="0" w:hanging="0"/>
        <w:jc w:val="left"/>
        <w:textAlignment w:val="auto"/>
        <w:rPr>
          <w:rFonts w:ascii="Times New Roman" w:hAnsi="Times New Roman"/>
          <w:bCs/>
          <w:color w:val="FF0000"/>
          <w:lang w:val="ro-MD"/>
        </w:rPr>
      </w:pPr>
      <w:r>
        <w:rPr>
          <w:bCs/>
          <w:color w:val="FF0000"/>
          <w:lang w:val="ro-MD"/>
        </w:rPr>
      </w:r>
    </w:p>
    <w:p>
      <w:pPr>
        <w:pStyle w:val="Normal"/>
        <w:widowControl/>
        <w:pBdr>
          <w:top w:val="outset" w:sz="6" w:space="0" w:color="FFFFFF"/>
          <w:left w:val="outset" w:sz="6" w:space="4" w:color="FFFFFF"/>
          <w:bottom w:val="inset" w:sz="6" w:space="1" w:color="FFFFFF"/>
          <w:right w:val="inset" w:sz="6" w:space="4" w:color="FFFFFF"/>
        </w:pBdr>
        <w:bidi w:val="0"/>
        <w:ind w:left="0" w:right="0" w:hanging="0"/>
        <w:jc w:val="left"/>
        <w:textAlignment w:val="auto"/>
        <w:rPr>
          <w:rFonts w:ascii="Times New Roman" w:hAnsi="Times New Roman"/>
          <w:bCs/>
          <w:color w:val="FF0000"/>
          <w:lang w:val="ro-MD"/>
        </w:rPr>
      </w:pPr>
      <w:r>
        <w:rPr>
          <w:bCs/>
          <w:color w:val="FF0000"/>
          <w:lang w:val="ro-MD"/>
        </w:rPr>
      </w:r>
    </w:p>
    <w:p>
      <w:pPr>
        <w:pStyle w:val="Normal"/>
        <w:widowControl/>
        <w:pBdr>
          <w:top w:val="outset" w:sz="6" w:space="0" w:color="FFFFFF"/>
          <w:left w:val="outset" w:sz="6" w:space="4" w:color="FFFFFF"/>
          <w:bottom w:val="inset" w:sz="6" w:space="1" w:color="FFFFFF"/>
          <w:right w:val="inset" w:sz="6" w:space="4" w:color="FFFFFF"/>
        </w:pBdr>
        <w:bidi w:val="0"/>
        <w:ind w:left="0" w:right="0" w:hanging="0"/>
        <w:jc w:val="left"/>
        <w:textAlignment w:val="auto"/>
        <w:rPr>
          <w:rFonts w:ascii="Times New Roman" w:hAnsi="Times New Roman"/>
          <w:bCs/>
          <w:color w:val="FF0000"/>
          <w:lang w:val="ro-MD"/>
        </w:rPr>
      </w:pPr>
      <w:r>
        <w:rPr>
          <w:bCs/>
          <w:color w:val="FF0000"/>
          <w:lang w:val="ro-MD"/>
        </w:rPr>
      </w:r>
    </w:p>
    <w:p>
      <w:pPr>
        <w:pStyle w:val="Normal"/>
        <w:widowControl/>
        <w:pBdr>
          <w:top w:val="outset" w:sz="6" w:space="0" w:color="FFFFFF"/>
          <w:left w:val="outset" w:sz="6" w:space="4" w:color="FFFFFF"/>
          <w:bottom w:val="inset" w:sz="6" w:space="1" w:color="FFFFFF"/>
          <w:right w:val="inset" w:sz="6" w:space="4" w:color="FFFFFF"/>
        </w:pBdr>
        <w:bidi w:val="0"/>
        <w:ind w:left="0" w:right="0" w:hanging="0"/>
        <w:jc w:val="left"/>
        <w:textAlignment w:val="auto"/>
        <w:rPr>
          <w:rFonts w:ascii="Times New Roman" w:hAnsi="Times New Roman"/>
          <w:bCs/>
          <w:color w:val="FF0000"/>
          <w:lang w:val="ro-MD"/>
        </w:rPr>
      </w:pPr>
      <w:r>
        <w:rPr>
          <w:bCs/>
          <w:color w:val="FF0000"/>
          <w:lang w:val="ro-MD"/>
        </w:rPr>
      </w:r>
    </w:p>
    <w:p>
      <w:pPr>
        <w:pStyle w:val="Normal"/>
        <w:widowControl/>
        <w:pBdr>
          <w:top w:val="outset" w:sz="6" w:space="0" w:color="FFFFFF"/>
          <w:left w:val="outset" w:sz="6" w:space="4" w:color="FFFFFF"/>
          <w:bottom w:val="inset" w:sz="6" w:space="1" w:color="FFFFFF"/>
          <w:right w:val="inset" w:sz="6" w:space="4" w:color="FFFFFF"/>
        </w:pBdr>
        <w:bidi w:val="0"/>
        <w:ind w:left="0" w:right="0" w:hanging="0"/>
        <w:jc w:val="left"/>
        <w:textAlignment w:val="auto"/>
        <w:rPr>
          <w:rFonts w:ascii="Times New Roman" w:hAnsi="Times New Roman"/>
          <w:bCs/>
          <w:color w:val="FF0000"/>
          <w:lang w:val="ro-MD"/>
        </w:rPr>
      </w:pPr>
      <w:r>
        <w:rPr>
          <w:bCs/>
          <w:color w:val="FF0000"/>
          <w:lang w:val="ro-MD"/>
        </w:rPr>
      </w:r>
    </w:p>
    <w:p>
      <w:pPr>
        <w:pStyle w:val="2"/>
        <w:keepNext/>
        <w:widowControl/>
        <w:numPr>
          <w:ilvl w:val="0"/>
          <w:numId w:val="0"/>
        </w:numPr>
        <w:bidi w:val="0"/>
        <w:ind w:left="0" w:right="0" w:hanging="0"/>
        <w:jc w:val="left"/>
        <w:textAlignment w:val="auto"/>
        <w:outlineLvl w:val="1"/>
        <w:rPr>
          <w:lang w:val="it-IT"/>
        </w:rPr>
      </w:pPr>
      <w:bookmarkStart w:id="128" w:name="_Toc469648828"/>
      <w:bookmarkStart w:id="129" w:name="_Toc469651914"/>
      <w:bookmarkEnd w:id="128"/>
      <w:bookmarkEnd w:id="129"/>
      <w:r>
        <w:rPr>
          <w:rFonts w:cs="Times New Roman CE" w:ascii="Times New Roman CE" w:hAnsi="Times New Roman CE"/>
          <w:i/>
          <w:sz w:val="26"/>
          <w:lang w:val="it-IT" w:eastAsia="ru-RU"/>
        </w:rPr>
        <w:t>Algebre Lie  şi sisteme dinamice în plan (Curs opţional)</w:t>
      </w:r>
    </w:p>
    <w:p>
      <w:pPr>
        <w:pStyle w:val="Normal"/>
        <w:widowControl/>
        <w:tabs>
          <w:tab w:val="left" w:pos="852" w:leader="none"/>
          <w:tab w:val="left" w:pos="1418" w:leader="none"/>
          <w:tab w:val="left" w:pos="2552" w:leader="none"/>
        </w:tabs>
        <w:bidi w:val="0"/>
        <w:spacing w:before="120" w:after="120"/>
        <w:ind w:left="2688" w:right="0" w:firstLine="144"/>
        <w:jc w:val="left"/>
        <w:textAlignment w:val="auto"/>
        <w:rPr>
          <w:lang w:val="ro-RO"/>
        </w:rPr>
      </w:pPr>
      <w:r>
        <w:drawing>
          <wp:anchor behindDoc="0" distT="0" distB="0" distL="114935" distR="114935" simplePos="0" locked="0" layoutInCell="1" allowOverlap="1" relativeHeight="16">
            <wp:simplePos x="0" y="0"/>
            <wp:positionH relativeFrom="column">
              <wp:posOffset>-43815</wp:posOffset>
            </wp:positionH>
            <wp:positionV relativeFrom="paragraph">
              <wp:posOffset>251460</wp:posOffset>
            </wp:positionV>
            <wp:extent cx="1838325" cy="2609850"/>
            <wp:effectExtent l="0" t="0" r="0" b="0"/>
            <wp:wrapSquare wrapText="bothSides"/>
            <wp:docPr id="19" name="Изображение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8" descr=""/>
                    <pic:cNvPicPr>
                      <a:picLocks noChangeAspect="1" noChangeArrowheads="1"/>
                    </pic:cNvPicPr>
                  </pic:nvPicPr>
                  <pic:blipFill>
                    <a:blip r:embed="rId61"/>
                    <a:stretch>
                      <a:fillRect/>
                    </a:stretch>
                  </pic:blipFill>
                  <pic:spPr bwMode="auto">
                    <a:xfrm>
                      <a:off x="0" y="0"/>
                      <a:ext cx="1838325" cy="2609850"/>
                    </a:xfrm>
                    <a:prstGeom prst="rect">
                      <a:avLst/>
                    </a:prstGeom>
                  </pic:spPr>
                </pic:pic>
              </a:graphicData>
            </a:graphic>
          </wp:anchor>
        </w:drawing>
      </w:r>
      <w:r>
        <w:rPr>
          <w:iCs/>
          <w:lang w:val="ro-RO"/>
        </w:rPr>
        <w:t xml:space="preserve"> </w:t>
      </w:r>
      <w:r>
        <w:rPr>
          <w:iCs/>
          <w:lang w:val="ro-RO"/>
        </w:rPr>
        <w:t xml:space="preserve">       </w:t>
      </w:r>
      <w:r>
        <w:rPr>
          <w:bCs/>
          <w:lang w:val="ro-MD"/>
        </w:rPr>
        <w:t xml:space="preserve">I. </w:t>
      </w:r>
      <w:r>
        <w:rPr>
          <w:rFonts w:cs="Times New Roman CE" w:ascii="Times New Roman CE" w:hAnsi="Times New Roman CE"/>
          <w:bCs/>
          <w:lang w:val="ro-MD"/>
        </w:rPr>
        <w:t>Denumirea şi tipul lucrării</w:t>
      </w:r>
    </w:p>
    <w:tbl>
      <w:tblPr>
        <w:tblW w:w="7577" w:type="dxa"/>
        <w:jc w:val="left"/>
        <w:tblInd w:w="-109" w:type="dxa"/>
        <w:tblBorders>
          <w:top w:val="dotted" w:sz="4" w:space="0" w:color="000001"/>
          <w:left w:val="dotted" w:sz="4" w:space="0" w:color="000001"/>
          <w:bottom w:val="dotted" w:sz="4" w:space="0" w:color="000001"/>
          <w:right w:val="dotted" w:sz="4" w:space="0" w:color="000001"/>
          <w:insideH w:val="dotted" w:sz="4" w:space="0" w:color="000001"/>
          <w:insideV w:val="dotted" w:sz="4" w:space="0" w:color="000001"/>
        </w:tblBorders>
        <w:tblCellMar>
          <w:top w:w="0" w:type="dxa"/>
          <w:left w:w="103" w:type="dxa"/>
          <w:bottom w:w="0" w:type="dxa"/>
          <w:right w:w="108" w:type="dxa"/>
        </w:tblCellMar>
      </w:tblPr>
      <w:tblGrid>
        <w:gridCol w:w="7577"/>
      </w:tblGrid>
      <w:tr>
        <w:trPr/>
        <w:tc>
          <w:tcPr>
            <w:tcW w:w="7577" w:type="dxa"/>
            <w:tcBorders>
              <w:top w:val="dotted" w:sz="4" w:space="0" w:color="000001"/>
              <w:left w:val="dotted" w:sz="4" w:space="0" w:color="000001"/>
              <w:bottom w:val="dotted" w:sz="4" w:space="0" w:color="000001"/>
              <w:right w:val="dotted" w:sz="4" w:space="0" w:color="000001"/>
              <w:insideH w:val="dotted" w:sz="4" w:space="0" w:color="000001"/>
              <w:insideV w:val="dotted" w:sz="4" w:space="0" w:color="000001"/>
            </w:tcBorders>
            <w:shd w:fill="auto" w:val="clear"/>
            <w:tcMar>
              <w:left w:w="103" w:type="dxa"/>
            </w:tcMar>
          </w:tcPr>
          <w:p>
            <w:pPr>
              <w:pStyle w:val="Normal"/>
              <w:widowControl/>
              <w:bidi w:val="0"/>
              <w:ind w:left="0" w:right="0" w:hanging="0"/>
              <w:jc w:val="left"/>
              <w:textAlignment w:val="auto"/>
              <w:rPr>
                <w:lang w:val="ro-MD"/>
              </w:rPr>
            </w:pPr>
            <w:r>
              <w:rPr>
                <w:i/>
                <w:iCs/>
                <w:lang w:val="ro-MD"/>
              </w:rPr>
              <w:t xml:space="preserve">Algebre Lie </w:t>
            </w:r>
            <w:r>
              <w:rPr>
                <w:rFonts w:cs="Times New Roman CE" w:ascii="Times New Roman CE" w:hAnsi="Times New Roman CE"/>
                <w:i/>
                <w:iCs/>
                <w:lang w:val="ro-RO"/>
              </w:rPr>
              <w:t xml:space="preserve"> şi sisteme dinamice în plan</w:t>
            </w:r>
            <w:r>
              <w:rPr>
                <w:iCs/>
                <w:lang w:val="ro-RO"/>
              </w:rPr>
              <w:t xml:space="preserve"> (</w:t>
            </w:r>
            <w:r>
              <w:rPr>
                <w:rFonts w:cs="Times New Roman CE" w:ascii="Times New Roman CE" w:hAnsi="Times New Roman CE"/>
                <w:i/>
                <w:iCs/>
                <w:lang w:val="ro-RO"/>
              </w:rPr>
              <w:t>Curs opţional</w:t>
            </w:r>
            <w:r>
              <w:rPr>
                <w:rFonts w:cs="Times New Roman CE" w:ascii="Times New Roman CE" w:hAnsi="Times New Roman CE"/>
                <w:iCs/>
                <w:lang w:val="ro-RO"/>
              </w:rPr>
              <w:t>). Univ. de Stat din Tiraspol. Chişină</w:t>
            </w:r>
            <w:r>
              <w:rPr>
                <w:iCs/>
                <w:lang w:val="ro-RO"/>
              </w:rPr>
              <w:t>u: US Tiraspol.237p. (</w:t>
            </w:r>
            <w:r>
              <w:rPr>
                <w:iCs/>
                <w:lang w:val="ro-MD"/>
              </w:rPr>
              <w:t>manual)</w:t>
            </w:r>
          </w:p>
        </w:tc>
      </w:tr>
      <w:tr>
        <w:trPr>
          <w:trHeight w:val="451" w:hRule="atLeast"/>
        </w:trPr>
        <w:tc>
          <w:tcPr>
            <w:tcW w:w="7577" w:type="dxa"/>
            <w:tcBorders>
              <w:top w:val="dotted" w:sz="4" w:space="0" w:color="000001"/>
              <w:left w:val="dotted" w:sz="4" w:space="0" w:color="000001"/>
              <w:bottom w:val="dotted" w:sz="4" w:space="0" w:color="000001"/>
              <w:right w:val="dotted" w:sz="4" w:space="0" w:color="000001"/>
              <w:insideH w:val="dotted" w:sz="4" w:space="0" w:color="000001"/>
              <w:insideV w:val="dotted" w:sz="4" w:space="0" w:color="000001"/>
            </w:tcBorders>
            <w:shd w:fill="auto" w:val="clear"/>
            <w:tcMar>
              <w:left w:w="103" w:type="dxa"/>
            </w:tcMar>
          </w:tcPr>
          <w:p>
            <w:pPr>
              <w:pStyle w:val="Normal"/>
              <w:widowControl/>
              <w:tabs>
                <w:tab w:val="left" w:pos="1065" w:leader="none"/>
                <w:tab w:val="left" w:pos="2201" w:leader="none"/>
              </w:tabs>
              <w:bidi w:val="0"/>
              <w:ind w:left="0" w:right="0" w:hanging="0"/>
              <w:jc w:val="left"/>
              <w:textAlignment w:val="auto"/>
              <w:rPr/>
            </w:pPr>
            <w:r>
              <w:rPr>
                <w:sz w:val="22"/>
                <w:szCs w:val="22"/>
              </w:rPr>
              <w:t xml:space="preserve">15.817.02.03F </w:t>
            </w:r>
            <w:r>
              <w:rPr>
                <w:rFonts w:cs="Times New Roman CE" w:ascii="Times New Roman CE" w:hAnsi="Times New Roman CE"/>
                <w:sz w:val="22"/>
                <w:szCs w:val="22"/>
                <w:lang w:val="ro-MD"/>
              </w:rPr>
              <w:t xml:space="preserve">Invarianţi algebrici şi geometrici în </w:t>
            </w:r>
            <w:r>
              <w:rPr>
                <w:sz w:val="22"/>
                <w:szCs w:val="22"/>
                <w:lang w:val="en-US"/>
              </w:rPr>
              <w:t xml:space="preserve">studiul calitativ al sistemelor </w:t>
            </w:r>
            <w:r>
              <w:rPr>
                <w:rFonts w:cs="Times New Roman CE" w:ascii="Times New Roman CE" w:hAnsi="Times New Roman CE"/>
                <w:sz w:val="22"/>
                <w:szCs w:val="22"/>
                <w:lang w:val="en-US"/>
              </w:rPr>
              <w:t>diferenţiale</w:t>
            </w:r>
            <w:r>
              <w:rPr>
                <w:sz w:val="22"/>
                <w:szCs w:val="22"/>
                <w:lang w:val="en-US"/>
              </w:rPr>
              <w:t xml:space="preserve"> polinomiale</w:t>
            </w:r>
          </w:p>
        </w:tc>
      </w:tr>
    </w:tbl>
    <w:p>
      <w:pPr>
        <w:pStyle w:val="ListParagraph"/>
        <w:widowControl/>
        <w:numPr>
          <w:ilvl w:val="0"/>
          <w:numId w:val="73"/>
        </w:numPr>
        <w:tabs>
          <w:tab w:val="left" w:pos="606" w:leader="none"/>
          <w:tab w:val="left" w:pos="1065" w:leader="none"/>
          <w:tab w:val="left" w:pos="2201" w:leader="none"/>
        </w:tabs>
        <w:bidi w:val="0"/>
        <w:spacing w:before="120" w:after="120"/>
        <w:ind w:left="606" w:right="0" w:hanging="0"/>
        <w:contextualSpacing/>
        <w:jc w:val="left"/>
        <w:textAlignment w:val="auto"/>
        <w:rPr>
          <w:lang w:val="ro-MD"/>
        </w:rPr>
      </w:pPr>
      <w:r>
        <w:rPr>
          <w:rFonts w:cs="Times New Roman CE" w:ascii="Times New Roman CE" w:hAnsi="Times New Roman CE"/>
          <w:bCs/>
          <w:lang w:val="ro-MD"/>
        </w:rPr>
        <w:t>Denumirea şi codul proiectului în cadrul căruia a fost realizată lucrarea</w:t>
      </w:r>
    </w:p>
    <w:p>
      <w:pPr>
        <w:pStyle w:val="ListParagraph"/>
        <w:widowControl/>
        <w:numPr>
          <w:ilvl w:val="0"/>
          <w:numId w:val="73"/>
        </w:numPr>
        <w:tabs>
          <w:tab w:val="left" w:pos="606" w:leader="none"/>
        </w:tabs>
        <w:bidi w:val="0"/>
        <w:spacing w:lineRule="exact" w:line="360" w:before="120" w:after="0"/>
        <w:ind w:left="606" w:right="0" w:hanging="0"/>
        <w:contextualSpacing/>
        <w:jc w:val="left"/>
        <w:textAlignment w:val="auto"/>
        <w:rPr>
          <w:lang w:val="ro-MD"/>
        </w:rPr>
      </w:pPr>
      <w:r>
        <w:rPr>
          <w:rFonts w:cs="Times New Roman CE" w:ascii="Times New Roman CE" w:hAnsi="Times New Roman CE"/>
          <w:lang w:val="ro-MD"/>
        </w:rPr>
        <w:t xml:space="preserve"> </w:t>
      </w:r>
      <w:r>
        <w:rPr>
          <w:rFonts w:cs="Times New Roman CE" w:ascii="Times New Roman CE" w:hAnsi="Times New Roman CE"/>
          <w:lang w:val="ro-MD"/>
        </w:rPr>
        <w:t>ISBN-ul lucrării</w:t>
      </w:r>
    </w:p>
    <w:tbl>
      <w:tblPr>
        <w:tblW w:w="7577" w:type="dxa"/>
        <w:jc w:val="left"/>
        <w:tblInd w:w="-109"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7577"/>
      </w:tblGrid>
      <w:tr>
        <w:trPr/>
        <w:tc>
          <w:tcPr>
            <w:tcW w:w="7577"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spacing w:lineRule="exact" w:line="360"/>
              <w:ind w:left="0" w:right="0" w:hanging="0"/>
              <w:jc w:val="left"/>
              <w:textAlignment w:val="auto"/>
              <w:rPr>
                <w:lang w:val="ro-MD"/>
              </w:rPr>
            </w:pPr>
            <w:r>
              <w:rPr>
                <w:bCs/>
                <w:lang w:val="ro-MD"/>
              </w:rPr>
              <w:t>ISBN 978-9975-76-183-3</w:t>
            </w:r>
          </w:p>
        </w:tc>
      </w:tr>
    </w:tbl>
    <w:p>
      <w:pPr>
        <w:pStyle w:val="Normal"/>
        <w:widowControl/>
        <w:numPr>
          <w:ilvl w:val="0"/>
          <w:numId w:val="74"/>
        </w:numPr>
        <w:tabs>
          <w:tab w:val="left" w:pos="606" w:leader="none"/>
          <w:tab w:val="left" w:pos="852" w:leader="none"/>
          <w:tab w:val="left" w:pos="1065" w:leader="none"/>
          <w:tab w:val="left" w:pos="2201" w:leader="none"/>
        </w:tabs>
        <w:bidi w:val="0"/>
        <w:spacing w:before="120" w:after="120"/>
        <w:ind w:left="606" w:right="0" w:hanging="0"/>
        <w:jc w:val="left"/>
        <w:textAlignment w:val="auto"/>
        <w:rPr>
          <w:lang w:val="ro-MD"/>
        </w:rPr>
      </w:pPr>
      <w:r>
        <w:rPr>
          <w:lang w:val="ro-MD"/>
        </w:rPr>
        <w:t>Autorul (ii)</w:t>
      </w:r>
      <w:r>
        <w:rPr>
          <w:rFonts w:cs="Times New Roman CE" w:ascii="Times New Roman CE" w:hAnsi="Times New Roman CE"/>
          <w:bCs/>
          <w:lang w:val="ro-MD"/>
        </w:rPr>
        <w:t>lucrării</w:t>
      </w:r>
      <w:r>
        <w:rPr>
          <w:rStyle w:val="Strong"/>
          <w:b w:val="false"/>
          <w:color w:val="000000"/>
          <w:lang w:val="ro-MD" w:eastAsia="ru-RU" w:bidi="ar-SA"/>
        </w:rPr>
        <w:t xml:space="preserve"> </w:t>
      </w:r>
    </w:p>
    <w:tbl>
      <w:tblPr>
        <w:tblW w:w="7513" w:type="dxa"/>
        <w:jc w:val="left"/>
        <w:tblInd w:w="-109" w:type="dxa"/>
        <w:tblBorders>
          <w:top w:val="dotted" w:sz="4" w:space="0" w:color="000001"/>
          <w:left w:val="dotted" w:sz="4" w:space="0" w:color="000001"/>
          <w:bottom w:val="dotted" w:sz="4" w:space="0" w:color="000001"/>
          <w:right w:val="dotted" w:sz="4" w:space="0" w:color="000001"/>
          <w:insideH w:val="dotted" w:sz="4" w:space="0" w:color="000001"/>
          <w:insideV w:val="dotted" w:sz="4" w:space="0" w:color="000001"/>
        </w:tblBorders>
        <w:tblCellMar>
          <w:top w:w="0" w:type="dxa"/>
          <w:left w:w="103" w:type="dxa"/>
          <w:bottom w:w="0" w:type="dxa"/>
          <w:right w:w="108" w:type="dxa"/>
        </w:tblCellMar>
      </w:tblPr>
      <w:tblGrid>
        <w:gridCol w:w="7513"/>
      </w:tblGrid>
      <w:tr>
        <w:trPr/>
        <w:tc>
          <w:tcPr>
            <w:tcW w:w="7513" w:type="dxa"/>
            <w:tcBorders>
              <w:top w:val="dotted" w:sz="4" w:space="0" w:color="000001"/>
              <w:left w:val="dotted" w:sz="4" w:space="0" w:color="000001"/>
              <w:bottom w:val="dotted" w:sz="4" w:space="0" w:color="000001"/>
              <w:right w:val="dotted" w:sz="4" w:space="0" w:color="000001"/>
              <w:insideH w:val="dotted" w:sz="4" w:space="0" w:color="000001"/>
              <w:insideV w:val="dotted" w:sz="4" w:space="0" w:color="000001"/>
            </w:tcBorders>
            <w:shd w:fill="auto" w:val="clear"/>
            <w:tcMar>
              <w:left w:w="103" w:type="dxa"/>
            </w:tcMar>
          </w:tcPr>
          <w:p>
            <w:pPr>
              <w:pStyle w:val="Normal"/>
              <w:widowControl/>
              <w:bidi w:val="0"/>
              <w:ind w:left="0" w:right="0" w:hanging="0"/>
              <w:jc w:val="left"/>
              <w:textAlignment w:val="auto"/>
              <w:rPr>
                <w:lang w:val="ro-MD"/>
              </w:rPr>
            </w:pPr>
            <w:r>
              <w:rPr>
                <w:sz w:val="22"/>
                <w:szCs w:val="22"/>
                <w:lang w:val="ro-MD"/>
              </w:rPr>
              <w:t>POPA Mihail, dr. hab., prof. univ.(IMI)</w:t>
            </w:r>
          </w:p>
          <w:p>
            <w:pPr>
              <w:pStyle w:val="Normal"/>
              <w:widowControl/>
              <w:bidi w:val="0"/>
              <w:ind w:left="0" w:right="0" w:hanging="0"/>
              <w:jc w:val="left"/>
              <w:textAlignment w:val="auto"/>
              <w:rPr>
                <w:lang w:val="ro-MD"/>
              </w:rPr>
            </w:pPr>
            <w:r>
              <w:rPr>
                <w:rFonts w:cs="Times New Roman CE" w:ascii="Times New Roman CE" w:hAnsi="Times New Roman CE"/>
                <w:sz w:val="22"/>
                <w:szCs w:val="22"/>
                <w:lang w:val="ro-MD"/>
              </w:rPr>
              <w:t>REPEŞCO Vadim, dr., conf. univ.(UST</w:t>
            </w:r>
            <w:r>
              <w:rPr>
                <w:sz w:val="22"/>
                <w:szCs w:val="22"/>
                <w:lang w:val="ro-MD"/>
              </w:rPr>
              <w:t>)</w:t>
            </w:r>
          </w:p>
        </w:tc>
      </w:tr>
    </w:tbl>
    <w:p>
      <w:pPr>
        <w:pStyle w:val="Normal"/>
        <w:widowControl/>
        <w:numPr>
          <w:ilvl w:val="0"/>
          <w:numId w:val="74"/>
        </w:numPr>
        <w:tabs>
          <w:tab w:val="left" w:pos="606" w:leader="none"/>
          <w:tab w:val="left" w:pos="852" w:leader="none"/>
          <w:tab w:val="left" w:pos="1065" w:leader="none"/>
          <w:tab w:val="left" w:pos="2201" w:leader="none"/>
        </w:tabs>
        <w:bidi w:val="0"/>
        <w:spacing w:before="120" w:after="120"/>
        <w:ind w:left="606" w:right="0" w:hanging="0"/>
        <w:jc w:val="left"/>
        <w:textAlignment w:val="auto"/>
        <w:rPr>
          <w:b w:val="false"/>
          <w:b w:val="false"/>
          <w:lang w:val="ro-MD"/>
        </w:rPr>
      </w:pPr>
      <w:r>
        <w:rPr>
          <w:rStyle w:val="Strong"/>
          <w:b w:val="false"/>
          <w:color w:val="000000"/>
          <w:lang w:val="ro-MD" w:eastAsia="ru-RU" w:bidi="ar-SA"/>
        </w:rPr>
        <w:t>Descrierea</w:t>
      </w:r>
      <w:r>
        <w:rPr>
          <w:rStyle w:val="Strong"/>
          <w:color w:val="000000"/>
          <w:lang w:val="ro-MD" w:eastAsia="ru-RU" w:bidi="ar-SA"/>
        </w:rPr>
        <w:t xml:space="preserve"> </w:t>
      </w:r>
      <w:r>
        <w:rPr>
          <w:rStyle w:val="Strong"/>
          <w:rFonts w:cs="Times New Roman CE" w:ascii="Times New Roman CE" w:hAnsi="Times New Roman CE"/>
          <w:color w:val="000000"/>
          <w:lang w:val="ro-MD" w:eastAsia="ru-RU" w:bidi="ar-SA"/>
        </w:rPr>
        <w:t>ş</w:t>
      </w:r>
      <w:r>
        <w:rPr>
          <w:rFonts w:cs="Times New Roman CE" w:ascii="Times New Roman CE" w:hAnsi="Times New Roman CE"/>
          <w:lang w:val="ro-MD"/>
        </w:rPr>
        <w:t xml:space="preserve">tiinţifică a lucrării </w:t>
      </w:r>
    </w:p>
    <w:tbl>
      <w:tblPr>
        <w:tblW w:w="7513" w:type="dxa"/>
        <w:jc w:val="left"/>
        <w:tblInd w:w="2551" w:type="dxa"/>
        <w:tblBorders>
          <w:top w:val="dotted" w:sz="4" w:space="0" w:color="000001"/>
          <w:left w:val="dotted" w:sz="4" w:space="0" w:color="000001"/>
          <w:bottom w:val="dotted" w:sz="4" w:space="0" w:color="000001"/>
          <w:right w:val="dotted" w:sz="4" w:space="0" w:color="000001"/>
          <w:insideH w:val="dotted" w:sz="4" w:space="0" w:color="000001"/>
          <w:insideV w:val="dotted" w:sz="4" w:space="0" w:color="000001"/>
        </w:tblBorders>
        <w:tblCellMar>
          <w:top w:w="0" w:type="dxa"/>
          <w:left w:w="103" w:type="dxa"/>
          <w:bottom w:w="0" w:type="dxa"/>
          <w:right w:w="108" w:type="dxa"/>
        </w:tblCellMar>
      </w:tblPr>
      <w:tblGrid>
        <w:gridCol w:w="7513"/>
      </w:tblGrid>
      <w:tr>
        <w:trPr/>
        <w:tc>
          <w:tcPr>
            <w:tcW w:w="7513" w:type="dxa"/>
            <w:tcBorders>
              <w:top w:val="dotted" w:sz="4" w:space="0" w:color="000001"/>
              <w:left w:val="dotted" w:sz="4" w:space="0" w:color="000001"/>
              <w:bottom w:val="dotted" w:sz="4" w:space="0" w:color="000001"/>
              <w:right w:val="dotted" w:sz="4" w:space="0" w:color="000001"/>
              <w:insideH w:val="dotted" w:sz="4" w:space="0" w:color="000001"/>
              <w:insideV w:val="dotted" w:sz="4" w:space="0" w:color="000001"/>
            </w:tcBorders>
            <w:shd w:fill="auto" w:val="clear"/>
            <w:tcMar>
              <w:left w:w="103" w:type="dxa"/>
            </w:tcMar>
          </w:tcPr>
          <w:p>
            <w:pPr>
              <w:pStyle w:val="Normal"/>
              <w:widowControl/>
              <w:bidi w:val="0"/>
              <w:ind w:left="0" w:right="0" w:hanging="0"/>
              <w:jc w:val="both"/>
              <w:textAlignment w:val="auto"/>
              <w:rPr>
                <w:lang w:val="ro-MD"/>
              </w:rPr>
            </w:pPr>
            <w:r>
              <w:rPr>
                <w:rFonts w:cs="Times New Roman CE" w:ascii="Times New Roman CE" w:hAnsi="Times New Roman CE"/>
                <w:bCs/>
                <w:lang w:val="ro-MD"/>
              </w:rPr>
              <w:t>Manualul este o introducere în domeniul aplicaţiilor grupurilor clasice, algebrelor Lie şi a teoriei invarianţilor în cercetarea calitativă a sistemelor diferenţiale autonome, explicată pe cele mai simple exemple ale acestor obiecte. Se recomandă doritorilor de a se iniţia în studiul ecuaţiilor diferenţiale cu ajutorul metodelor analizei grupale (simetriilor) şi teoriei calitative. Această carte conţine tot materialul necesar şi cere doar o pregătire în volumul primilor ani de studii a unei facultăţi de fizică şi matematică sau cu profil tehnic.</w:t>
            </w:r>
          </w:p>
        </w:tc>
      </w:tr>
    </w:tbl>
    <w:p>
      <w:pPr>
        <w:pStyle w:val="Normal"/>
        <w:widowControl/>
        <w:tabs>
          <w:tab w:val="left" w:pos="852" w:leader="none"/>
          <w:tab w:val="left" w:pos="1065" w:leader="none"/>
          <w:tab w:val="left" w:pos="2201" w:leader="none"/>
        </w:tabs>
        <w:bidi w:val="0"/>
        <w:spacing w:before="120" w:after="120"/>
        <w:ind w:left="606" w:right="0" w:hanging="0"/>
        <w:jc w:val="left"/>
        <w:textAlignment w:val="auto"/>
        <w:rPr>
          <w:rFonts w:ascii="Times New Roman" w:hAnsi="Times New Roman"/>
          <w:bCs/>
          <w:lang w:val="ro-MD"/>
        </w:rPr>
      </w:pPr>
      <w:r>
        <w:rPr>
          <w:bCs/>
          <w:lang w:val="ro-MD"/>
        </w:rPr>
      </w:r>
    </w:p>
    <w:p>
      <w:pPr>
        <w:pStyle w:val="Normal"/>
        <w:widowControl/>
        <w:tabs>
          <w:tab w:val="left" w:pos="852" w:leader="none"/>
          <w:tab w:val="left" w:pos="1065" w:leader="none"/>
          <w:tab w:val="left" w:pos="2201" w:leader="none"/>
        </w:tabs>
        <w:bidi w:val="0"/>
        <w:spacing w:before="120" w:after="120"/>
        <w:ind w:left="606" w:right="0" w:hanging="0"/>
        <w:jc w:val="left"/>
        <w:textAlignment w:val="auto"/>
        <w:rPr>
          <w:rFonts w:ascii="Times New Roman" w:hAnsi="Times New Roman"/>
          <w:bCs/>
          <w:lang w:val="ro-MD"/>
        </w:rPr>
      </w:pPr>
      <w:r>
        <w:rPr>
          <w:bCs/>
          <w:lang w:val="ro-MD"/>
        </w:rPr>
      </w:r>
    </w:p>
    <w:p>
      <w:pPr>
        <w:pStyle w:val="Normal"/>
        <w:widowControl/>
        <w:tabs>
          <w:tab w:val="left" w:pos="852" w:leader="none"/>
          <w:tab w:val="left" w:pos="1065" w:leader="none"/>
          <w:tab w:val="left" w:pos="2201" w:leader="none"/>
        </w:tabs>
        <w:bidi w:val="0"/>
        <w:spacing w:before="120" w:after="120"/>
        <w:ind w:left="606" w:right="0" w:hanging="0"/>
        <w:jc w:val="left"/>
        <w:textAlignment w:val="auto"/>
        <w:rPr>
          <w:rFonts w:ascii="Times New Roman" w:hAnsi="Times New Roman"/>
          <w:bCs/>
          <w:lang w:val="ro-MD"/>
        </w:rPr>
      </w:pPr>
      <w:r>
        <w:rPr>
          <w:bCs/>
          <w:lang w:val="ro-MD"/>
        </w:rPr>
      </w:r>
    </w:p>
    <w:p>
      <w:pPr>
        <w:pStyle w:val="Normal"/>
        <w:widowControl/>
        <w:tabs>
          <w:tab w:val="left" w:pos="852" w:leader="none"/>
          <w:tab w:val="left" w:pos="1065" w:leader="none"/>
          <w:tab w:val="left" w:pos="2201" w:leader="none"/>
        </w:tabs>
        <w:bidi w:val="0"/>
        <w:spacing w:before="120" w:after="120"/>
        <w:ind w:left="606" w:right="0" w:hanging="0"/>
        <w:jc w:val="left"/>
        <w:textAlignment w:val="auto"/>
        <w:rPr>
          <w:rFonts w:ascii="Times New Roman" w:hAnsi="Times New Roman"/>
          <w:bCs/>
          <w:lang w:val="ro-MD"/>
        </w:rPr>
      </w:pPr>
      <w:r>
        <w:rPr>
          <w:bCs/>
          <w:lang w:val="ro-MD"/>
        </w:rPr>
      </w:r>
    </w:p>
    <w:p>
      <w:pPr>
        <w:pStyle w:val="Normal"/>
        <w:widowControl/>
        <w:tabs>
          <w:tab w:val="left" w:pos="852" w:leader="none"/>
          <w:tab w:val="left" w:pos="1065" w:leader="none"/>
          <w:tab w:val="left" w:pos="2201" w:leader="none"/>
        </w:tabs>
        <w:bidi w:val="0"/>
        <w:spacing w:before="120" w:after="120"/>
        <w:ind w:left="606" w:right="0" w:hanging="0"/>
        <w:jc w:val="left"/>
        <w:textAlignment w:val="auto"/>
        <w:rPr>
          <w:rFonts w:ascii="Times New Roman" w:hAnsi="Times New Roman"/>
          <w:bCs/>
          <w:lang w:val="ro-MD"/>
        </w:rPr>
      </w:pPr>
      <w:r>
        <w:rPr>
          <w:bCs/>
          <w:lang w:val="ro-MD"/>
        </w:rPr>
      </w:r>
    </w:p>
    <w:p>
      <w:pPr>
        <w:pStyle w:val="Normal"/>
        <w:widowControl/>
        <w:tabs>
          <w:tab w:val="left" w:pos="852" w:leader="none"/>
          <w:tab w:val="left" w:pos="1065" w:leader="none"/>
          <w:tab w:val="left" w:pos="2201" w:leader="none"/>
        </w:tabs>
        <w:bidi w:val="0"/>
        <w:spacing w:before="120" w:after="120"/>
        <w:ind w:left="606" w:right="0" w:hanging="0"/>
        <w:jc w:val="left"/>
        <w:textAlignment w:val="auto"/>
        <w:rPr>
          <w:rFonts w:ascii="Times New Roman" w:hAnsi="Times New Roman"/>
          <w:bCs/>
          <w:lang w:val="ro-MD"/>
        </w:rPr>
      </w:pPr>
      <w:r>
        <w:rPr>
          <w:bCs/>
          <w:lang w:val="ro-MD"/>
        </w:rPr>
      </w:r>
    </w:p>
    <w:p>
      <w:pPr>
        <w:pStyle w:val="Normal"/>
        <w:widowControl/>
        <w:tabs>
          <w:tab w:val="left" w:pos="852" w:leader="none"/>
          <w:tab w:val="left" w:pos="1065" w:leader="none"/>
          <w:tab w:val="left" w:pos="2201" w:leader="none"/>
        </w:tabs>
        <w:bidi w:val="0"/>
        <w:spacing w:before="120" w:after="120"/>
        <w:ind w:left="606" w:right="0" w:hanging="0"/>
        <w:jc w:val="left"/>
        <w:textAlignment w:val="auto"/>
        <w:rPr>
          <w:rFonts w:ascii="Times New Roman" w:hAnsi="Times New Roman"/>
          <w:bCs/>
          <w:lang w:val="ro-MD"/>
        </w:rPr>
      </w:pPr>
      <w:r>
        <w:rPr>
          <w:bCs/>
          <w:lang w:val="ro-MD"/>
        </w:rPr>
      </w:r>
    </w:p>
    <w:p>
      <w:pPr>
        <w:pStyle w:val="Normal"/>
        <w:widowControl/>
        <w:tabs>
          <w:tab w:val="left" w:pos="852" w:leader="none"/>
          <w:tab w:val="left" w:pos="1065" w:leader="none"/>
          <w:tab w:val="left" w:pos="2201" w:leader="none"/>
        </w:tabs>
        <w:bidi w:val="0"/>
        <w:spacing w:before="120" w:after="120"/>
        <w:ind w:left="606" w:right="0" w:hanging="0"/>
        <w:jc w:val="left"/>
        <w:textAlignment w:val="auto"/>
        <w:rPr>
          <w:rFonts w:ascii="Times New Roman" w:hAnsi="Times New Roman"/>
          <w:bCs/>
          <w:lang w:val="ro-MD"/>
        </w:rPr>
      </w:pPr>
      <w:r>
        <w:rPr>
          <w:bCs/>
          <w:lang w:val="ro-MD"/>
        </w:rPr>
      </w:r>
    </w:p>
    <w:p>
      <w:pPr>
        <w:pStyle w:val="Normal"/>
        <w:widowControl/>
        <w:tabs>
          <w:tab w:val="left" w:pos="852" w:leader="none"/>
          <w:tab w:val="left" w:pos="1065" w:leader="none"/>
          <w:tab w:val="left" w:pos="2201" w:leader="none"/>
        </w:tabs>
        <w:bidi w:val="0"/>
        <w:spacing w:before="120" w:after="120"/>
        <w:ind w:left="606" w:right="0" w:hanging="0"/>
        <w:jc w:val="left"/>
        <w:textAlignment w:val="auto"/>
        <w:rPr>
          <w:rFonts w:ascii="Times New Roman" w:hAnsi="Times New Roman"/>
          <w:bCs/>
          <w:lang w:val="ro-MD"/>
        </w:rPr>
      </w:pPr>
      <w:r>
        <w:rPr>
          <w:bCs/>
          <w:lang w:val="ro-MD"/>
        </w:rPr>
      </w:r>
    </w:p>
    <w:p>
      <w:pPr>
        <w:pStyle w:val="Normal"/>
        <w:widowControl/>
        <w:tabs>
          <w:tab w:val="left" w:pos="852" w:leader="none"/>
          <w:tab w:val="left" w:pos="1065" w:leader="none"/>
          <w:tab w:val="left" w:pos="2201" w:leader="none"/>
        </w:tabs>
        <w:bidi w:val="0"/>
        <w:spacing w:before="120" w:after="120"/>
        <w:ind w:left="606" w:right="0" w:hanging="0"/>
        <w:jc w:val="left"/>
        <w:textAlignment w:val="auto"/>
        <w:rPr>
          <w:rFonts w:ascii="Times New Roman" w:hAnsi="Times New Roman"/>
          <w:bCs/>
          <w:lang w:val="ro-MD"/>
        </w:rPr>
      </w:pPr>
      <w:r>
        <w:rPr>
          <w:bCs/>
          <w:lang w:val="ro-MD"/>
        </w:rPr>
      </w:r>
    </w:p>
    <w:p>
      <w:pPr>
        <w:pStyle w:val="Normal"/>
        <w:widowControl/>
        <w:tabs>
          <w:tab w:val="left" w:pos="852" w:leader="none"/>
          <w:tab w:val="left" w:pos="1065" w:leader="none"/>
          <w:tab w:val="left" w:pos="2201" w:leader="none"/>
        </w:tabs>
        <w:bidi w:val="0"/>
        <w:spacing w:before="120" w:after="120"/>
        <w:ind w:left="606" w:right="0" w:hanging="0"/>
        <w:jc w:val="left"/>
        <w:textAlignment w:val="auto"/>
        <w:rPr>
          <w:rFonts w:ascii="Times New Roman" w:hAnsi="Times New Roman"/>
          <w:bCs/>
          <w:lang w:val="ro-MD"/>
        </w:rPr>
      </w:pPr>
      <w:r>
        <w:rPr>
          <w:bCs/>
          <w:lang w:val="ro-MD"/>
        </w:rPr>
      </w:r>
    </w:p>
    <w:p>
      <w:pPr>
        <w:pStyle w:val="2"/>
        <w:keepNext/>
        <w:widowControl/>
        <w:numPr>
          <w:ilvl w:val="0"/>
          <w:numId w:val="0"/>
        </w:numPr>
        <w:bidi w:val="0"/>
        <w:ind w:left="0" w:right="0" w:hanging="0"/>
        <w:jc w:val="left"/>
        <w:textAlignment w:val="auto"/>
        <w:outlineLvl w:val="1"/>
        <w:rPr>
          <w:rFonts w:ascii="Times New Roman" w:hAnsi="Times New Roman"/>
          <w:b/>
          <w:b/>
        </w:rPr>
      </w:pPr>
      <w:r>
        <w:rPr>
          <w:b/>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2"/>
        <w:keepNext/>
        <w:widowControl/>
        <w:numPr>
          <w:ilvl w:val="0"/>
          <w:numId w:val="0"/>
        </w:numPr>
        <w:bidi w:val="0"/>
        <w:ind w:left="0" w:right="0" w:hanging="0"/>
        <w:jc w:val="left"/>
        <w:textAlignment w:val="auto"/>
        <w:outlineLvl w:val="1"/>
        <w:rPr>
          <w:lang w:val="it-IT"/>
        </w:rPr>
      </w:pPr>
      <w:bookmarkStart w:id="130" w:name="_Toc469651915"/>
      <w:bookmarkEnd w:id="130"/>
      <w:r>
        <w:rPr>
          <w:i/>
          <w:sz w:val="26"/>
          <w:lang w:val="it-IT" w:eastAsia="ru-RU"/>
        </w:rPr>
        <w:t>Matematica: Caiet de teste sumative – clasa a 7-a</w:t>
      </w:r>
    </w:p>
    <w:p>
      <w:pPr>
        <w:pStyle w:val="Normal"/>
        <w:widowControl/>
        <w:bidi w:val="0"/>
        <w:ind w:left="0" w:right="0" w:hanging="0"/>
        <w:jc w:val="left"/>
        <w:textAlignment w:val="auto"/>
        <w:rPr>
          <w:rFonts w:ascii="Times New Roman" w:hAnsi="Times New Roman"/>
          <w:lang w:val="it-IT"/>
        </w:rPr>
      </w:pPr>
      <w:r>
        <w:rPr>
          <w:lang w:val="it-IT"/>
        </w:rPr>
      </w:r>
    </w:p>
    <w:p>
      <w:pPr>
        <w:pStyle w:val="Normal"/>
        <w:widowControl/>
        <w:tabs>
          <w:tab w:val="left" w:pos="1065" w:leader="none"/>
          <w:tab w:val="left" w:pos="2201" w:leader="none"/>
        </w:tabs>
        <w:bidi w:val="0"/>
        <w:ind w:left="606" w:right="0" w:hanging="0"/>
        <w:jc w:val="left"/>
        <w:textAlignment w:val="auto"/>
        <w:rPr>
          <w:lang w:val="ro-MD"/>
        </w:rPr>
      </w:pPr>
      <w:r>
        <w:drawing>
          <wp:anchor behindDoc="1" distT="0" distB="0" distL="114935" distR="114935" simplePos="0" locked="0" layoutInCell="1" allowOverlap="1" relativeHeight="19">
            <wp:simplePos x="0" y="0"/>
            <wp:positionH relativeFrom="column">
              <wp:posOffset>-415290</wp:posOffset>
            </wp:positionH>
            <wp:positionV relativeFrom="paragraph">
              <wp:posOffset>57785</wp:posOffset>
            </wp:positionV>
            <wp:extent cx="2305050" cy="3267075"/>
            <wp:effectExtent l="0" t="0" r="0" b="0"/>
            <wp:wrapSquare wrapText="bothSides"/>
            <wp:docPr id="20" name="Изображение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19" descr=""/>
                    <pic:cNvPicPr>
                      <a:picLocks noChangeAspect="1" noChangeArrowheads="1"/>
                    </pic:cNvPicPr>
                  </pic:nvPicPr>
                  <pic:blipFill>
                    <a:blip r:embed="rId62"/>
                    <a:stretch>
                      <a:fillRect/>
                    </a:stretch>
                  </pic:blipFill>
                  <pic:spPr bwMode="auto">
                    <a:xfrm>
                      <a:off x="0" y="0"/>
                      <a:ext cx="2305050" cy="3267075"/>
                    </a:xfrm>
                    <a:prstGeom prst="rect">
                      <a:avLst/>
                    </a:prstGeom>
                  </pic:spPr>
                </pic:pic>
              </a:graphicData>
            </a:graphic>
          </wp:anchor>
        </w:drawing>
      </w:r>
      <w:r>
        <w:rPr>
          <w:bCs/>
          <w:lang w:val="ro-MD"/>
        </w:rPr>
        <w:t xml:space="preserve"> </w:t>
      </w:r>
      <w:r>
        <w:rPr>
          <w:bCs/>
          <w:lang w:val="ro-MD"/>
        </w:rPr>
        <w:t xml:space="preserve"> </w:t>
      </w:r>
      <w:r>
        <w:rPr>
          <w:bCs/>
          <w:lang w:val="ro-MD"/>
        </w:rPr>
        <w:t>I. Denumir</w:t>
      </w:r>
      <w:r>
        <w:rPr>
          <w:rFonts w:cs="Times New Roman CE" w:ascii="Times New Roman CE" w:hAnsi="Times New Roman CE"/>
          <w:bCs/>
          <w:lang w:val="ro-MD"/>
        </w:rPr>
        <w:t>ea şi tipul lucrării</w:t>
      </w:r>
    </w:p>
    <w:tbl>
      <w:tblPr>
        <w:tblW w:w="6743" w:type="dxa"/>
        <w:jc w:val="left"/>
        <w:tblInd w:w="-109" w:type="dxa"/>
        <w:tblBorders>
          <w:top w:val="dotted" w:sz="4" w:space="0" w:color="000001"/>
          <w:left w:val="dotted" w:sz="4" w:space="0" w:color="000001"/>
          <w:bottom w:val="dotted" w:sz="4" w:space="0" w:color="000001"/>
          <w:right w:val="dotted" w:sz="4" w:space="0" w:color="000001"/>
          <w:insideH w:val="dotted" w:sz="4" w:space="0" w:color="000001"/>
          <w:insideV w:val="dotted" w:sz="4" w:space="0" w:color="000001"/>
        </w:tblBorders>
        <w:tblCellMar>
          <w:top w:w="0" w:type="dxa"/>
          <w:left w:w="103" w:type="dxa"/>
          <w:bottom w:w="0" w:type="dxa"/>
          <w:right w:w="108" w:type="dxa"/>
        </w:tblCellMar>
      </w:tblPr>
      <w:tblGrid>
        <w:gridCol w:w="6743"/>
      </w:tblGrid>
      <w:tr>
        <w:trPr/>
        <w:tc>
          <w:tcPr>
            <w:tcW w:w="6743" w:type="dxa"/>
            <w:tcBorders>
              <w:top w:val="dotted" w:sz="4" w:space="0" w:color="000001"/>
              <w:left w:val="dotted" w:sz="4" w:space="0" w:color="000001"/>
              <w:bottom w:val="dotted" w:sz="4" w:space="0" w:color="000001"/>
              <w:right w:val="dotted" w:sz="4" w:space="0" w:color="000001"/>
              <w:insideH w:val="dotted" w:sz="4" w:space="0" w:color="000001"/>
              <w:insideV w:val="dotted" w:sz="4" w:space="0" w:color="000001"/>
            </w:tcBorders>
            <w:shd w:fill="auto" w:val="clear"/>
            <w:tcMar>
              <w:left w:w="103" w:type="dxa"/>
            </w:tcMar>
          </w:tcPr>
          <w:p>
            <w:pPr>
              <w:pStyle w:val="Normal"/>
              <w:widowControl/>
              <w:bidi w:val="0"/>
              <w:ind w:left="0" w:right="0" w:hanging="0"/>
              <w:jc w:val="left"/>
              <w:textAlignment w:val="auto"/>
              <w:rPr>
                <w:lang w:val="ro-MD"/>
              </w:rPr>
            </w:pPr>
            <w:r>
              <w:rPr>
                <w:bCs/>
                <w:i/>
                <w:lang w:val="ro-MD"/>
              </w:rPr>
              <w:t>Matematica: Caiet de teste sumative – clasa a 7-a</w:t>
            </w:r>
          </w:p>
        </w:tc>
      </w:tr>
      <w:tr>
        <w:trPr>
          <w:trHeight w:val="451" w:hRule="atLeast"/>
        </w:trPr>
        <w:tc>
          <w:tcPr>
            <w:tcW w:w="6743" w:type="dxa"/>
            <w:tcBorders>
              <w:top w:val="dotted" w:sz="4" w:space="0" w:color="000001"/>
              <w:left w:val="dotted" w:sz="4" w:space="0" w:color="000001"/>
              <w:bottom w:val="dotted" w:sz="4" w:space="0" w:color="000001"/>
              <w:right w:val="dotted" w:sz="4" w:space="0" w:color="000001"/>
              <w:insideH w:val="dotted" w:sz="4" w:space="0" w:color="000001"/>
              <w:insideV w:val="dotted" w:sz="4" w:space="0" w:color="000001"/>
            </w:tcBorders>
            <w:shd w:fill="auto" w:val="clear"/>
            <w:tcMar>
              <w:left w:w="103" w:type="dxa"/>
            </w:tcMar>
          </w:tcPr>
          <w:p>
            <w:pPr>
              <w:pStyle w:val="Normal"/>
              <w:widowControl/>
              <w:tabs>
                <w:tab w:val="left" w:pos="1065" w:leader="none"/>
                <w:tab w:val="left" w:pos="2201" w:leader="none"/>
              </w:tabs>
              <w:bidi w:val="0"/>
              <w:ind w:left="-250" w:right="0" w:hanging="0"/>
              <w:jc w:val="left"/>
              <w:textAlignment w:val="auto"/>
              <w:rPr/>
            </w:pPr>
            <w:r>
              <w:rPr>
                <w:sz w:val="22"/>
                <w:szCs w:val="22"/>
              </w:rPr>
              <w:t xml:space="preserve">  </w:t>
            </w:r>
            <w:r>
              <w:rPr>
                <w:sz w:val="22"/>
                <w:szCs w:val="22"/>
              </w:rPr>
              <w:t>15.817.02.03F</w:t>
            </w:r>
            <w:r>
              <w:rPr>
                <w:rFonts w:cs="Times New Roman CE" w:ascii="Times New Roman CE" w:hAnsi="Times New Roman CE"/>
                <w:sz w:val="22"/>
                <w:szCs w:val="22"/>
                <w:lang w:val="ro-RO"/>
              </w:rPr>
              <w:t xml:space="preserve"> “Invarianţii algebrici şi geometr</w:t>
            </w:r>
            <w:r>
              <w:rPr>
                <w:rFonts w:cs="Times New Roman CE" w:ascii="Times New Roman CE" w:hAnsi="Times New Roman CE"/>
                <w:sz w:val="22"/>
                <w:szCs w:val="22"/>
                <w:lang w:val="en-US"/>
              </w:rPr>
              <w:t>ici în studiul calitativ al sistemelor diferenţiale polinomiale</w:t>
            </w:r>
            <w:r>
              <w:rPr>
                <w:sz w:val="22"/>
                <w:szCs w:val="22"/>
                <w:lang w:val="en-US"/>
              </w:rPr>
              <w:t>”</w:t>
            </w:r>
          </w:p>
        </w:tc>
      </w:tr>
    </w:tbl>
    <w:p>
      <w:pPr>
        <w:pStyle w:val="Normal"/>
        <w:widowControl/>
        <w:tabs>
          <w:tab w:val="left" w:pos="1065" w:leader="none"/>
          <w:tab w:val="left" w:pos="2201" w:leader="none"/>
        </w:tabs>
        <w:bidi w:val="0"/>
        <w:ind w:left="0" w:right="0" w:hanging="0"/>
        <w:jc w:val="left"/>
        <w:textAlignment w:val="auto"/>
        <w:rPr>
          <w:lang w:val="ro-MD"/>
        </w:rPr>
      </w:pPr>
      <w:r>
        <w:rPr>
          <w:bCs/>
          <w:lang w:val="ro-MD"/>
        </w:rPr>
        <w:t xml:space="preserve"> </w:t>
      </w:r>
      <w:r>
        <w:rPr>
          <w:bCs/>
          <w:lang w:val="ro-MD"/>
        </w:rPr>
        <w:t xml:space="preserve">II. </w:t>
      </w:r>
      <w:r>
        <w:rPr>
          <w:rFonts w:cs="Times New Roman CE" w:ascii="Times New Roman CE" w:hAnsi="Times New Roman CE"/>
          <w:bCs/>
          <w:lang w:val="ro-MD"/>
        </w:rPr>
        <w:t>Denumirea şi codul proiectului în cadrul căruia a fost realizată</w:t>
      </w:r>
      <w:r>
        <w:rPr>
          <w:bCs/>
          <w:lang w:val="ro-MD"/>
        </w:rPr>
        <w:t xml:space="preserve"> lucrarea</w:t>
      </w:r>
    </w:p>
    <w:p>
      <w:pPr>
        <w:pStyle w:val="Normal"/>
        <w:widowControl/>
        <w:tabs>
          <w:tab w:val="left" w:pos="1065" w:leader="none"/>
          <w:tab w:val="left" w:pos="2201" w:leader="none"/>
        </w:tabs>
        <w:bidi w:val="0"/>
        <w:ind w:left="426" w:right="0" w:hanging="0"/>
        <w:jc w:val="left"/>
        <w:textAlignment w:val="auto"/>
        <w:rPr>
          <w:lang w:val="ro-MD"/>
        </w:rPr>
      </w:pPr>
      <w:r>
        <w:rPr>
          <w:rFonts w:cs="Times New Roman CE" w:ascii="Times New Roman CE" w:hAnsi="Times New Roman CE"/>
          <w:lang w:val="ro-MD"/>
        </w:rPr>
        <w:t xml:space="preserve"> </w:t>
      </w:r>
      <w:r>
        <w:rPr>
          <w:rFonts w:cs="Times New Roman CE" w:ascii="Times New Roman CE" w:hAnsi="Times New Roman CE"/>
          <w:lang w:val="ro-MD"/>
        </w:rPr>
        <w:t>III.  ISBN-ul lucrării</w:t>
      </w:r>
    </w:p>
    <w:tbl>
      <w:tblPr>
        <w:tblW w:w="7121" w:type="dxa"/>
        <w:jc w:val="left"/>
        <w:tblInd w:w="-109"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7121"/>
      </w:tblGrid>
      <w:tr>
        <w:trPr/>
        <w:tc>
          <w:tcPr>
            <w:tcW w:w="7121"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spacing w:lineRule="exact" w:line="360"/>
              <w:ind w:left="0" w:right="0" w:hanging="0"/>
              <w:jc w:val="left"/>
              <w:textAlignment w:val="auto"/>
              <w:rPr>
                <w:lang w:val="ro-MD"/>
              </w:rPr>
            </w:pPr>
            <w:r>
              <w:rPr>
                <w:bCs/>
                <w:lang w:val="ro-MD"/>
              </w:rPr>
              <w:t>978-9975-137-33-1</w:t>
            </w:r>
          </w:p>
        </w:tc>
      </w:tr>
      <w:tr>
        <w:trPr/>
        <w:tc>
          <w:tcPr>
            <w:tcW w:w="7121" w:type="dxa"/>
            <w:tcBorders>
              <w:top w:val="dotted" w:sz="4" w:space="0" w:color="000001"/>
              <w:left w:val="dotted" w:sz="4" w:space="0" w:color="000001"/>
              <w:bottom w:val="dotted" w:sz="4" w:space="0" w:color="000001"/>
              <w:right w:val="dotted" w:sz="4" w:space="0" w:color="000001"/>
              <w:insideH w:val="dotted" w:sz="4" w:space="0" w:color="000001"/>
              <w:insideV w:val="dotted" w:sz="4" w:space="0" w:color="000001"/>
            </w:tcBorders>
            <w:shd w:fill="auto" w:val="clear"/>
            <w:tcMar>
              <w:left w:w="103" w:type="dxa"/>
            </w:tcMar>
          </w:tcPr>
          <w:p>
            <w:pPr>
              <w:pStyle w:val="Normal"/>
              <w:widowControl/>
              <w:bidi w:val="0"/>
              <w:ind w:left="0" w:right="0" w:hanging="0"/>
              <w:jc w:val="left"/>
              <w:textAlignment w:val="auto"/>
              <w:rPr>
                <w:lang w:val="ro-MD"/>
              </w:rPr>
            </w:pPr>
            <w:r>
              <w:rPr>
                <w:sz w:val="22"/>
                <w:szCs w:val="22"/>
                <w:lang w:val="ro-MD"/>
              </w:rPr>
              <w:t>Stanislav CIUBOTARU. Mariana PL</w:t>
            </w:r>
            <w:r>
              <w:rPr>
                <w:rFonts w:cs="Times New Roman CE" w:ascii="Times New Roman CE" w:hAnsi="Times New Roman CE"/>
                <w:sz w:val="22"/>
                <w:szCs w:val="22"/>
                <w:lang w:val="ro-RO"/>
              </w:rPr>
              <w:t>ĂCINTĂ</w:t>
            </w:r>
          </w:p>
        </w:tc>
      </w:tr>
    </w:tbl>
    <w:p>
      <w:pPr>
        <w:pStyle w:val="Normal"/>
        <w:widowControl/>
        <w:tabs>
          <w:tab w:val="left" w:pos="1065" w:leader="none"/>
          <w:tab w:val="left" w:pos="2201" w:leader="none"/>
        </w:tabs>
        <w:bidi w:val="0"/>
        <w:spacing w:before="120" w:after="120"/>
        <w:ind w:left="0" w:right="0" w:hanging="0"/>
        <w:jc w:val="left"/>
        <w:textAlignment w:val="auto"/>
        <w:rPr>
          <w:lang w:val="ro-MD"/>
        </w:rPr>
      </w:pPr>
      <w:r>
        <w:rPr>
          <w:lang w:val="ro-MD"/>
        </w:rPr>
        <w:t>IV. Autorul (ii)</w:t>
      </w:r>
      <w:r>
        <w:rPr>
          <w:rFonts w:cs="Times New Roman CE" w:ascii="Times New Roman CE" w:hAnsi="Times New Roman CE"/>
          <w:bCs/>
          <w:lang w:val="ro-MD"/>
        </w:rPr>
        <w:t>lucrării</w:t>
      </w:r>
    </w:p>
    <w:p>
      <w:pPr>
        <w:pStyle w:val="Normal"/>
        <w:widowControl/>
        <w:tabs>
          <w:tab w:val="left" w:pos="1065" w:leader="none"/>
          <w:tab w:val="left" w:pos="2201" w:leader="none"/>
        </w:tabs>
        <w:bidi w:val="0"/>
        <w:spacing w:before="120" w:after="120"/>
        <w:ind w:left="426" w:right="0" w:hanging="0"/>
        <w:jc w:val="left"/>
        <w:textAlignment w:val="auto"/>
        <w:rPr>
          <w:b w:val="false"/>
          <w:b w:val="false"/>
          <w:lang w:val="ro-MD"/>
        </w:rPr>
      </w:pPr>
      <w:r>
        <w:rPr>
          <w:rStyle w:val="Strong"/>
          <w:b w:val="false"/>
          <w:color w:val="000000"/>
          <w:lang w:val="ro-MD" w:eastAsia="ru-RU" w:bidi="ar-SA"/>
        </w:rPr>
        <w:t xml:space="preserve"> </w:t>
      </w:r>
      <w:r>
        <w:rPr>
          <w:rStyle w:val="Strong"/>
          <w:b w:val="false"/>
          <w:color w:val="000000"/>
          <w:lang w:val="ro-MD" w:eastAsia="ru-RU" w:bidi="ar-SA"/>
        </w:rPr>
        <w:t xml:space="preserve">V. Descrierea </w:t>
      </w:r>
      <w:r>
        <w:rPr>
          <w:rFonts w:cs="Times New Roman CE" w:ascii="Times New Roman CE" w:hAnsi="Times New Roman CE"/>
          <w:lang w:val="ro-MD"/>
        </w:rPr>
        <w:t>ştiinţifică a lucrării (</w:t>
      </w:r>
      <w:r>
        <w:rPr>
          <w:rFonts w:cs="Times New Roman CE" w:ascii="Times New Roman CE" w:hAnsi="Times New Roman CE"/>
          <w:sz w:val="20"/>
          <w:szCs w:val="20"/>
          <w:lang w:val="ro-MD"/>
        </w:rPr>
        <w:t>până la 100 de cuvinte)</w:t>
      </w:r>
    </w:p>
    <w:tbl>
      <w:tblPr>
        <w:tblW w:w="7513" w:type="dxa"/>
        <w:jc w:val="left"/>
        <w:tblInd w:w="-109" w:type="dxa"/>
        <w:tblBorders>
          <w:top w:val="dotted" w:sz="4" w:space="0" w:color="000001"/>
          <w:left w:val="dotted" w:sz="4" w:space="0" w:color="000001"/>
          <w:bottom w:val="dotted" w:sz="4" w:space="0" w:color="000001"/>
          <w:right w:val="dotted" w:sz="4" w:space="0" w:color="000001"/>
          <w:insideH w:val="dotted" w:sz="4" w:space="0" w:color="000001"/>
          <w:insideV w:val="dotted" w:sz="4" w:space="0" w:color="000001"/>
        </w:tblBorders>
        <w:tblCellMar>
          <w:top w:w="0" w:type="dxa"/>
          <w:left w:w="103" w:type="dxa"/>
          <w:bottom w:w="0" w:type="dxa"/>
          <w:right w:w="108" w:type="dxa"/>
        </w:tblCellMar>
      </w:tblPr>
      <w:tblGrid>
        <w:gridCol w:w="7513"/>
      </w:tblGrid>
      <w:tr>
        <w:trPr/>
        <w:tc>
          <w:tcPr>
            <w:tcW w:w="7513" w:type="dxa"/>
            <w:tcBorders>
              <w:top w:val="dotted" w:sz="4" w:space="0" w:color="000001"/>
              <w:left w:val="dotted" w:sz="4" w:space="0" w:color="000001"/>
              <w:bottom w:val="dotted" w:sz="4" w:space="0" w:color="000001"/>
              <w:right w:val="dotted" w:sz="4" w:space="0" w:color="000001"/>
              <w:insideH w:val="dotted" w:sz="4" w:space="0" w:color="000001"/>
              <w:insideV w:val="dotted" w:sz="4" w:space="0" w:color="000001"/>
            </w:tcBorders>
            <w:shd w:fill="auto" w:val="clear"/>
            <w:tcMar>
              <w:left w:w="103" w:type="dxa"/>
            </w:tcMar>
          </w:tcPr>
          <w:p>
            <w:pPr>
              <w:pStyle w:val="Normal"/>
              <w:widowControl/>
              <w:bidi w:val="0"/>
              <w:ind w:left="0" w:right="0" w:hanging="0"/>
              <w:jc w:val="both"/>
              <w:textAlignment w:val="auto"/>
              <w:rPr>
                <w:lang w:val="ro-MD"/>
              </w:rPr>
            </w:pPr>
            <w:r>
              <w:rPr>
                <w:rFonts w:cs="Times New Roman CE" w:ascii="Times New Roman CE" w:hAnsi="Times New Roman CE"/>
                <w:bCs/>
                <w:lang w:val="ro-MD"/>
              </w:rPr>
              <w:t>Această culegere con</w:t>
            </w:r>
            <w:r>
              <w:rPr>
                <w:rFonts w:cs="Cambria Math" w:ascii="Cambria Math" w:hAnsi="Cambria Math"/>
                <w:bCs/>
                <w:lang w:val="ro-MD"/>
              </w:rPr>
              <w:t>ț</w:t>
            </w:r>
            <w:r>
              <w:rPr>
                <w:bCs/>
                <w:lang w:val="ro-MD"/>
              </w:rPr>
              <w:t xml:space="preserve">ine 12 teste </w:t>
            </w:r>
            <w:r>
              <w:rPr>
                <w:rFonts w:cs="Cambria Math" w:ascii="Cambria Math" w:hAnsi="Cambria Math"/>
                <w:bCs/>
                <w:lang w:val="ro-MD"/>
              </w:rPr>
              <w:t>ș</w:t>
            </w:r>
            <w:r>
              <w:rPr>
                <w:rFonts w:cs="Times New Roman CE" w:ascii="Times New Roman CE" w:hAnsi="Times New Roman CE"/>
                <w:bCs/>
                <w:lang w:val="ro-MD"/>
              </w:rPr>
              <w:t>i este destinată elevilor din clasa a 7-a</w:t>
            </w:r>
            <w:r>
              <w:rPr>
                <w:bCs/>
                <w:lang w:val="ro-MD"/>
              </w:rPr>
              <w:t xml:space="preserve">, precum </w:t>
            </w:r>
            <w:r>
              <w:rPr>
                <w:rFonts w:cs="Cambria Math" w:ascii="Cambria Math" w:hAnsi="Cambria Math"/>
                <w:bCs/>
                <w:lang w:val="ro-MD"/>
              </w:rPr>
              <w:t>ș</w:t>
            </w:r>
            <w:r>
              <w:rPr>
                <w:rFonts w:cs="Times New Roman CE" w:ascii="Times New Roman CE" w:hAnsi="Times New Roman CE"/>
                <w:bCs/>
                <w:lang w:val="ro-MD"/>
              </w:rPr>
              <w:t xml:space="preserve">i profesorilor de matematică. Elaborate conform curriculumului modernizat la matematică </w:t>
            </w:r>
            <w:r>
              <w:rPr>
                <w:rFonts w:cs="Cambria Math" w:ascii="Cambria Math" w:hAnsi="Cambria Math"/>
                <w:bCs/>
                <w:lang w:val="ro-MD"/>
              </w:rPr>
              <w:t>ș</w:t>
            </w:r>
            <w:r>
              <w:rPr>
                <w:bCs/>
                <w:lang w:val="ro-MD"/>
              </w:rPr>
              <w:t>i axate pe formarea de competen</w:t>
            </w:r>
            <w:r>
              <w:rPr>
                <w:rFonts w:cs="Cambria Math" w:ascii="Cambria Math" w:hAnsi="Cambria Math"/>
                <w:bCs/>
                <w:lang w:val="ro-MD"/>
              </w:rPr>
              <w:t>ț</w:t>
            </w:r>
            <w:r>
              <w:rPr>
                <w:rFonts w:cs="Times New Roman CE" w:ascii="Times New Roman CE" w:hAnsi="Times New Roman CE"/>
                <w:bCs/>
                <w:lang w:val="ro-MD"/>
              </w:rPr>
              <w:t>e, testele au o maximă similitudine cu cele propuse de regulă în cadrul examenului de absolvire a treptei gimnaziale. Culegerea va fi utilă atâ</w:t>
            </w:r>
            <w:bookmarkStart w:id="131" w:name="_GoBack"/>
            <w:bookmarkEnd w:id="131"/>
            <w:r>
              <w:rPr>
                <w:rFonts w:cs="Times New Roman CE" w:ascii="Times New Roman CE" w:hAnsi="Times New Roman CE"/>
                <w:bCs/>
                <w:lang w:val="ro-MD"/>
              </w:rPr>
              <w:t xml:space="preserve">t elevilor, în cadrul evaluărilor sumative, cât </w:t>
            </w:r>
            <w:r>
              <w:rPr>
                <w:rFonts w:cs="Cambria Math" w:ascii="Cambria Math" w:hAnsi="Cambria Math"/>
                <w:bCs/>
                <w:lang w:val="ro-MD"/>
              </w:rPr>
              <w:t>ș</w:t>
            </w:r>
            <w:r>
              <w:rPr>
                <w:rFonts w:cs="Times New Roman CE" w:ascii="Times New Roman CE" w:hAnsi="Times New Roman CE"/>
                <w:bCs/>
                <w:lang w:val="ro-MD"/>
              </w:rPr>
              <w:t>i profesorilor, asigurându-i cu material didactic necesar pentru organizarea procesului instructiv la lec</w:t>
            </w:r>
            <w:r>
              <w:rPr>
                <w:rFonts w:cs="Cambria Math" w:ascii="Cambria Math" w:hAnsi="Cambria Math"/>
                <w:bCs/>
                <w:lang w:val="ro-MD"/>
              </w:rPr>
              <w:t>ț</w:t>
            </w:r>
            <w:r>
              <w:rPr>
                <w:rFonts w:cs="Times New Roman CE" w:ascii="Times New Roman CE" w:hAnsi="Times New Roman CE"/>
                <w:bCs/>
                <w:lang w:val="ro-MD"/>
              </w:rPr>
              <w:t>iile de matematică.</w:t>
            </w:r>
          </w:p>
        </w:tc>
      </w:tr>
    </w:tbl>
    <w:p>
      <w:pPr>
        <w:pStyle w:val="Normal"/>
        <w:widowControl/>
        <w:tabs>
          <w:tab w:val="left" w:pos="1065" w:leader="none"/>
          <w:tab w:val="left" w:pos="2201" w:leader="none"/>
        </w:tabs>
        <w:bidi w:val="0"/>
        <w:spacing w:before="120" w:after="120"/>
        <w:ind w:left="0" w:right="0" w:hanging="0"/>
        <w:jc w:val="left"/>
        <w:textAlignment w:val="auto"/>
        <w:rPr>
          <w:rStyle w:val="Strong"/>
          <w:rFonts w:ascii="Times New Roman" w:hAnsi="Times New Roman"/>
          <w:b w:val="false"/>
          <w:b w:val="false"/>
          <w:lang w:val="ro-MD" w:eastAsia="ru-RU" w:bidi="ar-SA"/>
        </w:rPr>
      </w:pPr>
      <w:r>
        <w:rPr>
          <w:b w:val="false"/>
          <w:lang w:val="ro-MD" w:eastAsia="ru-RU" w:bidi="ar-SA"/>
        </w:rPr>
      </w:r>
    </w:p>
    <w:p>
      <w:pPr>
        <w:pStyle w:val="Normal"/>
        <w:widowControl/>
        <w:tabs>
          <w:tab w:val="left" w:pos="1065" w:leader="none"/>
          <w:tab w:val="left" w:pos="2201" w:leader="none"/>
        </w:tabs>
        <w:bidi w:val="0"/>
        <w:spacing w:before="120" w:after="120"/>
        <w:ind w:left="0" w:right="0" w:hanging="0"/>
        <w:jc w:val="left"/>
        <w:textAlignment w:val="auto"/>
        <w:rPr>
          <w:rStyle w:val="Strong"/>
          <w:rFonts w:ascii="Times New Roman" w:hAnsi="Times New Roman"/>
          <w:b w:val="false"/>
          <w:b w:val="false"/>
          <w:lang w:val="ro-MD" w:eastAsia="ru-RU" w:bidi="ar-SA"/>
        </w:rPr>
      </w:pPr>
      <w:r>
        <w:rPr>
          <w:b w:val="false"/>
          <w:lang w:val="ro-MD" w:eastAsia="ru-RU" w:bidi="ar-SA"/>
        </w:rPr>
      </w:r>
    </w:p>
    <w:p>
      <w:pPr>
        <w:pStyle w:val="Normal"/>
        <w:widowControl/>
        <w:tabs>
          <w:tab w:val="left" w:pos="1065" w:leader="none"/>
          <w:tab w:val="left" w:pos="2201" w:leader="none"/>
        </w:tabs>
        <w:bidi w:val="0"/>
        <w:spacing w:before="120" w:after="120"/>
        <w:ind w:left="0" w:right="0" w:hanging="0"/>
        <w:jc w:val="left"/>
        <w:textAlignment w:val="auto"/>
        <w:rPr>
          <w:rStyle w:val="Strong"/>
          <w:rFonts w:ascii="Times New Roman" w:hAnsi="Times New Roman"/>
          <w:b w:val="false"/>
          <w:b w:val="false"/>
          <w:lang w:val="ro-MD" w:eastAsia="ru-RU" w:bidi="ar-SA"/>
        </w:rPr>
      </w:pPr>
      <w:r>
        <w:rPr>
          <w:b w:val="false"/>
          <w:lang w:val="ro-MD" w:eastAsia="ru-RU" w:bidi="ar-SA"/>
        </w:rPr>
      </w:r>
    </w:p>
    <w:p>
      <w:pPr>
        <w:pStyle w:val="Normal"/>
        <w:widowControl/>
        <w:tabs>
          <w:tab w:val="left" w:pos="1065" w:leader="none"/>
          <w:tab w:val="left" w:pos="2201" w:leader="none"/>
        </w:tabs>
        <w:bidi w:val="0"/>
        <w:spacing w:before="120" w:after="120"/>
        <w:ind w:left="0" w:right="0" w:hanging="0"/>
        <w:jc w:val="left"/>
        <w:textAlignment w:val="auto"/>
        <w:rPr>
          <w:rStyle w:val="Strong"/>
          <w:rFonts w:ascii="Times New Roman" w:hAnsi="Times New Roman"/>
          <w:b w:val="false"/>
          <w:b w:val="false"/>
          <w:lang w:val="ro-MD" w:eastAsia="ru-RU" w:bidi="ar-SA"/>
        </w:rPr>
      </w:pPr>
      <w:r>
        <w:rPr>
          <w:b w:val="false"/>
          <w:lang w:val="ro-MD" w:eastAsia="ru-RU" w:bidi="ar-SA"/>
        </w:rPr>
      </w:r>
    </w:p>
    <w:p>
      <w:pPr>
        <w:pStyle w:val="Normal"/>
        <w:widowControl/>
        <w:tabs>
          <w:tab w:val="left" w:pos="1065" w:leader="none"/>
          <w:tab w:val="left" w:pos="2201" w:leader="none"/>
        </w:tabs>
        <w:bidi w:val="0"/>
        <w:spacing w:before="120" w:after="120"/>
        <w:ind w:left="0" w:right="0" w:hanging="0"/>
        <w:jc w:val="left"/>
        <w:textAlignment w:val="auto"/>
        <w:rPr>
          <w:rStyle w:val="Strong"/>
          <w:rFonts w:ascii="Times New Roman" w:hAnsi="Times New Roman"/>
          <w:b w:val="false"/>
          <w:b w:val="false"/>
          <w:lang w:val="ro-MD" w:eastAsia="ru-RU" w:bidi="ar-SA"/>
        </w:rPr>
      </w:pPr>
      <w:r>
        <w:rPr>
          <w:b w:val="false"/>
          <w:lang w:val="ro-MD" w:eastAsia="ru-RU" w:bidi="ar-SA"/>
        </w:rPr>
      </w:r>
    </w:p>
    <w:p>
      <w:pPr>
        <w:pStyle w:val="Normal"/>
        <w:widowControl/>
        <w:tabs>
          <w:tab w:val="left" w:pos="1065" w:leader="none"/>
          <w:tab w:val="left" w:pos="2201" w:leader="none"/>
        </w:tabs>
        <w:bidi w:val="0"/>
        <w:spacing w:before="120" w:after="120"/>
        <w:ind w:left="0" w:right="0" w:hanging="0"/>
        <w:jc w:val="left"/>
        <w:textAlignment w:val="auto"/>
        <w:rPr>
          <w:rStyle w:val="Strong"/>
          <w:rFonts w:ascii="Times New Roman" w:hAnsi="Times New Roman"/>
          <w:b w:val="false"/>
          <w:b w:val="false"/>
          <w:lang w:val="ro-MD" w:eastAsia="ru-RU" w:bidi="ar-SA"/>
        </w:rPr>
      </w:pPr>
      <w:r>
        <w:rPr>
          <w:b w:val="false"/>
          <w:lang w:val="ro-MD" w:eastAsia="ru-RU" w:bidi="ar-SA"/>
        </w:rPr>
      </w:r>
    </w:p>
    <w:p>
      <w:pPr>
        <w:pStyle w:val="Normal"/>
        <w:widowControl/>
        <w:tabs>
          <w:tab w:val="left" w:pos="1065" w:leader="none"/>
          <w:tab w:val="left" w:pos="2201" w:leader="none"/>
        </w:tabs>
        <w:bidi w:val="0"/>
        <w:spacing w:before="120" w:after="120"/>
        <w:ind w:left="0" w:right="0" w:hanging="0"/>
        <w:jc w:val="left"/>
        <w:textAlignment w:val="auto"/>
        <w:rPr>
          <w:rStyle w:val="Strong"/>
          <w:rFonts w:ascii="Times New Roman" w:hAnsi="Times New Roman"/>
          <w:b w:val="false"/>
          <w:b w:val="false"/>
          <w:lang w:val="ro-MD" w:eastAsia="ru-RU" w:bidi="ar-SA"/>
        </w:rPr>
      </w:pPr>
      <w:r>
        <w:rPr>
          <w:b w:val="false"/>
          <w:lang w:val="ro-MD" w:eastAsia="ru-RU" w:bidi="ar-SA"/>
        </w:rPr>
      </w:r>
    </w:p>
    <w:p>
      <w:pPr>
        <w:pStyle w:val="Normal"/>
        <w:widowControl/>
        <w:tabs>
          <w:tab w:val="left" w:pos="1065" w:leader="none"/>
          <w:tab w:val="left" w:pos="2201" w:leader="none"/>
        </w:tabs>
        <w:bidi w:val="0"/>
        <w:spacing w:before="120" w:after="120"/>
        <w:ind w:left="0" w:right="0" w:hanging="0"/>
        <w:jc w:val="left"/>
        <w:textAlignment w:val="auto"/>
        <w:rPr>
          <w:rStyle w:val="Strong"/>
          <w:rFonts w:ascii="Times New Roman" w:hAnsi="Times New Roman"/>
          <w:b w:val="false"/>
          <w:b w:val="false"/>
          <w:lang w:val="ro-MD" w:eastAsia="ru-RU" w:bidi="ar-SA"/>
        </w:rPr>
      </w:pPr>
      <w:r>
        <w:rPr>
          <w:b w:val="false"/>
          <w:lang w:val="ro-MD" w:eastAsia="ru-RU" w:bidi="ar-SA"/>
        </w:rPr>
      </w:r>
    </w:p>
    <w:p>
      <w:pPr>
        <w:pStyle w:val="Normal"/>
        <w:widowControl/>
        <w:tabs>
          <w:tab w:val="left" w:pos="1065" w:leader="none"/>
          <w:tab w:val="left" w:pos="2201" w:leader="none"/>
        </w:tabs>
        <w:bidi w:val="0"/>
        <w:spacing w:before="120" w:after="120"/>
        <w:ind w:left="0" w:right="0" w:hanging="0"/>
        <w:jc w:val="left"/>
        <w:textAlignment w:val="auto"/>
        <w:rPr>
          <w:rStyle w:val="Strong"/>
          <w:rFonts w:ascii="Times New Roman" w:hAnsi="Times New Roman"/>
          <w:b w:val="false"/>
          <w:b w:val="false"/>
          <w:lang w:val="ro-MD" w:eastAsia="ru-RU" w:bidi="ar-SA"/>
        </w:rPr>
      </w:pPr>
      <w:r>
        <w:rPr>
          <w:b w:val="false"/>
          <w:lang w:val="ro-MD" w:eastAsia="ru-RU" w:bidi="ar-SA"/>
        </w:rPr>
      </w:r>
    </w:p>
    <w:p>
      <w:pPr>
        <w:pStyle w:val="Normal"/>
        <w:widowControl/>
        <w:tabs>
          <w:tab w:val="left" w:pos="1065" w:leader="none"/>
          <w:tab w:val="left" w:pos="2201" w:leader="none"/>
        </w:tabs>
        <w:bidi w:val="0"/>
        <w:spacing w:before="120" w:after="120"/>
        <w:ind w:left="0" w:right="0" w:hanging="0"/>
        <w:jc w:val="left"/>
        <w:textAlignment w:val="auto"/>
        <w:rPr>
          <w:rStyle w:val="Strong"/>
          <w:rFonts w:ascii="Times New Roman" w:hAnsi="Times New Roman"/>
          <w:b w:val="false"/>
          <w:b w:val="false"/>
          <w:lang w:val="ro-MD" w:eastAsia="ru-RU" w:bidi="ar-SA"/>
        </w:rPr>
      </w:pPr>
      <w:r>
        <w:rPr>
          <w:b w:val="false"/>
          <w:lang w:val="ro-MD" w:eastAsia="ru-RU" w:bidi="ar-SA"/>
        </w:rPr>
      </w:r>
    </w:p>
    <w:p>
      <w:pPr>
        <w:pStyle w:val="Normal"/>
        <w:widowControl/>
        <w:tabs>
          <w:tab w:val="left" w:pos="1065" w:leader="none"/>
          <w:tab w:val="left" w:pos="2201" w:leader="none"/>
        </w:tabs>
        <w:bidi w:val="0"/>
        <w:spacing w:before="120" w:after="120"/>
        <w:ind w:left="0" w:right="0" w:hanging="0"/>
        <w:jc w:val="left"/>
        <w:textAlignment w:val="auto"/>
        <w:rPr>
          <w:rStyle w:val="Strong"/>
          <w:rFonts w:ascii="Times New Roman" w:hAnsi="Times New Roman"/>
          <w:b w:val="false"/>
          <w:b w:val="false"/>
          <w:lang w:val="ro-MD" w:eastAsia="ru-RU" w:bidi="ar-SA"/>
        </w:rPr>
      </w:pPr>
      <w:r>
        <w:rPr>
          <w:b w:val="false"/>
          <w:lang w:val="ro-MD" w:eastAsia="ru-RU" w:bidi="ar-SA"/>
        </w:rPr>
      </w:r>
    </w:p>
    <w:p>
      <w:pPr>
        <w:pStyle w:val="Normal"/>
        <w:widowControl/>
        <w:tabs>
          <w:tab w:val="left" w:pos="1065" w:leader="none"/>
          <w:tab w:val="left" w:pos="2201" w:leader="none"/>
        </w:tabs>
        <w:bidi w:val="0"/>
        <w:spacing w:before="120" w:after="120"/>
        <w:ind w:left="0" w:right="0" w:hanging="0"/>
        <w:jc w:val="left"/>
        <w:textAlignment w:val="auto"/>
        <w:rPr>
          <w:rStyle w:val="Strong"/>
          <w:rFonts w:ascii="Times New Roman" w:hAnsi="Times New Roman"/>
          <w:b w:val="false"/>
          <w:b w:val="false"/>
          <w:lang w:val="ro-MD" w:eastAsia="ru-RU" w:bidi="ar-SA"/>
        </w:rPr>
      </w:pPr>
      <w:r>
        <w:rPr>
          <w:b w:val="false"/>
          <w:lang w:val="ro-MD" w:eastAsia="ru-RU" w:bidi="ar-SA"/>
        </w:rPr>
      </w:r>
    </w:p>
    <w:p>
      <w:pPr>
        <w:pStyle w:val="Normal"/>
        <w:widowControl/>
        <w:tabs>
          <w:tab w:val="left" w:pos="1065" w:leader="none"/>
          <w:tab w:val="left" w:pos="2201" w:leader="none"/>
        </w:tabs>
        <w:bidi w:val="0"/>
        <w:spacing w:before="120" w:after="120"/>
        <w:ind w:left="0" w:right="0" w:hanging="0"/>
        <w:jc w:val="left"/>
        <w:textAlignment w:val="auto"/>
        <w:rPr>
          <w:rStyle w:val="Strong"/>
          <w:rFonts w:ascii="Times New Roman" w:hAnsi="Times New Roman"/>
          <w:b w:val="false"/>
          <w:b w:val="false"/>
          <w:lang w:val="ro-MD" w:eastAsia="ru-RU" w:bidi="ar-SA"/>
        </w:rPr>
      </w:pPr>
      <w:r>
        <w:rPr>
          <w:b w:val="false"/>
          <w:lang w:val="ro-MD" w:eastAsia="ru-RU" w:bidi="ar-SA"/>
        </w:rPr>
      </w:r>
    </w:p>
    <w:p>
      <w:pPr>
        <w:pStyle w:val="Normal"/>
        <w:widowControl/>
        <w:tabs>
          <w:tab w:val="left" w:pos="1065" w:leader="none"/>
          <w:tab w:val="left" w:pos="2201" w:leader="none"/>
        </w:tabs>
        <w:bidi w:val="0"/>
        <w:spacing w:before="120" w:after="120"/>
        <w:ind w:left="0" w:right="0" w:hanging="0"/>
        <w:jc w:val="left"/>
        <w:textAlignment w:val="auto"/>
        <w:rPr>
          <w:rStyle w:val="Strong"/>
          <w:rFonts w:ascii="Times New Roman" w:hAnsi="Times New Roman"/>
          <w:b w:val="false"/>
          <w:b w:val="false"/>
          <w:lang w:val="ro-MD" w:eastAsia="ru-RU" w:bidi="ar-SA"/>
        </w:rPr>
      </w:pPr>
      <w:r>
        <w:rPr>
          <w:b w:val="false"/>
          <w:lang w:val="ro-MD" w:eastAsia="ru-RU" w:bidi="ar-SA"/>
        </w:rPr>
      </w:r>
    </w:p>
    <w:p>
      <w:pPr>
        <w:pStyle w:val="Normal"/>
        <w:widowControl/>
        <w:tabs>
          <w:tab w:val="left" w:pos="1065" w:leader="none"/>
          <w:tab w:val="left" w:pos="2201" w:leader="none"/>
        </w:tabs>
        <w:bidi w:val="0"/>
        <w:spacing w:before="120" w:after="120"/>
        <w:ind w:left="0" w:right="0" w:hanging="0"/>
        <w:jc w:val="left"/>
        <w:textAlignment w:val="auto"/>
        <w:rPr>
          <w:rStyle w:val="Strong"/>
          <w:rFonts w:ascii="Times New Roman" w:hAnsi="Times New Roman"/>
          <w:b w:val="false"/>
          <w:b w:val="false"/>
          <w:lang w:val="ro-MD" w:eastAsia="ru-RU" w:bidi="ar-SA"/>
        </w:rPr>
      </w:pPr>
      <w:r>
        <w:rPr>
          <w:b w:val="false"/>
          <w:lang w:val="ro-MD" w:eastAsia="ru-RU" w:bidi="ar-SA"/>
        </w:rPr>
      </w:r>
    </w:p>
    <w:p>
      <w:pPr>
        <w:pStyle w:val="Normal"/>
        <w:widowControl/>
        <w:tabs>
          <w:tab w:val="left" w:pos="1065" w:leader="none"/>
          <w:tab w:val="left" w:pos="2201" w:leader="none"/>
        </w:tabs>
        <w:bidi w:val="0"/>
        <w:spacing w:before="120" w:after="120"/>
        <w:ind w:left="0" w:right="0" w:hanging="0"/>
        <w:jc w:val="left"/>
        <w:textAlignment w:val="auto"/>
        <w:rPr>
          <w:rStyle w:val="Strong"/>
          <w:rFonts w:ascii="Times New Roman" w:hAnsi="Times New Roman"/>
          <w:b w:val="false"/>
          <w:b w:val="false"/>
          <w:lang w:val="ro-MD" w:eastAsia="ru-RU" w:bidi="ar-SA"/>
        </w:rPr>
      </w:pPr>
      <w:r>
        <w:rPr>
          <w:b w:val="false"/>
          <w:lang w:val="ro-MD" w:eastAsia="ru-RU" w:bidi="ar-SA"/>
        </w:rPr>
      </w:r>
    </w:p>
    <w:p>
      <w:pPr>
        <w:pStyle w:val="Normal"/>
        <w:widowControl/>
        <w:tabs>
          <w:tab w:val="left" w:pos="1065" w:leader="none"/>
          <w:tab w:val="left" w:pos="2201" w:leader="none"/>
        </w:tabs>
        <w:bidi w:val="0"/>
        <w:spacing w:before="120" w:after="120"/>
        <w:ind w:left="0" w:right="0" w:hanging="0"/>
        <w:jc w:val="left"/>
        <w:textAlignment w:val="auto"/>
        <w:rPr>
          <w:rStyle w:val="Strong"/>
          <w:rFonts w:ascii="Times New Roman" w:hAnsi="Times New Roman"/>
          <w:b w:val="false"/>
          <w:b w:val="false"/>
          <w:lang w:val="ro-MD" w:eastAsia="ru-RU" w:bidi="ar-SA"/>
        </w:rPr>
      </w:pPr>
      <w:r>
        <w:rPr>
          <w:b w:val="false"/>
          <w:lang w:val="ro-MD" w:eastAsia="ru-RU" w:bidi="ar-SA"/>
        </w:rPr>
      </w:r>
    </w:p>
    <w:p>
      <w:pPr>
        <w:pStyle w:val="Normal"/>
        <w:widowControl/>
        <w:tabs>
          <w:tab w:val="left" w:pos="1065" w:leader="none"/>
          <w:tab w:val="left" w:pos="2201" w:leader="none"/>
        </w:tabs>
        <w:bidi w:val="0"/>
        <w:spacing w:before="120" w:after="120"/>
        <w:ind w:left="0" w:right="0" w:hanging="0"/>
        <w:jc w:val="left"/>
        <w:textAlignment w:val="auto"/>
        <w:rPr>
          <w:rStyle w:val="Strong"/>
          <w:rFonts w:ascii="Times New Roman" w:hAnsi="Times New Roman"/>
          <w:b w:val="false"/>
          <w:b w:val="false"/>
          <w:lang w:val="ro-MD" w:eastAsia="ru-RU" w:bidi="ar-SA"/>
        </w:rPr>
      </w:pPr>
      <w:r>
        <w:rPr>
          <w:b w:val="false"/>
          <w:lang w:val="ro-MD" w:eastAsia="ru-RU" w:bidi="ar-SA"/>
        </w:rPr>
      </w:r>
    </w:p>
    <w:p>
      <w:pPr>
        <w:pStyle w:val="2"/>
        <w:keepNext/>
        <w:widowControl/>
        <w:numPr>
          <w:ilvl w:val="0"/>
          <w:numId w:val="0"/>
        </w:numPr>
        <w:bidi w:val="0"/>
        <w:ind w:left="0" w:right="0" w:hanging="0"/>
        <w:jc w:val="left"/>
        <w:textAlignment w:val="auto"/>
        <w:outlineLvl w:val="1"/>
        <w:rPr>
          <w:lang w:val="it-IT"/>
        </w:rPr>
      </w:pPr>
      <w:bookmarkStart w:id="132" w:name="_Toc469651916"/>
      <w:bookmarkEnd w:id="132"/>
      <w:r>
        <w:rPr>
          <w:i/>
          <w:sz w:val="26"/>
          <w:lang w:val="it-IT" w:eastAsia="ru-RU"/>
        </w:rPr>
        <w:t>Matematici Aplicate/ Note de curs</w:t>
      </w:r>
    </w:p>
    <w:p>
      <w:pPr>
        <w:pStyle w:val="Normal"/>
        <w:widowControl/>
        <w:bidi w:val="0"/>
        <w:ind w:left="0" w:right="0" w:hanging="0"/>
        <w:jc w:val="left"/>
        <w:textAlignment w:val="auto"/>
        <w:rPr>
          <w:rFonts w:ascii="Times New Roman" w:hAnsi="Times New Roman"/>
          <w:lang w:val="it-IT"/>
        </w:rPr>
      </w:pPr>
      <w:r>
        <w:rPr>
          <w:lang w:val="it-IT"/>
        </w:rPr>
      </w:r>
    </w:p>
    <w:tbl>
      <w:tblPr>
        <w:tblW w:w="9649" w:type="dxa"/>
        <w:jc w:val="left"/>
        <w:tblInd w:w="-109" w:type="dxa"/>
        <w:tblBorders>
          <w:bottom w:val="inset" w:sz="6" w:space="0" w:color="FFFFFF"/>
          <w:insideH w:val="inset" w:sz="6" w:space="0" w:color="FFFFFF"/>
        </w:tblBorders>
        <w:tblCellMar>
          <w:top w:w="0" w:type="dxa"/>
          <w:left w:w="108" w:type="dxa"/>
          <w:bottom w:w="0" w:type="dxa"/>
          <w:right w:w="108" w:type="dxa"/>
        </w:tblCellMar>
      </w:tblPr>
      <w:tblGrid>
        <w:gridCol w:w="9649"/>
      </w:tblGrid>
      <w:tr>
        <w:trPr>
          <w:trHeight w:val="4716" w:hRule="atLeast"/>
        </w:trPr>
        <w:tc>
          <w:tcPr>
            <w:tcW w:w="9649" w:type="dxa"/>
            <w:tcBorders>
              <w:bottom w:val="inset" w:sz="6" w:space="0" w:color="FFFFFF"/>
              <w:insideH w:val="inset" w:sz="6" w:space="0" w:color="FFFFFF"/>
            </w:tcBorders>
            <w:shd w:fill="auto" w:val="clear"/>
          </w:tcPr>
          <w:p>
            <w:pPr>
              <w:pStyle w:val="Normal"/>
              <w:widowControl/>
              <w:bidi w:val="0"/>
              <w:ind w:left="114" w:right="0" w:hanging="0"/>
              <w:jc w:val="left"/>
              <w:textAlignment w:val="auto"/>
              <w:rPr>
                <w:rFonts w:ascii="Times New Roman" w:hAnsi="Times New Roman"/>
                <w:bCs/>
                <w:i/>
                <w:i/>
                <w:lang w:val="ro-MD"/>
              </w:rPr>
            </w:pPr>
            <w:r>
              <w:rPr/>
              <w:drawing>
                <wp:inline distT="0" distB="0" distL="0" distR="0">
                  <wp:extent cx="2816860" cy="2868930"/>
                  <wp:effectExtent l="0" t="0" r="0" b="0"/>
                  <wp:docPr id="21" name="Изображение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0" descr=""/>
                          <pic:cNvPicPr>
                            <a:picLocks noChangeAspect="1" noChangeArrowheads="1"/>
                          </pic:cNvPicPr>
                        </pic:nvPicPr>
                        <pic:blipFill>
                          <a:blip r:embed="rId63"/>
                          <a:stretch>
                            <a:fillRect/>
                          </a:stretch>
                        </pic:blipFill>
                        <pic:spPr bwMode="auto">
                          <a:xfrm>
                            <a:off x="0" y="0"/>
                            <a:ext cx="2816860" cy="2868930"/>
                          </a:xfrm>
                          <a:prstGeom prst="rect">
                            <a:avLst/>
                          </a:prstGeom>
                        </pic:spPr>
                      </pic:pic>
                    </a:graphicData>
                  </a:graphic>
                </wp:inline>
              </w:drawing>
            </w:r>
            <w:r>
              <w:rPr/>
              <w:drawing>
                <wp:inline distT="0" distB="0" distL="0" distR="0">
                  <wp:extent cx="2855595" cy="2915920"/>
                  <wp:effectExtent l="0" t="0" r="0" b="0"/>
                  <wp:docPr id="22" name="Изображение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21" descr=""/>
                          <pic:cNvPicPr>
                            <a:picLocks noChangeAspect="1" noChangeArrowheads="1"/>
                          </pic:cNvPicPr>
                        </pic:nvPicPr>
                        <pic:blipFill>
                          <a:blip r:embed="rId64"/>
                          <a:stretch>
                            <a:fillRect/>
                          </a:stretch>
                        </pic:blipFill>
                        <pic:spPr bwMode="auto">
                          <a:xfrm>
                            <a:off x="0" y="0"/>
                            <a:ext cx="2855595" cy="2915920"/>
                          </a:xfrm>
                          <a:prstGeom prst="rect">
                            <a:avLst/>
                          </a:prstGeom>
                        </pic:spPr>
                      </pic:pic>
                    </a:graphicData>
                  </a:graphic>
                </wp:inline>
              </w:drawing>
            </w:r>
          </w:p>
        </w:tc>
      </w:tr>
    </w:tbl>
    <w:p>
      <w:pPr>
        <w:pStyle w:val="ListParagraph"/>
        <w:widowControl/>
        <w:numPr>
          <w:ilvl w:val="0"/>
          <w:numId w:val="75"/>
        </w:numPr>
        <w:tabs>
          <w:tab w:val="left" w:pos="606" w:leader="none"/>
          <w:tab w:val="left" w:pos="1065" w:leader="none"/>
          <w:tab w:val="left" w:pos="2201" w:leader="none"/>
        </w:tabs>
        <w:bidi w:val="0"/>
        <w:spacing w:before="0" w:after="0"/>
        <w:ind w:left="606" w:right="0" w:hanging="0"/>
        <w:contextualSpacing/>
        <w:jc w:val="left"/>
        <w:textAlignment w:val="auto"/>
        <w:rPr>
          <w:lang w:val="ro-MD"/>
        </w:rPr>
      </w:pPr>
      <w:r>
        <w:rPr>
          <w:bCs/>
          <w:lang w:val="ro-MD"/>
        </w:rPr>
        <w:t>Denum</w:t>
      </w:r>
      <w:r>
        <w:rPr>
          <w:rFonts w:cs="Times New Roman CE" w:ascii="Times New Roman CE" w:hAnsi="Times New Roman CE"/>
          <w:bCs/>
          <w:lang w:val="ro-MD"/>
        </w:rPr>
        <w:t>irea şi tipul lucrării</w:t>
      </w:r>
    </w:p>
    <w:tbl>
      <w:tblPr>
        <w:tblW w:w="9598" w:type="dxa"/>
        <w:jc w:val="left"/>
        <w:tblInd w:w="-109" w:type="dxa"/>
        <w:tblBorders>
          <w:top w:val="dotted" w:sz="4" w:space="0" w:color="000001"/>
          <w:left w:val="dotted" w:sz="4" w:space="0" w:color="000001"/>
          <w:bottom w:val="dotted" w:sz="4" w:space="0" w:color="000001"/>
          <w:right w:val="dotted" w:sz="4" w:space="0" w:color="000001"/>
          <w:insideH w:val="dotted" w:sz="4" w:space="0" w:color="000001"/>
          <w:insideV w:val="dotted" w:sz="4" w:space="0" w:color="000001"/>
        </w:tblBorders>
        <w:tblCellMar>
          <w:top w:w="0" w:type="dxa"/>
          <w:left w:w="103" w:type="dxa"/>
          <w:bottom w:w="0" w:type="dxa"/>
          <w:right w:w="108" w:type="dxa"/>
        </w:tblCellMar>
      </w:tblPr>
      <w:tblGrid>
        <w:gridCol w:w="9598"/>
      </w:tblGrid>
      <w:tr>
        <w:trPr/>
        <w:tc>
          <w:tcPr>
            <w:tcW w:w="9598" w:type="dxa"/>
            <w:tcBorders>
              <w:top w:val="dotted" w:sz="4" w:space="0" w:color="000001"/>
              <w:left w:val="dotted" w:sz="4" w:space="0" w:color="000001"/>
              <w:bottom w:val="dotted" w:sz="4" w:space="0" w:color="000001"/>
              <w:right w:val="dotted" w:sz="4" w:space="0" w:color="000001"/>
              <w:insideH w:val="dotted" w:sz="4" w:space="0" w:color="000001"/>
              <w:insideV w:val="dotted" w:sz="4" w:space="0" w:color="000001"/>
            </w:tcBorders>
            <w:shd w:fill="auto" w:val="clear"/>
            <w:tcMar>
              <w:left w:w="103" w:type="dxa"/>
            </w:tcMar>
          </w:tcPr>
          <w:p>
            <w:pPr>
              <w:pStyle w:val="Normal"/>
              <w:widowControl/>
              <w:tabs>
                <w:tab w:val="left" w:pos="3990" w:leader="none"/>
              </w:tabs>
              <w:bidi w:val="0"/>
              <w:ind w:left="0" w:right="0" w:hanging="0"/>
              <w:jc w:val="both"/>
              <w:textAlignment w:val="auto"/>
              <w:rPr>
                <w:lang w:val="ro-RO"/>
              </w:rPr>
            </w:pPr>
            <w:r>
              <w:rPr>
                <w:lang w:val="ro-RO"/>
              </w:rPr>
              <w:t>Matematici Aplicate/ Note de curs. Chi</w:t>
            </w:r>
            <w:r>
              <w:rPr>
                <w:rFonts w:cs="Cambria Math" w:ascii="Cambria Math" w:hAnsi="Cambria Math"/>
                <w:lang w:val="ro-RO"/>
              </w:rPr>
              <w:t>ș</w:t>
            </w:r>
            <w:r>
              <w:rPr>
                <w:rFonts w:cs="Times New Roman CE" w:ascii="Times New Roman CE" w:hAnsi="Times New Roman CE"/>
                <w:lang w:val="ro-RO"/>
              </w:rPr>
              <w:t>inău: S.n. 2016. Tipogr. „Biotehdesign”.  103  p.</w:t>
            </w:r>
          </w:p>
        </w:tc>
      </w:tr>
    </w:tbl>
    <w:p>
      <w:pPr>
        <w:pStyle w:val="ListParagraph"/>
        <w:widowControl/>
        <w:numPr>
          <w:ilvl w:val="0"/>
          <w:numId w:val="75"/>
        </w:numPr>
        <w:tabs>
          <w:tab w:val="left" w:pos="606" w:leader="none"/>
          <w:tab w:val="left" w:pos="1065" w:leader="none"/>
          <w:tab w:val="left" w:pos="2201" w:leader="none"/>
        </w:tabs>
        <w:bidi w:val="0"/>
        <w:spacing w:before="0" w:after="0"/>
        <w:ind w:left="606" w:right="0" w:hanging="0"/>
        <w:contextualSpacing/>
        <w:jc w:val="left"/>
        <w:textAlignment w:val="auto"/>
        <w:rPr>
          <w:lang w:val="ro-RO"/>
        </w:rPr>
      </w:pPr>
      <w:r>
        <w:rPr>
          <w:bCs/>
          <w:lang w:val="ro-RO"/>
        </w:rPr>
        <w:t>De</w:t>
      </w:r>
      <w:r>
        <w:rPr>
          <w:rFonts w:cs="Times New Roman CE" w:ascii="Times New Roman CE" w:hAnsi="Times New Roman CE"/>
          <w:bCs/>
          <w:lang w:val="ro-MD"/>
        </w:rPr>
        <w:t>numirea şi codul proiectului în cadrul căruia a fost realizată lucrarea</w:t>
      </w:r>
    </w:p>
    <w:tbl>
      <w:tblPr>
        <w:tblW w:w="10080" w:type="dxa"/>
        <w:jc w:val="left"/>
        <w:tblInd w:w="567" w:type="dxa"/>
        <w:tblBorders>
          <w:top w:val="dotted" w:sz="4" w:space="0" w:color="000001"/>
          <w:left w:val="dotted" w:sz="4" w:space="0" w:color="000001"/>
          <w:bottom w:val="dotted" w:sz="4" w:space="0" w:color="000001"/>
          <w:right w:val="dotted" w:sz="4" w:space="0" w:color="000001"/>
          <w:insideH w:val="dotted" w:sz="4" w:space="0" w:color="000001"/>
          <w:insideV w:val="dotted" w:sz="4" w:space="0" w:color="000001"/>
        </w:tblBorders>
        <w:tblCellMar>
          <w:top w:w="0" w:type="dxa"/>
          <w:left w:w="103" w:type="dxa"/>
          <w:bottom w:w="0" w:type="dxa"/>
          <w:right w:w="108" w:type="dxa"/>
        </w:tblCellMar>
      </w:tblPr>
      <w:tblGrid>
        <w:gridCol w:w="10080"/>
      </w:tblGrid>
      <w:tr>
        <w:trPr>
          <w:trHeight w:val="451" w:hRule="atLeast"/>
        </w:trPr>
        <w:tc>
          <w:tcPr>
            <w:tcW w:w="10080" w:type="dxa"/>
            <w:tcBorders>
              <w:top w:val="dotted" w:sz="4" w:space="0" w:color="000001"/>
              <w:left w:val="dotted" w:sz="4" w:space="0" w:color="000001"/>
              <w:bottom w:val="dotted" w:sz="4" w:space="0" w:color="000001"/>
              <w:right w:val="dotted" w:sz="4" w:space="0" w:color="000001"/>
              <w:insideH w:val="dotted" w:sz="4" w:space="0" w:color="000001"/>
              <w:insideV w:val="dotted" w:sz="4" w:space="0" w:color="000001"/>
            </w:tcBorders>
            <w:shd w:fill="auto" w:val="clear"/>
            <w:tcMar>
              <w:left w:w="103" w:type="dxa"/>
            </w:tcMar>
          </w:tcPr>
          <w:p>
            <w:pPr>
              <w:pStyle w:val="Normal"/>
              <w:widowControl/>
              <w:tabs>
                <w:tab w:val="left" w:pos="1065" w:leader="none"/>
                <w:tab w:val="left" w:pos="2201" w:leader="none"/>
              </w:tabs>
              <w:bidi w:val="0"/>
              <w:ind w:left="0" w:right="0" w:hanging="0"/>
              <w:jc w:val="left"/>
              <w:textAlignment w:val="auto"/>
              <w:rPr/>
            </w:pPr>
            <w:r>
              <w:rPr>
                <w:i/>
                <w:sz w:val="22"/>
                <w:szCs w:val="22"/>
              </w:rPr>
              <w:t>15.817.02.03F</w:t>
            </w:r>
            <w:r>
              <w:rPr>
                <w:rFonts w:cs="Times New Roman CE" w:ascii="Times New Roman CE" w:hAnsi="Times New Roman CE"/>
                <w:i/>
                <w:sz w:val="22"/>
                <w:szCs w:val="22"/>
                <w:lang w:val="ro-RO"/>
              </w:rPr>
              <w:t xml:space="preserve"> “Invarianţii algebrici şi geometr</w:t>
            </w:r>
            <w:r>
              <w:rPr>
                <w:i/>
                <w:sz w:val="22"/>
                <w:szCs w:val="22"/>
                <w:lang w:val="en-US"/>
              </w:rPr>
              <w:t>ici în studiul calitat</w:t>
            </w:r>
            <w:r>
              <w:rPr>
                <w:rFonts w:cs="Times New Roman CE" w:ascii="Times New Roman CE" w:hAnsi="Times New Roman CE"/>
                <w:i/>
                <w:sz w:val="22"/>
                <w:szCs w:val="22"/>
                <w:lang w:val="en-US"/>
              </w:rPr>
              <w:t>iv al sistemelor diferenţiale polinomiale”;</w:t>
            </w:r>
          </w:p>
          <w:p>
            <w:pPr>
              <w:pStyle w:val="Normal"/>
              <w:widowControl/>
              <w:tabs>
                <w:tab w:val="left" w:pos="1065" w:leader="none"/>
                <w:tab w:val="left" w:pos="2201" w:leader="none"/>
              </w:tabs>
              <w:bidi w:val="0"/>
              <w:ind w:left="0" w:right="0" w:hanging="0"/>
              <w:jc w:val="left"/>
              <w:textAlignment w:val="auto"/>
              <w:rPr>
                <w:lang w:val="ro-MD"/>
              </w:rPr>
            </w:pPr>
            <w:r>
              <w:rPr>
                <w:bCs/>
                <w:i/>
                <w:sz w:val="22"/>
                <w:szCs w:val="22"/>
                <w:lang w:val="ro-MD"/>
              </w:rPr>
              <w:t>11.817.08.03A</w:t>
            </w:r>
            <w:r>
              <w:rPr>
                <w:bCs/>
                <w:sz w:val="22"/>
                <w:szCs w:val="22"/>
                <w:lang w:val="ro-MD"/>
              </w:rPr>
              <w:t xml:space="preserve"> </w:t>
            </w:r>
            <w:r>
              <w:rPr>
                <w:rFonts w:cs="Times New Roman CE" w:ascii="Times New Roman CE" w:hAnsi="Times New Roman CE"/>
                <w:i/>
                <w:sz w:val="22"/>
                <w:szCs w:val="22"/>
                <w:lang w:val="ro-RO"/>
              </w:rPr>
              <w:t>Tehnologii avansate de elaborare a sistemelor inteligente pentru Societatea Informaţională</w:t>
            </w:r>
          </w:p>
        </w:tc>
      </w:tr>
    </w:tbl>
    <w:p>
      <w:pPr>
        <w:pStyle w:val="ListParagraph"/>
        <w:widowControl/>
        <w:numPr>
          <w:ilvl w:val="0"/>
          <w:numId w:val="75"/>
        </w:numPr>
        <w:tabs>
          <w:tab w:val="left" w:pos="606" w:leader="none"/>
        </w:tabs>
        <w:bidi w:val="0"/>
        <w:spacing w:lineRule="exact" w:line="360" w:before="0" w:after="0"/>
        <w:ind w:left="606" w:right="0" w:hanging="0"/>
        <w:contextualSpacing/>
        <w:jc w:val="left"/>
        <w:textAlignment w:val="auto"/>
        <w:rPr>
          <w:lang w:val="ro-MD"/>
        </w:rPr>
      </w:pPr>
      <w:r>
        <w:rPr>
          <w:rFonts w:cs="Times New Roman CE" w:ascii="Times New Roman CE" w:hAnsi="Times New Roman CE"/>
          <w:lang w:val="ro-MD"/>
        </w:rPr>
        <w:t>ISBN-ul lucrării</w:t>
      </w:r>
    </w:p>
    <w:tbl>
      <w:tblPr>
        <w:tblW w:w="10065" w:type="dxa"/>
        <w:jc w:val="left"/>
        <w:tblInd w:w="567"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10065"/>
      </w:tblGrid>
      <w:tr>
        <w:trPr>
          <w:trHeight w:val="339" w:hRule="atLeast"/>
        </w:trPr>
        <w:tc>
          <w:tcPr>
            <w:tcW w:w="10065"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tabs>
                <w:tab w:val="left" w:pos="3990" w:leader="none"/>
              </w:tabs>
              <w:bidi w:val="0"/>
              <w:ind w:left="0" w:right="0" w:hanging="0"/>
              <w:jc w:val="left"/>
              <w:textAlignment w:val="auto"/>
              <w:rPr>
                <w:lang w:val="ro-RO"/>
              </w:rPr>
            </w:pPr>
            <w:r>
              <w:rPr>
                <w:lang w:val="ro-RO"/>
              </w:rPr>
              <w:t>ISBN  978-9975-933-94-0.</w:t>
            </w:r>
          </w:p>
        </w:tc>
      </w:tr>
    </w:tbl>
    <w:p>
      <w:pPr>
        <w:pStyle w:val="ListParagraph"/>
        <w:widowControl/>
        <w:numPr>
          <w:ilvl w:val="0"/>
          <w:numId w:val="75"/>
        </w:numPr>
        <w:tabs>
          <w:tab w:val="left" w:pos="606" w:leader="none"/>
          <w:tab w:val="left" w:pos="1065" w:leader="none"/>
          <w:tab w:val="left" w:pos="2201" w:leader="none"/>
        </w:tabs>
        <w:bidi w:val="0"/>
        <w:spacing w:before="0" w:after="0"/>
        <w:ind w:left="606" w:right="0" w:hanging="0"/>
        <w:contextualSpacing/>
        <w:jc w:val="left"/>
        <w:textAlignment w:val="auto"/>
        <w:rPr>
          <w:lang w:val="ro-MD"/>
        </w:rPr>
      </w:pPr>
      <w:r>
        <w:rPr>
          <w:lang w:val="ro-MD"/>
        </w:rPr>
        <w:t xml:space="preserve">Autorii </w:t>
      </w:r>
      <w:r>
        <w:rPr>
          <w:rFonts w:cs="Times New Roman CE" w:ascii="Times New Roman CE" w:hAnsi="Times New Roman CE"/>
          <w:bCs/>
          <w:lang w:val="ro-MD"/>
        </w:rPr>
        <w:t>lucrării</w:t>
      </w:r>
    </w:p>
    <w:tbl>
      <w:tblPr>
        <w:tblW w:w="9498" w:type="dxa"/>
        <w:jc w:val="left"/>
        <w:tblInd w:w="567" w:type="dxa"/>
        <w:tblBorders>
          <w:top w:val="single" w:sz="4" w:space="0" w:color="000001"/>
          <w:left w:val="dotted" w:sz="4" w:space="0" w:color="000001"/>
          <w:bottom w:val="dotted" w:sz="4" w:space="0" w:color="000001"/>
          <w:right w:val="dotted" w:sz="4" w:space="0" w:color="000001"/>
          <w:insideH w:val="dotted" w:sz="4" w:space="0" w:color="000001"/>
          <w:insideV w:val="dotted" w:sz="4" w:space="0" w:color="000001"/>
        </w:tblBorders>
        <w:tblCellMar>
          <w:top w:w="0" w:type="dxa"/>
          <w:left w:w="103" w:type="dxa"/>
          <w:bottom w:w="0" w:type="dxa"/>
          <w:right w:w="108" w:type="dxa"/>
        </w:tblCellMar>
      </w:tblPr>
      <w:tblGrid>
        <w:gridCol w:w="9498"/>
      </w:tblGrid>
      <w:tr>
        <w:trPr/>
        <w:tc>
          <w:tcPr>
            <w:tcW w:w="9498" w:type="dxa"/>
            <w:tcBorders>
              <w:top w:val="single" w:sz="4" w:space="0" w:color="000001"/>
              <w:left w:val="dotted" w:sz="4" w:space="0" w:color="000001"/>
              <w:bottom w:val="dotted" w:sz="4" w:space="0" w:color="000001"/>
              <w:right w:val="dotted" w:sz="4" w:space="0" w:color="000001"/>
              <w:insideH w:val="dotted" w:sz="4" w:space="0" w:color="000001"/>
              <w:insideV w:val="dotted" w:sz="4" w:space="0" w:color="000001"/>
            </w:tcBorders>
            <w:shd w:fill="auto" w:val="clear"/>
            <w:tcMar>
              <w:left w:w="103" w:type="dxa"/>
            </w:tcMar>
          </w:tcPr>
          <w:p>
            <w:pPr>
              <w:pStyle w:val="Normal"/>
              <w:widowControl/>
              <w:bidi w:val="0"/>
              <w:ind w:left="0" w:right="0" w:hanging="0"/>
              <w:jc w:val="left"/>
              <w:textAlignment w:val="auto"/>
              <w:rPr>
                <w:lang w:val="ro-RO"/>
              </w:rPr>
            </w:pPr>
            <w:r>
              <w:rPr>
                <w:lang w:val="ro-RO"/>
              </w:rPr>
              <w:t xml:space="preserve">BALTAG Valeriu (d. </w:t>
            </w:r>
            <w:r>
              <w:rPr>
                <w:rFonts w:cs="Cambria Math" w:ascii="Cambria Math" w:hAnsi="Cambria Math"/>
                <w:lang w:val="ro-RO"/>
              </w:rPr>
              <w:t>ș</w:t>
            </w:r>
            <w:r>
              <w:rPr>
                <w:lang w:val="ro-RO"/>
              </w:rPr>
              <w:t xml:space="preserve">. f.-m., cerc. </w:t>
            </w:r>
            <w:r>
              <w:rPr>
                <w:rFonts w:cs="Cambria Math" w:ascii="Cambria Math" w:hAnsi="Cambria Math"/>
                <w:lang w:val="ro-RO"/>
              </w:rPr>
              <w:t>ș</w:t>
            </w:r>
            <w:r>
              <w:rPr>
                <w:lang w:val="ro-RO"/>
              </w:rPr>
              <w:t>t. sup., IMI A.</w:t>
            </w:r>
            <w:r>
              <w:rPr>
                <w:rFonts w:cs="Cambria Math" w:ascii="Cambria Math" w:hAnsi="Cambria Math"/>
                <w:lang w:val="ro-RO"/>
              </w:rPr>
              <w:t>Ș</w:t>
            </w:r>
            <w:r>
              <w:rPr>
                <w:lang w:val="ro-RO"/>
              </w:rPr>
              <w:t>.M.)</w:t>
            </w:r>
          </w:p>
          <w:p>
            <w:pPr>
              <w:pStyle w:val="Normal"/>
              <w:widowControl/>
              <w:bidi w:val="0"/>
              <w:ind w:left="0" w:right="0" w:hanging="0"/>
              <w:jc w:val="left"/>
              <w:textAlignment w:val="auto"/>
              <w:rPr/>
            </w:pPr>
            <w:r>
              <w:rPr>
                <w:lang w:val="ro-RO"/>
              </w:rPr>
              <w:t>CORLAT Andrei (d.</w:t>
            </w:r>
            <w:r>
              <w:rPr>
                <w:rFonts w:cs="Cambria Math" w:ascii="Cambria Math" w:hAnsi="Cambria Math"/>
                <w:lang w:val="ro-RO"/>
              </w:rPr>
              <w:t>ș</w:t>
            </w:r>
            <w:r>
              <w:rPr>
                <w:lang w:val="ro-RO"/>
              </w:rPr>
              <w:t>. f.-m., conf. univ., IMI A.</w:t>
            </w:r>
            <w:r>
              <w:rPr>
                <w:rFonts w:cs="Cambria Math" w:ascii="Cambria Math" w:hAnsi="Cambria Math"/>
                <w:lang w:val="ro-RO"/>
              </w:rPr>
              <w:t>Ș</w:t>
            </w:r>
            <w:r>
              <w:rPr>
                <w:lang w:val="ro-RO"/>
              </w:rPr>
              <w:t>.M.)</w:t>
            </w:r>
          </w:p>
          <w:p>
            <w:pPr>
              <w:pStyle w:val="Normal"/>
              <w:widowControl/>
              <w:bidi w:val="0"/>
              <w:ind w:left="0" w:right="0" w:hanging="0"/>
              <w:jc w:val="left"/>
              <w:textAlignment w:val="auto"/>
              <w:rPr>
                <w:lang w:val="ro-RO"/>
              </w:rPr>
            </w:pPr>
            <w:r>
              <w:rPr>
                <w:lang w:val="ro-RO"/>
              </w:rPr>
              <w:t>EFTODI Ion  (lect. sup.,  UnA</w:t>
            </w:r>
            <w:r>
              <w:rPr>
                <w:rFonts w:cs="Cambria Math" w:ascii="Cambria Math" w:hAnsi="Cambria Math"/>
                <w:lang w:val="ro-RO"/>
              </w:rPr>
              <w:t>Ș</w:t>
            </w:r>
            <w:r>
              <w:rPr>
                <w:lang w:val="ro-RO"/>
              </w:rPr>
              <w:t>M)</w:t>
            </w:r>
          </w:p>
        </w:tc>
      </w:tr>
    </w:tbl>
    <w:p>
      <w:pPr>
        <w:pStyle w:val="ListParagraph"/>
        <w:widowControl/>
        <w:numPr>
          <w:ilvl w:val="0"/>
          <w:numId w:val="75"/>
        </w:numPr>
        <w:tabs>
          <w:tab w:val="left" w:pos="606" w:leader="none"/>
          <w:tab w:val="left" w:pos="1065" w:leader="none"/>
          <w:tab w:val="left" w:pos="2201" w:leader="none"/>
        </w:tabs>
        <w:bidi w:val="0"/>
        <w:spacing w:before="0" w:after="0"/>
        <w:ind w:left="606" w:right="0" w:hanging="0"/>
        <w:contextualSpacing/>
        <w:jc w:val="left"/>
        <w:textAlignment w:val="auto"/>
        <w:rPr>
          <w:b w:val="false"/>
          <w:b w:val="false"/>
          <w:lang w:val="ro-MD"/>
        </w:rPr>
      </w:pPr>
      <w:r>
        <w:rPr>
          <w:rStyle w:val="Strong"/>
          <w:b w:val="false"/>
          <w:color w:val="000000"/>
          <w:lang w:val="ro-MD" w:eastAsia="ru-RU" w:bidi="ar-SA"/>
        </w:rPr>
        <w:t>Descrierea</w:t>
      </w:r>
      <w:r>
        <w:rPr>
          <w:rStyle w:val="Strong"/>
          <w:color w:val="000000"/>
          <w:lang w:val="ro-MD" w:eastAsia="ru-RU" w:bidi="ar-SA"/>
        </w:rPr>
        <w:t xml:space="preserve"> </w:t>
      </w:r>
      <w:r>
        <w:rPr>
          <w:rFonts w:cs="Times New Roman CE" w:ascii="Times New Roman CE" w:hAnsi="Times New Roman CE"/>
          <w:lang w:val="ro-MD"/>
        </w:rPr>
        <w:t>ştiinţifică a lucrării</w:t>
      </w:r>
    </w:p>
    <w:tbl>
      <w:tblPr>
        <w:tblW w:w="9771" w:type="dxa"/>
        <w:jc w:val="left"/>
        <w:tblInd w:w="-109" w:type="dxa"/>
        <w:tblBorders>
          <w:top w:val="dotted" w:sz="4" w:space="0" w:color="000001"/>
          <w:left w:val="dotted" w:sz="4" w:space="0" w:color="000001"/>
          <w:bottom w:val="dotted" w:sz="4" w:space="0" w:color="000001"/>
          <w:right w:val="dotted" w:sz="4" w:space="0" w:color="000001"/>
          <w:insideH w:val="dotted" w:sz="4" w:space="0" w:color="000001"/>
          <w:insideV w:val="dotted" w:sz="4" w:space="0" w:color="000001"/>
        </w:tblBorders>
        <w:tblCellMar>
          <w:top w:w="0" w:type="dxa"/>
          <w:left w:w="103" w:type="dxa"/>
          <w:bottom w:w="0" w:type="dxa"/>
          <w:right w:w="108" w:type="dxa"/>
        </w:tblCellMar>
      </w:tblPr>
      <w:tblGrid>
        <w:gridCol w:w="9771"/>
      </w:tblGrid>
      <w:tr>
        <w:trPr>
          <w:trHeight w:val="2259" w:hRule="atLeast"/>
        </w:trPr>
        <w:tc>
          <w:tcPr>
            <w:tcW w:w="9771" w:type="dxa"/>
            <w:tcBorders>
              <w:top w:val="dotted" w:sz="4" w:space="0" w:color="000001"/>
              <w:left w:val="dotted" w:sz="4" w:space="0" w:color="000001"/>
              <w:bottom w:val="dotted" w:sz="4" w:space="0" w:color="000001"/>
              <w:right w:val="dotted" w:sz="4" w:space="0" w:color="000001"/>
              <w:insideH w:val="dotted" w:sz="4" w:space="0" w:color="000001"/>
              <w:insideV w:val="dotted" w:sz="4" w:space="0" w:color="000001"/>
            </w:tcBorders>
            <w:shd w:fill="auto" w:val="clear"/>
            <w:tcMar>
              <w:left w:w="103" w:type="dxa"/>
            </w:tcMar>
          </w:tcPr>
          <w:p>
            <w:pPr>
              <w:pStyle w:val="Normal"/>
              <w:widowControl/>
              <w:bidi w:val="0"/>
              <w:ind w:left="0" w:right="0" w:hanging="0"/>
              <w:jc w:val="left"/>
              <w:textAlignment w:val="auto"/>
              <w:rPr>
                <w:lang w:val="ro-RO"/>
              </w:rPr>
            </w:pPr>
            <w:r>
              <w:rPr>
                <w:lang w:val="ro-RO"/>
              </w:rPr>
              <w:t>Prezentul suport de curs</w:t>
            </w:r>
            <w:r>
              <w:rPr>
                <w:rFonts w:cs="Times New Roman CE" w:ascii="Times New Roman CE" w:hAnsi="Times New Roman CE"/>
                <w:lang w:val="ro-RO"/>
              </w:rPr>
              <w:t xml:space="preserve"> reprezintă un ghid pentru rezolvarea problemelor la cursul  Matematici </w:t>
            </w:r>
            <w:r>
              <w:rPr>
                <w:lang w:val="ro-RO"/>
              </w:rPr>
              <w:t xml:space="preserve">Aplicate, </w:t>
            </w:r>
            <w:r>
              <w:rPr>
                <w:rFonts w:cs="Cambria Math" w:ascii="Cambria Math" w:hAnsi="Cambria Math"/>
                <w:lang w:val="ro-RO"/>
              </w:rPr>
              <w:t>ț</w:t>
            </w:r>
            <w:r>
              <w:rPr>
                <w:lang w:val="ro-RO"/>
              </w:rPr>
              <w:t>inut studen</w:t>
            </w:r>
            <w:r>
              <w:rPr>
                <w:rFonts w:cs="Cambria Math" w:ascii="Cambria Math" w:hAnsi="Cambria Math"/>
                <w:lang w:val="ro-RO"/>
              </w:rPr>
              <w:t>ț</w:t>
            </w:r>
            <w:r>
              <w:rPr>
                <w:lang w:val="ro-RO"/>
              </w:rPr>
              <w:t>ilor U</w:t>
            </w:r>
            <w:r>
              <w:rPr>
                <w:rFonts w:cs="Times New Roman CE" w:ascii="Times New Roman CE" w:hAnsi="Times New Roman CE"/>
                <w:lang w:val="ro-RO"/>
              </w:rPr>
              <w:t>niversită</w:t>
            </w:r>
            <w:r>
              <w:rPr>
                <w:rFonts w:cs="Cambria Math" w:ascii="Cambria Math" w:hAnsi="Cambria Math"/>
                <w:lang w:val="ro-RO"/>
              </w:rPr>
              <w:t>ț</w:t>
            </w:r>
            <w:r>
              <w:rPr>
                <w:lang w:val="ro-RO"/>
              </w:rPr>
              <w:t xml:space="preserve">ii Academiei de </w:t>
            </w:r>
            <w:r>
              <w:rPr>
                <w:rFonts w:cs="Cambria Math" w:ascii="Cambria Math" w:hAnsi="Cambria Math"/>
                <w:lang w:val="ro-RO"/>
              </w:rPr>
              <w:t>Ș</w:t>
            </w:r>
            <w:r>
              <w:rPr>
                <w:lang w:val="ro-RO"/>
              </w:rPr>
              <w:t>tiin</w:t>
            </w:r>
            <w:r>
              <w:rPr>
                <w:rFonts w:cs="Cambria Math" w:ascii="Cambria Math" w:hAnsi="Cambria Math"/>
                <w:lang w:val="ro-RO"/>
              </w:rPr>
              <w:t>ț</w:t>
            </w:r>
            <w:r>
              <w:rPr>
                <w:rFonts w:cs="Times New Roman CE" w:ascii="Times New Roman CE" w:hAnsi="Times New Roman CE"/>
                <w:lang w:val="ro-RO"/>
              </w:rPr>
              <w:t>e din Moldova, specialită</w:t>
            </w:r>
            <w:r>
              <w:rPr>
                <w:rFonts w:cs="Cambria Math" w:ascii="Cambria Math" w:hAnsi="Cambria Math"/>
                <w:lang w:val="ro-RO"/>
              </w:rPr>
              <w:t>ț</w:t>
            </w:r>
            <w:r>
              <w:rPr>
                <w:rFonts w:cs="Times New Roman CE" w:ascii="Times New Roman CE" w:hAnsi="Times New Roman CE"/>
                <w:lang w:val="ro-RO"/>
              </w:rPr>
              <w:t xml:space="preserve">ile  biologie,biologie moleculară, chimie, ecologie </w:t>
            </w:r>
            <w:r>
              <w:rPr>
                <w:rFonts w:cs="Cambria Math" w:ascii="Cambria Math" w:hAnsi="Cambria Math"/>
                <w:lang w:val="ro-RO"/>
              </w:rPr>
              <w:t>ș</w:t>
            </w:r>
            <w:r>
              <w:rPr>
                <w:lang w:val="ro-RO"/>
              </w:rPr>
              <w:t xml:space="preserve">i geografie. </w:t>
            </w:r>
          </w:p>
          <w:p>
            <w:pPr>
              <w:pStyle w:val="Normal"/>
              <w:widowControl/>
              <w:bidi w:val="0"/>
              <w:ind w:left="0" w:right="0" w:hanging="0"/>
              <w:jc w:val="left"/>
              <w:textAlignment w:val="auto"/>
              <w:rPr>
                <w:lang w:val="ro-RO"/>
              </w:rPr>
            </w:pPr>
            <w:r>
              <w:rPr>
                <w:lang w:val="ro-RO"/>
              </w:rPr>
              <w:t xml:space="preserve"> </w:t>
            </w:r>
            <w:r>
              <w:rPr>
                <w:lang w:val="ro-RO"/>
              </w:rPr>
              <w:t>Lucrarea  con</w:t>
            </w:r>
            <w:r>
              <w:rPr>
                <w:rFonts w:cs="Cambria Math" w:ascii="Cambria Math" w:hAnsi="Cambria Math"/>
                <w:lang w:val="ro-RO"/>
              </w:rPr>
              <w:t>ț</w:t>
            </w:r>
            <w:r>
              <w:rPr>
                <w:lang w:val="ro-RO"/>
              </w:rPr>
              <w:t>ine minimul necesar de repere teoretice din  compartimentele dedicate ecua</w:t>
            </w:r>
            <w:r>
              <w:rPr>
                <w:rFonts w:cs="Cambria Math" w:ascii="Cambria Math" w:hAnsi="Cambria Math"/>
                <w:lang w:val="ro-RO"/>
              </w:rPr>
              <w:t>ț</w:t>
            </w:r>
            <w:r>
              <w:rPr>
                <w:lang w:val="ro-RO"/>
              </w:rPr>
              <w:t>iilor  diferen</w:t>
            </w:r>
            <w:r>
              <w:rPr>
                <w:rFonts w:cs="Cambria Math" w:ascii="Cambria Math" w:hAnsi="Cambria Math"/>
                <w:lang w:val="ro-RO"/>
              </w:rPr>
              <w:t>ț</w:t>
            </w:r>
            <w:r>
              <w:rPr>
                <w:lang w:val="ro-RO"/>
              </w:rPr>
              <w:t xml:space="preserve">iale </w:t>
            </w:r>
            <w:r>
              <w:rPr>
                <w:rFonts w:cs="Cambria Math" w:ascii="Cambria Math" w:hAnsi="Cambria Math"/>
                <w:lang w:val="ro-RO"/>
              </w:rPr>
              <w:t>ș</w:t>
            </w:r>
            <w:r>
              <w:rPr>
                <w:lang w:val="ro-RO"/>
              </w:rPr>
              <w:t>i teoriei probabilit</w:t>
            </w:r>
            <w:r>
              <w:rPr>
                <w:rFonts w:cs="Times New Roman CE" w:ascii="Times New Roman CE" w:hAnsi="Times New Roman CE"/>
                <w:lang w:val="ro-RO"/>
              </w:rPr>
              <w:t>ă</w:t>
            </w:r>
            <w:r>
              <w:rPr>
                <w:rFonts w:cs="Cambria Math" w:ascii="Cambria Math" w:hAnsi="Cambria Math"/>
                <w:lang w:val="ro-RO"/>
              </w:rPr>
              <w:t>ț</w:t>
            </w:r>
            <w:r>
              <w:rPr>
                <w:rFonts w:cs="Times New Roman CE" w:ascii="Times New Roman CE" w:hAnsi="Times New Roman CE"/>
                <w:lang w:val="ro-RO"/>
              </w:rPr>
              <w:t xml:space="preserve">ilor, îndrumări privind rezolvarea problemelor, probleme rezolvate </w:t>
            </w:r>
            <w:r>
              <w:rPr>
                <w:rFonts w:cs="Cambria Math" w:ascii="Cambria Math" w:hAnsi="Cambria Math"/>
                <w:lang w:val="ro-RO"/>
              </w:rPr>
              <w:t>ș</w:t>
            </w:r>
            <w:r>
              <w:rPr>
                <w:lang w:val="ro-RO"/>
              </w:rPr>
              <w:t>i exerci</w:t>
            </w:r>
            <w:r>
              <w:rPr>
                <w:rFonts w:cs="Cambria Math" w:ascii="Cambria Math" w:hAnsi="Cambria Math"/>
                <w:lang w:val="ro-RO"/>
              </w:rPr>
              <w:t>ț</w:t>
            </w:r>
            <w:r>
              <w:rPr>
                <w:lang w:val="ro-RO"/>
              </w:rPr>
              <w:t xml:space="preserve">ii pentru lucru individual. </w:t>
            </w:r>
          </w:p>
          <w:p>
            <w:pPr>
              <w:pStyle w:val="Normal"/>
              <w:widowControl/>
              <w:bidi w:val="0"/>
              <w:ind w:left="0" w:right="0" w:hanging="0"/>
              <w:jc w:val="left"/>
              <w:textAlignment w:val="auto"/>
              <w:rPr>
                <w:lang w:val="ro-RO"/>
              </w:rPr>
            </w:pPr>
            <w:r>
              <w:rPr>
                <w:rFonts w:cs="Times New Roman CE" w:ascii="Times New Roman CE" w:hAnsi="Times New Roman CE"/>
                <w:lang w:val="ro-RO"/>
              </w:rPr>
              <w:t>În procesul elaborării lucrării autorii s-au condus de principiul ridicării nivelului  de pregătire matematică a studen</w:t>
            </w:r>
            <w:r>
              <w:rPr>
                <w:rFonts w:cs="Cambria Math" w:ascii="Cambria Math" w:hAnsi="Cambria Math"/>
                <w:lang w:val="ro-RO"/>
              </w:rPr>
              <w:t>ț</w:t>
            </w:r>
            <w:r>
              <w:rPr>
                <w:lang w:val="ro-RO"/>
              </w:rPr>
              <w:t xml:space="preserve">ilor </w:t>
            </w:r>
            <w:r>
              <w:rPr>
                <w:rFonts w:cs="Cambria Math" w:ascii="Cambria Math" w:hAnsi="Cambria Math"/>
                <w:lang w:val="ro-RO"/>
              </w:rPr>
              <w:t>ș</w:t>
            </w:r>
            <w:r>
              <w:rPr>
                <w:rFonts w:cs="Times New Roman CE" w:ascii="Times New Roman CE" w:hAnsi="Times New Roman CE"/>
                <w:lang w:val="ro-RO"/>
              </w:rPr>
              <w:t>i scoaterii în eviden</w:t>
            </w:r>
            <w:r>
              <w:rPr>
                <w:rFonts w:cs="Cambria Math" w:ascii="Cambria Math" w:hAnsi="Cambria Math"/>
                <w:lang w:val="ro-RO"/>
              </w:rPr>
              <w:t>ț</w:t>
            </w:r>
            <w:r>
              <w:rPr>
                <w:rFonts w:cs="Times New Roman CE" w:ascii="Times New Roman CE" w:hAnsi="Times New Roman CE"/>
                <w:lang w:val="ro-RO"/>
              </w:rPr>
              <w:t>ă a momentelor aplicative.</w:t>
            </w:r>
          </w:p>
        </w:tc>
      </w:tr>
    </w:tbl>
    <w:p>
      <w:pPr>
        <w:pStyle w:val="ListParagraph"/>
        <w:widowControl/>
        <w:tabs>
          <w:tab w:val="left" w:pos="1065" w:leader="none"/>
          <w:tab w:val="left" w:pos="2201" w:leader="none"/>
        </w:tabs>
        <w:bidi w:val="0"/>
        <w:spacing w:before="0" w:after="0"/>
        <w:ind w:left="606" w:right="0" w:hanging="0"/>
        <w:contextualSpacing/>
        <w:jc w:val="left"/>
        <w:textAlignment w:val="auto"/>
        <w:rPr>
          <w:rStyle w:val="Strong"/>
          <w:rFonts w:ascii="Times New Roman" w:hAnsi="Times New Roman"/>
          <w:b w:val="false"/>
          <w:b w:val="false"/>
          <w:lang w:val="ro-MD" w:eastAsia="ru-RU" w:bidi="ar-SA"/>
        </w:rPr>
      </w:pPr>
      <w:r>
        <w:rPr>
          <w:b w:val="false"/>
          <w:lang w:val="ro-MD" w:eastAsia="ru-RU" w:bidi="ar-SA"/>
        </w:rPr>
      </w:r>
    </w:p>
    <w:p>
      <w:pPr>
        <w:pStyle w:val="ListParagraph"/>
        <w:widowControl/>
        <w:tabs>
          <w:tab w:val="left" w:pos="1065" w:leader="none"/>
          <w:tab w:val="left" w:pos="2201" w:leader="none"/>
        </w:tabs>
        <w:bidi w:val="0"/>
        <w:spacing w:before="0" w:after="0"/>
        <w:ind w:left="606" w:right="0" w:hanging="0"/>
        <w:contextualSpacing/>
        <w:jc w:val="left"/>
        <w:textAlignment w:val="auto"/>
        <w:rPr>
          <w:lang w:val="fr-FR"/>
        </w:rPr>
      </w:pPr>
      <w:bookmarkStart w:id="133" w:name="_Forma_5"/>
      <w:bookmarkStart w:id="134" w:name="_Forma_5"/>
      <w:bookmarkEnd w:id="134"/>
      <w:r>
        <w:rPr>
          <w:lang w:val="fr-FR"/>
        </w:rPr>
      </w:r>
    </w:p>
    <w:p>
      <w:pPr>
        <w:pStyle w:val="1"/>
        <w:keepNext/>
        <w:widowControl/>
        <w:numPr>
          <w:ilvl w:val="0"/>
          <w:numId w:val="0"/>
        </w:numPr>
        <w:bidi w:val="0"/>
        <w:spacing w:before="240" w:after="60"/>
        <w:ind w:left="0" w:right="0" w:hanging="0"/>
        <w:jc w:val="left"/>
        <w:textAlignment w:val="auto"/>
        <w:outlineLvl w:val="0"/>
        <w:rPr>
          <w:b w:val="false"/>
          <w:b w:val="false"/>
          <w:lang w:val="fr-FR"/>
        </w:rPr>
      </w:pPr>
      <w:bookmarkStart w:id="135" w:name="_Toc469651917"/>
      <w:r>
        <w:rPr>
          <w:rFonts w:cs="Times New Roman CE" w:ascii="Times New Roman CE" w:hAnsi="Times New Roman CE"/>
          <w:b w:val="false"/>
          <w:lang w:val="fr-FR"/>
        </w:rPr>
        <w:t>Lista lucrărilor publicate în anul 201</w:t>
      </w:r>
      <w:bookmarkEnd w:id="135"/>
      <w:r>
        <w:rPr>
          <w:rFonts w:cs="Times New Roman" w:ascii="Times New Roman" w:hAnsi="Times New Roman"/>
          <w:b w:val="false"/>
          <w:lang w:val="fr-FR"/>
        </w:rPr>
        <w:t>6  (Forma 4)</w:t>
      </w:r>
    </w:p>
    <w:p>
      <w:pPr>
        <w:pStyle w:val="Normal"/>
        <w:widowControl/>
        <w:bidi w:val="0"/>
        <w:ind w:left="5040" w:right="0" w:hanging="0"/>
        <w:jc w:val="right"/>
        <w:textAlignment w:val="auto"/>
        <w:rPr>
          <w:lang w:val="ro-MD"/>
        </w:rPr>
      </w:pPr>
      <w:r>
        <w:rPr>
          <w:rFonts w:cs="Times New Roman CE" w:ascii="Times New Roman CE" w:hAnsi="Times New Roman CE"/>
          <w:lang w:val="ro-MD"/>
        </w:rPr>
        <w:t xml:space="preserve">Anexă la Raportul de activitate al </w:t>
      </w:r>
    </w:p>
    <w:p>
      <w:pPr>
        <w:pStyle w:val="Normal"/>
        <w:widowControl/>
        <w:bidi w:val="0"/>
        <w:ind w:left="5040" w:right="0" w:hanging="0"/>
        <w:jc w:val="right"/>
        <w:textAlignment w:val="auto"/>
        <w:rPr>
          <w:lang w:val="ro-MD"/>
        </w:rPr>
      </w:pPr>
      <w:r>
        <w:rPr>
          <w:rFonts w:cs="Times New Roman CE" w:ascii="Times New Roman CE" w:hAnsi="Times New Roman CE"/>
          <w:i/>
          <w:lang w:val="ro-MD"/>
        </w:rPr>
        <w:t>Institutului de Matematică şi Informatică</w:t>
      </w:r>
    </w:p>
    <w:p>
      <w:pPr>
        <w:pStyle w:val="Normal"/>
        <w:widowControl/>
        <w:bidi w:val="0"/>
        <w:ind w:left="0" w:right="0" w:hanging="0"/>
        <w:jc w:val="center"/>
        <w:textAlignment w:val="auto"/>
        <w:rPr>
          <w:rFonts w:ascii="Times New Roman" w:hAnsi="Times New Roman"/>
          <w:lang w:val="ro-MD"/>
        </w:rPr>
      </w:pPr>
      <w:r>
        <w:rPr>
          <w:lang w:val="ro-MD"/>
        </w:rPr>
      </w:r>
    </w:p>
    <w:p>
      <w:pPr>
        <w:pStyle w:val="Normal"/>
        <w:widowControl/>
        <w:bidi w:val="0"/>
        <w:ind w:left="0" w:right="0" w:hanging="0"/>
        <w:jc w:val="both"/>
        <w:textAlignment w:val="auto"/>
        <w:rPr>
          <w:lang w:val="ro-RO"/>
        </w:rPr>
      </w:pPr>
      <w:r>
        <w:rPr>
          <w:b/>
          <w:i/>
          <w:lang w:val="ro-RO"/>
        </w:rPr>
        <w:t>Monografii</w:t>
      </w:r>
      <w:r>
        <w:rPr>
          <w:rFonts w:cs="Times New Roman CE" w:ascii="Times New Roman CE" w:hAnsi="Times New Roman CE"/>
          <w:b/>
          <w:i/>
          <w:lang w:val="ro-RO"/>
        </w:rPr>
        <w:t xml:space="preserve"> în ediţii naţionale/internaţionale</w:t>
      </w:r>
    </w:p>
    <w:p>
      <w:pPr>
        <w:pStyle w:val="Normal"/>
        <w:widowControl/>
        <w:bidi w:val="0"/>
        <w:ind w:left="0" w:right="0" w:hanging="0"/>
        <w:jc w:val="both"/>
        <w:textAlignment w:val="auto"/>
        <w:rPr>
          <w:rFonts w:ascii="Times New Roman" w:hAnsi="Times New Roman"/>
          <w:b/>
          <w:b/>
          <w:i/>
          <w:i/>
          <w:lang w:val="ro-RO"/>
        </w:rPr>
      </w:pPr>
      <w:r>
        <w:rPr>
          <w:b/>
          <w:i/>
          <w:lang w:val="ro-RO"/>
        </w:rPr>
      </w:r>
    </w:p>
    <w:p>
      <w:pPr>
        <w:pStyle w:val="Normal"/>
        <w:widowControl/>
        <w:bidi w:val="0"/>
        <w:ind w:left="0" w:right="0" w:hanging="0"/>
        <w:jc w:val="both"/>
        <w:textAlignment w:val="auto"/>
        <w:rPr>
          <w:lang w:val="ro-RO"/>
        </w:rPr>
      </w:pPr>
      <w:r>
        <w:rPr>
          <w:rFonts w:cs="Times New Roman CE" w:ascii="Times New Roman CE" w:hAnsi="Times New Roman CE"/>
          <w:b/>
          <w:i/>
          <w:lang w:val="ro-RO"/>
        </w:rPr>
        <w:t xml:space="preserve">Capitole în </w:t>
      </w:r>
      <w:r>
        <w:rPr>
          <w:b/>
          <w:lang w:val="ro-RO"/>
        </w:rPr>
        <w:t>monografii</w:t>
      </w:r>
    </w:p>
    <w:p>
      <w:pPr>
        <w:pStyle w:val="ListParagraph"/>
        <w:widowControl/>
        <w:numPr>
          <w:ilvl w:val="0"/>
          <w:numId w:val="100"/>
        </w:numPr>
        <w:tabs>
          <w:tab w:val="left" w:pos="360" w:leader="none"/>
        </w:tabs>
        <w:suppressAutoHyphens w:val="true"/>
        <w:bidi w:val="0"/>
        <w:spacing w:before="0" w:after="0"/>
        <w:ind w:left="357" w:right="0" w:hanging="0"/>
        <w:contextualSpacing/>
        <w:jc w:val="both"/>
        <w:textAlignment w:val="auto"/>
        <w:rPr>
          <w:lang w:val="ro-RO"/>
        </w:rPr>
      </w:pPr>
      <w:r>
        <w:rPr>
          <w:iCs/>
          <w:sz w:val="22"/>
          <w:szCs w:val="22"/>
          <w:lang w:val="ro-RO" w:eastAsia="ro-RO"/>
        </w:rPr>
        <w:t xml:space="preserve">ALHAZOV, A; FREUND, R.; IVANOV, S.; OSWALD, M. Observations on P Systems with States. </w:t>
      </w:r>
      <w:r>
        <w:rPr>
          <w:i/>
          <w:iCs/>
          <w:sz w:val="22"/>
          <w:szCs w:val="22"/>
          <w:lang w:val="ro-RO" w:eastAsia="ro-RO"/>
        </w:rPr>
        <w:t>In: Multidisciplinary Creativity. Homage to Gheorghe Paun on His 65th Birthday</w:t>
      </w:r>
      <w:r>
        <w:rPr>
          <w:rFonts w:cs="Times New Roman CE" w:ascii="Times New Roman CE" w:hAnsi="Times New Roman CE"/>
          <w:iCs/>
          <w:sz w:val="22"/>
          <w:szCs w:val="22"/>
          <w:lang w:val="ro-RO" w:eastAsia="ro-RO"/>
        </w:rPr>
        <w:t xml:space="preserve"> (M. Gheorghe, I. Petre, M.J. Pérez-Jiménez, G. Rozenberg, A. Salomaa, Eds.), editura Spandugino, Bucharest, 2015, 17-</w:t>
      </w:r>
      <w:r>
        <w:rPr>
          <w:iCs/>
          <w:sz w:val="22"/>
          <w:szCs w:val="22"/>
          <w:lang w:val="ro-RO" w:eastAsia="ro-RO"/>
        </w:rPr>
        <w:t>28.</w:t>
      </w:r>
    </w:p>
    <w:p>
      <w:pPr>
        <w:pStyle w:val="Normal"/>
        <w:widowControl/>
        <w:bidi w:val="0"/>
        <w:ind w:left="0" w:right="0" w:hanging="0"/>
        <w:jc w:val="both"/>
        <w:textAlignment w:val="auto"/>
        <w:rPr>
          <w:rFonts w:ascii="Times New Roman" w:hAnsi="Times New Roman"/>
          <w:b/>
          <w:b/>
          <w:i/>
          <w:i/>
          <w:lang w:val="ro-RO"/>
        </w:rPr>
      </w:pPr>
      <w:r>
        <w:rPr>
          <w:b/>
          <w:i/>
          <w:lang w:val="ro-RO"/>
        </w:rPr>
      </w:r>
    </w:p>
    <w:p>
      <w:pPr>
        <w:pStyle w:val="Normal"/>
        <w:widowControl/>
        <w:bidi w:val="0"/>
        <w:ind w:left="0" w:right="0" w:hanging="0"/>
        <w:jc w:val="both"/>
        <w:textAlignment w:val="auto"/>
        <w:rPr>
          <w:lang w:val="ro-RO"/>
        </w:rPr>
      </w:pPr>
      <w:r>
        <w:rPr>
          <w:b/>
          <w:i/>
          <w:lang w:val="ro-RO"/>
        </w:rPr>
        <w:t xml:space="preserve">Manuale </w:t>
      </w:r>
      <w:r>
        <w:rPr>
          <w:rFonts w:cs="Times New Roman CE" w:ascii="Times New Roman CE" w:hAnsi="Times New Roman CE"/>
          <w:b/>
          <w:i/>
          <w:lang w:val="ro-RO"/>
        </w:rPr>
        <w:t>în ediţii naţionale/internaţionale</w:t>
      </w:r>
    </w:p>
    <w:p>
      <w:pPr>
        <w:pStyle w:val="ListParagraph"/>
        <w:widowControl/>
        <w:numPr>
          <w:ilvl w:val="0"/>
          <w:numId w:val="29"/>
        </w:numPr>
        <w:tabs>
          <w:tab w:val="left" w:pos="360" w:leader="none"/>
        </w:tabs>
        <w:bidi w:val="0"/>
        <w:spacing w:before="0" w:after="0"/>
        <w:ind w:left="360" w:right="0" w:hanging="0"/>
        <w:contextualSpacing/>
        <w:jc w:val="both"/>
        <w:textAlignment w:val="auto"/>
        <w:rPr>
          <w:lang w:val="ro-MD"/>
        </w:rPr>
      </w:pPr>
      <w:r>
        <w:rPr>
          <w:sz w:val="22"/>
          <w:szCs w:val="22"/>
          <w:lang w:val="ro-MD"/>
        </w:rPr>
        <w:t xml:space="preserve">BALTAG, V.; CORLAT, A.; EFTODI, I.  Matematici aplicate:  note de curs.  </w:t>
      </w:r>
      <w:r>
        <w:rPr>
          <w:rFonts w:eastAsia="SimSun"/>
          <w:sz w:val="22"/>
          <w:szCs w:val="22"/>
          <w:lang w:val="ro-RO" w:eastAsia="zh-CN"/>
        </w:rPr>
        <w:t>Univ</w:t>
      </w:r>
      <w:r>
        <w:rPr>
          <w:rFonts w:eastAsia="SimSun"/>
          <w:sz w:val="22"/>
          <w:szCs w:val="22"/>
          <w:lang w:val="fr-FR" w:eastAsia="zh-CN"/>
        </w:rPr>
        <w:t>ersitatea</w:t>
      </w:r>
      <w:r>
        <w:rPr>
          <w:rFonts w:eastAsia="SimSun"/>
          <w:sz w:val="22"/>
          <w:szCs w:val="22"/>
          <w:lang w:val="ro-RO" w:eastAsia="zh-CN"/>
        </w:rPr>
        <w:t xml:space="preserve"> Acad</w:t>
      </w:r>
      <w:r>
        <w:rPr>
          <w:rFonts w:eastAsia="SimSun"/>
          <w:sz w:val="22"/>
          <w:szCs w:val="22"/>
          <w:lang w:val="fr-FR" w:eastAsia="zh-CN"/>
        </w:rPr>
        <w:t xml:space="preserve">emiei </w:t>
      </w:r>
      <w:r>
        <w:rPr>
          <w:rFonts w:eastAsia="SimSun" w:cs="Times New Roman CE" w:ascii="Times New Roman CE" w:hAnsi="Times New Roman CE"/>
          <w:sz w:val="22"/>
          <w:szCs w:val="22"/>
          <w:lang w:val="ro-RO" w:eastAsia="zh-CN"/>
        </w:rPr>
        <w:t>de Ştiinţe a Moldovei.</w:t>
      </w:r>
      <w:r>
        <w:rPr>
          <w:sz w:val="22"/>
          <w:szCs w:val="22"/>
          <w:lang w:val="ro-MD"/>
        </w:rPr>
        <w:t xml:space="preserve"> I</w:t>
      </w:r>
      <w:r>
        <w:rPr>
          <w:rFonts w:cs="Times New Roman CE" w:ascii="Times New Roman CE" w:hAnsi="Times New Roman CE"/>
          <w:sz w:val="22"/>
          <w:szCs w:val="22"/>
          <w:lang w:val="ro-MD"/>
        </w:rPr>
        <w:t>nstitutul de Matematică şi Informatică A.Ş.M.,</w:t>
      </w:r>
    </w:p>
    <w:p>
      <w:pPr>
        <w:pStyle w:val="ListParagraph"/>
        <w:widowControl/>
        <w:bidi w:val="0"/>
        <w:spacing w:before="0" w:after="0"/>
        <w:ind w:left="360" w:right="0" w:hanging="0"/>
        <w:contextualSpacing/>
        <w:jc w:val="both"/>
        <w:textAlignment w:val="auto"/>
        <w:rPr>
          <w:lang w:val="ro-MD"/>
        </w:rPr>
      </w:pPr>
      <w:r>
        <w:rPr>
          <w:rFonts w:cs="Times New Roman CE" w:ascii="Times New Roman CE" w:hAnsi="Times New Roman CE"/>
          <w:sz w:val="22"/>
          <w:szCs w:val="22"/>
          <w:lang w:val="ro-MD"/>
        </w:rPr>
        <w:t>Chisinău,  Ed.:  Biotehdesign.  2016. 103 p.</w:t>
      </w:r>
    </w:p>
    <w:p>
      <w:pPr>
        <w:pStyle w:val="ListParagraph"/>
        <w:widowControl/>
        <w:numPr>
          <w:ilvl w:val="0"/>
          <w:numId w:val="29"/>
        </w:numPr>
        <w:tabs>
          <w:tab w:val="left" w:pos="360" w:leader="none"/>
        </w:tabs>
        <w:bidi w:val="0"/>
        <w:spacing w:before="0" w:after="0"/>
        <w:ind w:left="360" w:right="0" w:hanging="0"/>
        <w:contextualSpacing/>
        <w:jc w:val="both"/>
        <w:textAlignment w:val="auto"/>
        <w:rPr>
          <w:lang w:val="ro-MD"/>
        </w:rPr>
      </w:pPr>
      <w:r>
        <w:rPr>
          <w:sz w:val="22"/>
          <w:szCs w:val="22"/>
          <w:lang w:val="ro-MD"/>
        </w:rPr>
        <w:t>CIUBOTARU, S.;</w:t>
      </w:r>
      <w:r>
        <w:rPr>
          <w:rFonts w:cs="Times New Roman CE" w:ascii="Times New Roman CE" w:hAnsi="Times New Roman CE"/>
          <w:sz w:val="22"/>
          <w:szCs w:val="22"/>
          <w:lang w:val="ro-MD"/>
        </w:rPr>
        <w:t xml:space="preserve"> PLĂCINTĂ</w:t>
      </w:r>
      <w:r>
        <w:rPr>
          <w:sz w:val="22"/>
          <w:szCs w:val="22"/>
          <w:lang w:val="ro-MD"/>
        </w:rPr>
        <w:t>, M.  Matematica. Caiet de teste sumative. Clasa a 7-a.  Ed.: Arc 2016, 96 p.</w:t>
      </w:r>
    </w:p>
    <w:p>
      <w:pPr>
        <w:pStyle w:val="M3631457141119765027gmailmsolistparagraph"/>
        <w:widowControl/>
        <w:numPr>
          <w:ilvl w:val="0"/>
          <w:numId w:val="29"/>
        </w:numPr>
        <w:tabs>
          <w:tab w:val="left" w:pos="360" w:leader="none"/>
        </w:tabs>
        <w:bidi w:val="0"/>
        <w:spacing w:beforeAutospacing="1" w:afterAutospacing="1"/>
        <w:ind w:left="360" w:right="0" w:hanging="0"/>
        <w:jc w:val="left"/>
        <w:textAlignment w:val="auto"/>
        <w:rPr>
          <w:lang w:val="fr-FR"/>
        </w:rPr>
      </w:pPr>
      <w:r>
        <w:rPr>
          <w:lang w:val="fr-FR"/>
        </w:rPr>
        <w:t>COJOCARU,  S. Procesarea limbajului natural. Aspecte morfologice. Suport de curs, UnASM, 2016, 39 p.</w:t>
      </w:r>
    </w:p>
    <w:p>
      <w:pPr>
        <w:pStyle w:val="Style10"/>
        <w:widowControl w:val="false"/>
        <w:numPr>
          <w:ilvl w:val="0"/>
          <w:numId w:val="29"/>
        </w:numPr>
        <w:tabs>
          <w:tab w:val="left" w:pos="360" w:leader="none"/>
        </w:tabs>
        <w:suppressAutoHyphens w:val="true"/>
        <w:bidi w:val="0"/>
        <w:spacing w:before="0" w:after="0"/>
        <w:ind w:left="360" w:right="0" w:hanging="0"/>
        <w:jc w:val="both"/>
        <w:textAlignment w:val="auto"/>
        <w:rPr/>
      </w:pPr>
      <w:r>
        <w:rPr>
          <w:rFonts w:cs="Times New Roman CE" w:ascii="Times New Roman CE" w:hAnsi="Times New Roman CE"/>
          <w:sz w:val="22"/>
          <w:szCs w:val="22"/>
        </w:rPr>
        <w:t>COJUHARI, E., CALIN, Iu., GARŞTEA, A., GRIGOR, R., PLATON, V., PRODAN, N.. Matematici pentru economişti. (ghid metodic) editia a IV revăzută. Universitatea de Stat din Moldova, Chişinău, 2016, CEP USM, 297 p.</w:t>
      </w:r>
    </w:p>
    <w:p>
      <w:pPr>
        <w:pStyle w:val="Style10"/>
        <w:widowControl w:val="false"/>
        <w:numPr>
          <w:ilvl w:val="0"/>
          <w:numId w:val="29"/>
        </w:numPr>
        <w:tabs>
          <w:tab w:val="left" w:pos="360" w:leader="none"/>
        </w:tabs>
        <w:suppressAutoHyphens w:val="true"/>
        <w:bidi w:val="0"/>
        <w:spacing w:before="0" w:after="0"/>
        <w:ind w:left="360" w:right="0" w:hanging="0"/>
        <w:jc w:val="both"/>
        <w:textAlignment w:val="auto"/>
        <w:rPr/>
      </w:pPr>
      <w:r>
        <w:rPr>
          <w:rFonts w:eastAsia="SimSun" w:cs="Times New Roman CE" w:ascii="Times New Roman CE" w:hAnsi="Times New Roman CE"/>
          <w:sz w:val="22"/>
          <w:szCs w:val="22"/>
          <w:lang w:eastAsia="zh-CN"/>
        </w:rPr>
        <w:t>CUCU, I.,  IZBAŞ,</w:t>
      </w:r>
      <w:r>
        <w:rPr>
          <w:rFonts w:eastAsia="SimSun"/>
          <w:b/>
          <w:sz w:val="22"/>
          <w:szCs w:val="22"/>
          <w:lang w:eastAsia="zh-CN"/>
        </w:rPr>
        <w:t xml:space="preserve"> </w:t>
      </w:r>
      <w:r>
        <w:rPr>
          <w:rFonts w:eastAsia="SimSun"/>
          <w:sz w:val="22"/>
          <w:szCs w:val="22"/>
          <w:lang w:eastAsia="zh-CN"/>
        </w:rPr>
        <w:t>O.</w:t>
      </w:r>
      <w:r>
        <w:rPr>
          <w:rFonts w:eastAsia="SimSun"/>
          <w:b/>
          <w:sz w:val="22"/>
          <w:szCs w:val="22"/>
          <w:lang w:eastAsia="zh-CN"/>
        </w:rPr>
        <w:t xml:space="preserve"> </w:t>
      </w:r>
      <w:r>
        <w:rPr>
          <w:rFonts w:eastAsia="SimSun" w:cs="Times New Roman CE" w:ascii="Times New Roman CE" w:hAnsi="Times New Roman CE"/>
          <w:sz w:val="22"/>
          <w:szCs w:val="22"/>
          <w:lang w:eastAsia="zh-CN"/>
        </w:rPr>
        <w:t>Matematică discretă</w:t>
      </w:r>
      <w:r>
        <w:rPr>
          <w:rFonts w:eastAsia="SimSun"/>
          <w:sz w:val="22"/>
          <w:szCs w:val="22"/>
          <w:lang w:eastAsia="zh-CN"/>
        </w:rPr>
        <w:t xml:space="preserve"> (Suport de curs).  Universitatea Academiei </w:t>
      </w:r>
      <w:r>
        <w:rPr>
          <w:rFonts w:eastAsia="SimSun" w:cs="Times New Roman CE" w:ascii="Times New Roman CE" w:hAnsi="Times New Roman CE"/>
          <w:sz w:val="22"/>
          <w:szCs w:val="22"/>
          <w:lang w:eastAsia="zh-CN"/>
        </w:rPr>
        <w:t>de Ştiinţe a Moldovei. – Chişinău , 2016,  88 p. ISBN 978-9975-933-98-8.</w:t>
      </w:r>
    </w:p>
    <w:p>
      <w:pPr>
        <w:pStyle w:val="Normal"/>
        <w:widowControl/>
        <w:numPr>
          <w:ilvl w:val="0"/>
          <w:numId w:val="29"/>
        </w:numPr>
        <w:tabs>
          <w:tab w:val="left" w:pos="360" w:leader="none"/>
          <w:tab w:val="left" w:pos="1985" w:leader="none"/>
        </w:tabs>
        <w:bidi w:val="0"/>
        <w:ind w:left="360" w:right="0" w:hanging="0"/>
        <w:jc w:val="left"/>
        <w:textAlignment w:val="auto"/>
        <w:rPr>
          <w:lang w:val="ro-MD"/>
        </w:rPr>
      </w:pPr>
      <w:r>
        <w:rPr>
          <w:sz w:val="22"/>
          <w:szCs w:val="22"/>
          <w:lang w:val="ro-MD"/>
        </w:rPr>
        <w:t xml:space="preserve">POPA, M.; </w:t>
      </w:r>
      <w:r>
        <w:rPr>
          <w:rFonts w:cs="Times New Roman CE" w:ascii="Times New Roman CE" w:hAnsi="Times New Roman CE"/>
          <w:sz w:val="22"/>
          <w:szCs w:val="22"/>
          <w:lang w:val="ro-MD"/>
        </w:rPr>
        <w:t>REPEŞCO</w:t>
      </w:r>
      <w:r>
        <w:rPr>
          <w:sz w:val="22"/>
          <w:szCs w:val="22"/>
          <w:lang w:val="ro-MD"/>
        </w:rPr>
        <w:t>, V.</w:t>
      </w:r>
      <w:r>
        <w:rPr>
          <w:rFonts w:cs="Times New Roman CE" w:ascii="Times New Roman CE" w:hAnsi="Times New Roman CE"/>
          <w:sz w:val="22"/>
          <w:szCs w:val="22"/>
          <w:lang w:val="ro-MD"/>
        </w:rPr>
        <w:t xml:space="preserve"> Algebre Lie şi sisteme dinamice în plan</w:t>
      </w:r>
      <w:r>
        <w:rPr>
          <w:sz w:val="22"/>
          <w:szCs w:val="22"/>
          <w:lang w:val="ro-MD"/>
        </w:rPr>
        <w:t xml:space="preserve"> </w:t>
      </w:r>
      <w:r>
        <w:rPr>
          <w:rFonts w:cs="Times New Roman CE" w:ascii="Times New Roman CE" w:hAnsi="Times New Roman CE"/>
          <w:sz w:val="22"/>
          <w:szCs w:val="22"/>
          <w:lang w:val="ro-MD"/>
        </w:rPr>
        <w:t>(Curs opţional)</w:t>
      </w:r>
      <w:r>
        <w:rPr>
          <w:sz w:val="22"/>
          <w:szCs w:val="22"/>
          <w:lang w:val="ro-MD"/>
        </w:rPr>
        <w:t xml:space="preserve">. </w:t>
      </w:r>
      <w:r>
        <w:rPr>
          <w:rFonts w:cs="Times New Roman CE" w:ascii="Times New Roman CE" w:hAnsi="Times New Roman CE"/>
          <w:iCs/>
          <w:lang w:val="ro-RO"/>
        </w:rPr>
        <w:t>Universitatea de Stat din Tiraspol. Chişinău: US Tiraspol. 237p.</w:t>
      </w:r>
    </w:p>
    <w:p>
      <w:pPr>
        <w:pStyle w:val="Normal"/>
        <w:widowControl/>
        <w:tabs>
          <w:tab w:val="left" w:pos="1985" w:leader="none"/>
        </w:tabs>
        <w:bidi w:val="0"/>
        <w:ind w:left="360" w:right="0" w:hanging="0"/>
        <w:jc w:val="left"/>
        <w:textAlignment w:val="auto"/>
        <w:rPr>
          <w:rFonts w:ascii="Times New Roman" w:hAnsi="Times New Roman"/>
          <w:iCs/>
          <w:lang w:val="ro-RO"/>
        </w:rPr>
      </w:pPr>
      <w:r>
        <w:rPr>
          <w:iCs/>
          <w:lang w:val="ro-RO"/>
        </w:rPr>
      </w:r>
    </w:p>
    <w:p>
      <w:pPr>
        <w:pStyle w:val="Normal"/>
        <w:widowControl/>
        <w:bidi w:val="0"/>
        <w:ind w:left="0" w:right="0" w:hanging="0"/>
        <w:jc w:val="left"/>
        <w:textAlignment w:val="auto"/>
        <w:rPr>
          <w:lang w:val="ro-MD"/>
        </w:rPr>
      </w:pPr>
      <w:r>
        <w:rPr>
          <w:b/>
          <w:i/>
          <w:lang w:val="ro-MD"/>
        </w:rPr>
        <w:t>Preprinturi</w:t>
      </w:r>
      <w:r>
        <w:rPr>
          <w:b/>
          <w:i/>
          <w:lang w:val="ro-RO"/>
        </w:rPr>
        <w:t xml:space="preserve"> </w:t>
      </w:r>
      <w:r>
        <w:rPr>
          <w:rFonts w:cs="Times New Roman CE" w:ascii="Times New Roman CE" w:hAnsi="Times New Roman CE"/>
          <w:b/>
          <w:i/>
          <w:sz w:val="22"/>
          <w:szCs w:val="22"/>
          <w:lang w:val="ro-MD"/>
        </w:rPr>
        <w:t>şi rapoarte tehnice,</w:t>
      </w:r>
      <w:r>
        <w:rPr>
          <w:b/>
          <w:sz w:val="22"/>
          <w:szCs w:val="22"/>
          <w:lang w:val="ro-MD"/>
        </w:rPr>
        <w:t xml:space="preserve"> publicate</w:t>
      </w:r>
      <w:r>
        <w:rPr>
          <w:rFonts w:cs="Times New Roman CE" w:ascii="Times New Roman CE" w:hAnsi="Times New Roman CE"/>
          <w:b/>
          <w:i/>
          <w:lang w:val="ro-RO"/>
        </w:rPr>
        <w:t xml:space="preserve"> în străinătate</w:t>
      </w:r>
    </w:p>
    <w:p>
      <w:pPr>
        <w:pStyle w:val="ListParagraph"/>
        <w:widowControl/>
        <w:numPr>
          <w:ilvl w:val="0"/>
          <w:numId w:val="72"/>
        </w:numPr>
        <w:tabs>
          <w:tab w:val="left" w:pos="360" w:leader="none"/>
        </w:tabs>
        <w:bidi w:val="0"/>
        <w:spacing w:before="0" w:after="0"/>
        <w:ind w:left="360" w:right="0" w:hanging="0"/>
        <w:contextualSpacing/>
        <w:jc w:val="both"/>
        <w:textAlignment w:val="auto"/>
        <w:rPr>
          <w:lang w:val="ro-MD"/>
        </w:rPr>
      </w:pPr>
      <w:r>
        <w:rPr>
          <w:sz w:val="22"/>
          <w:szCs w:val="22"/>
          <w:lang w:val="ro-MD"/>
        </w:rPr>
        <w:t>OLIVERA, R.D.; REZENDE, S., SCHLOMIUK, A.C.; VULPE,N</w:t>
      </w:r>
      <w:r>
        <w:rPr>
          <w:rFonts w:cs="Times New Roman CE" w:ascii="Times New Roman CE" w:hAnsi="Times New Roman CE"/>
          <w:sz w:val="22"/>
          <w:szCs w:val="22"/>
          <w:lang w:val="ro-MD"/>
        </w:rPr>
        <w:t>. Classification of quadratic differential systems with invariant hyperbolas according to their configurations of invariant hyperbolas and invariant lines (Part II).  Notas do ICMC - Série Matemática, 420(2016), 1-9</w:t>
      </w:r>
      <w:r>
        <w:rPr>
          <w:sz w:val="22"/>
          <w:szCs w:val="22"/>
          <w:lang w:val="ro-MD"/>
        </w:rPr>
        <w:t xml:space="preserve">8. Available at </w:t>
      </w:r>
    </w:p>
    <w:p>
      <w:pPr>
        <w:pStyle w:val="ListParagraph"/>
        <w:widowControl/>
        <w:bidi w:val="0"/>
        <w:spacing w:before="0" w:after="0"/>
        <w:ind w:left="360" w:right="0" w:hanging="0"/>
        <w:contextualSpacing/>
        <w:jc w:val="both"/>
        <w:textAlignment w:val="auto"/>
        <w:rPr/>
      </w:pPr>
      <w:r>
        <w:rPr>
          <w:sz w:val="22"/>
          <w:szCs w:val="22"/>
          <w:lang w:val="ro-MD"/>
        </w:rPr>
        <w:t>\url{</w:t>
      </w:r>
      <w:hyperlink r:id="rId65">
        <w:r>
          <w:rPr>
            <w:webHidden/>
            <w:rStyle w:val="Style5"/>
            <w:sz w:val="22"/>
            <w:szCs w:val="22"/>
            <w:lang w:val="ro-MD"/>
          </w:rPr>
          <w:t>http://www.icmc.usp.br/CMS/Arquivos/arquivos_enviados/BIBLIOTECA_158_Nota%20Serie%20Mat%20420.pdf</w:t>
        </w:r>
      </w:hyperlink>
      <w:r>
        <w:rPr>
          <w:sz w:val="22"/>
          <w:szCs w:val="22"/>
          <w:lang w:val="ro-MD"/>
        </w:rPr>
        <w:t>}</w:t>
      </w:r>
    </w:p>
    <w:p>
      <w:pPr>
        <w:pStyle w:val="ListParagraph"/>
        <w:widowControl/>
        <w:bidi w:val="0"/>
        <w:spacing w:before="0" w:after="0"/>
        <w:ind w:left="360" w:right="0" w:hanging="0"/>
        <w:contextualSpacing/>
        <w:jc w:val="both"/>
        <w:textAlignment w:val="auto"/>
        <w:rPr>
          <w:rFonts w:ascii="Times New Roman" w:hAnsi="Times New Roman"/>
          <w:sz w:val="22"/>
          <w:szCs w:val="22"/>
          <w:lang w:val="ro-MD"/>
        </w:rPr>
      </w:pPr>
      <w:r>
        <w:rPr>
          <w:sz w:val="22"/>
          <w:szCs w:val="22"/>
          <w:lang w:val="ro-MD"/>
        </w:rPr>
      </w:r>
    </w:p>
    <w:p>
      <w:pPr>
        <w:pStyle w:val="Normal"/>
        <w:widowControl/>
        <w:bidi w:val="0"/>
        <w:spacing w:before="0" w:after="80"/>
        <w:ind w:left="0" w:right="0" w:hanging="0"/>
        <w:jc w:val="both"/>
        <w:textAlignment w:val="auto"/>
        <w:rPr>
          <w:lang w:val="ro-RO"/>
        </w:rPr>
      </w:pPr>
      <w:r>
        <w:rPr>
          <w:b/>
          <w:i/>
          <w:sz w:val="22"/>
          <w:szCs w:val="22"/>
          <w:lang w:val="ro-RO"/>
        </w:rPr>
        <w:t>Articol</w:t>
      </w:r>
      <w:r>
        <w:rPr>
          <w:rFonts w:cs="Times New Roman CE" w:ascii="Times New Roman CE" w:hAnsi="Times New Roman CE"/>
          <w:b/>
          <w:i/>
          <w:sz w:val="22"/>
          <w:szCs w:val="22"/>
          <w:lang w:val="ro-RO"/>
        </w:rPr>
        <w:t>e din alte reviste editate în străinătate</w:t>
      </w:r>
    </w:p>
    <w:p>
      <w:pPr>
        <w:pStyle w:val="ListParagraph"/>
        <w:widowControl/>
        <w:numPr>
          <w:ilvl w:val="0"/>
          <w:numId w:val="81"/>
        </w:numPr>
        <w:suppressAutoHyphens w:val="true"/>
        <w:bidi w:val="0"/>
        <w:spacing w:lineRule="auto" w:line="276" w:before="0" w:after="0"/>
        <w:ind w:left="720" w:right="0" w:hanging="0"/>
        <w:contextualSpacing/>
        <w:jc w:val="both"/>
        <w:textAlignment w:val="auto"/>
        <w:rPr>
          <w:lang w:val="ro-RO"/>
        </w:rPr>
      </w:pPr>
      <w:r>
        <w:rPr>
          <w:iCs/>
          <w:sz w:val="22"/>
          <w:szCs w:val="22"/>
          <w:lang w:val="ro-RO" w:eastAsia="ro-RO"/>
        </w:rPr>
        <w:t xml:space="preserve">ALHAZOV, A; FREUND, R.; IVANOV, S. P Systems with Polarizations – Two Polarizations Are Sufficient for Universality. In: </w:t>
      </w:r>
      <w:r>
        <w:rPr>
          <w:i/>
          <w:iCs/>
          <w:sz w:val="22"/>
          <w:szCs w:val="22"/>
          <w:lang w:val="ro-RO" w:eastAsia="ro-RO"/>
        </w:rPr>
        <w:t>Buletin of the International Membrane Computing Society</w:t>
      </w:r>
      <w:r>
        <w:rPr>
          <w:iCs/>
          <w:sz w:val="22"/>
          <w:szCs w:val="22"/>
          <w:lang w:val="ro-RO" w:eastAsia="ro-RO"/>
        </w:rPr>
        <w:t>, IMCS, Number 1, June 2016, 97-103.</w:t>
      </w:r>
    </w:p>
    <w:p>
      <w:pPr>
        <w:pStyle w:val="ListParagraph"/>
        <w:widowControl/>
        <w:numPr>
          <w:ilvl w:val="0"/>
          <w:numId w:val="81"/>
        </w:numPr>
        <w:bidi w:val="0"/>
        <w:spacing w:before="0" w:after="0"/>
        <w:ind w:left="720" w:right="0" w:hanging="0"/>
        <w:contextualSpacing/>
        <w:jc w:val="left"/>
        <w:textAlignment w:val="auto"/>
        <w:rPr>
          <w:lang w:val="ro-RO"/>
        </w:rPr>
      </w:pPr>
      <w:r>
        <w:rPr>
          <w:iCs/>
          <w:sz w:val="22"/>
          <w:szCs w:val="22"/>
          <w:lang w:val="ro-RO" w:eastAsia="ro-RO"/>
        </w:rPr>
        <w:t xml:space="preserve">ALHAZOV, A; IVANOV, S.; </w:t>
      </w:r>
      <w:r>
        <w:rPr>
          <w:sz w:val="22"/>
          <w:szCs w:val="22"/>
          <w:lang w:val="en-US"/>
        </w:rPr>
        <w:t xml:space="preserve">PELZ, E.; VERLAN, S. </w:t>
      </w:r>
      <w:r>
        <w:rPr>
          <w:iCs/>
          <w:sz w:val="22"/>
          <w:szCs w:val="22"/>
          <w:lang w:val="en-US"/>
        </w:rPr>
        <w:t>Small Universal Deterministic Petri Nets with Inhibitor Arcs</w:t>
      </w:r>
      <w:r>
        <w:rPr>
          <w:i/>
          <w:iCs/>
          <w:sz w:val="22"/>
          <w:szCs w:val="22"/>
          <w:lang w:val="en-US"/>
        </w:rPr>
        <w:t>.</w:t>
      </w:r>
      <w:r>
        <w:rPr>
          <w:sz w:val="22"/>
          <w:szCs w:val="22"/>
          <w:lang w:val="en-US"/>
        </w:rPr>
        <w:t xml:space="preserve"> </w:t>
      </w:r>
      <w:r>
        <w:rPr>
          <w:i/>
          <w:sz w:val="22"/>
          <w:szCs w:val="22"/>
        </w:rPr>
        <w:t>Journal of Automata, Languages and Combinatorics</w:t>
      </w:r>
      <w:r>
        <w:rPr>
          <w:sz w:val="22"/>
          <w:szCs w:val="22"/>
        </w:rPr>
        <w:t xml:space="preserve">. Vol. </w:t>
      </w:r>
      <w:r>
        <w:rPr>
          <w:rStyle w:val="Bold"/>
          <w:sz w:val="22"/>
          <w:szCs w:val="22"/>
          <w:lang w:val="ru-RU" w:eastAsia="ru-RU" w:bidi="ar-SA"/>
        </w:rPr>
        <w:t>21</w:t>
      </w:r>
      <w:r>
        <w:rPr>
          <w:sz w:val="22"/>
          <w:szCs w:val="22"/>
        </w:rPr>
        <w:t xml:space="preserve">(1-2), 2016, pp. 7-26. </w:t>
      </w:r>
    </w:p>
    <w:p>
      <w:pPr>
        <w:pStyle w:val="ListParagraph"/>
        <w:widowControl/>
        <w:numPr>
          <w:ilvl w:val="0"/>
          <w:numId w:val="81"/>
        </w:numPr>
        <w:bidi w:val="0"/>
        <w:spacing w:before="0" w:after="0"/>
        <w:ind w:left="720" w:right="0" w:hanging="0"/>
        <w:contextualSpacing/>
        <w:jc w:val="left"/>
        <w:textAlignment w:val="auto"/>
        <w:rPr>
          <w:lang w:val="ro-RO"/>
        </w:rPr>
      </w:pPr>
      <w:r>
        <w:rPr>
          <w:iCs/>
          <w:sz w:val="22"/>
          <w:szCs w:val="22"/>
          <w:lang w:val="ro-RO" w:eastAsia="ro-RO"/>
        </w:rPr>
        <w:t>IVANOV, S.;</w:t>
      </w:r>
      <w:r>
        <w:rPr>
          <w:sz w:val="22"/>
          <w:szCs w:val="22"/>
          <w:lang w:val="en-US"/>
        </w:rPr>
        <w:t xml:space="preserve"> VERLAN, S. </w:t>
      </w:r>
      <w:r>
        <w:rPr>
          <w:iCs/>
          <w:sz w:val="22"/>
          <w:szCs w:val="22"/>
          <w:lang w:val="en-US"/>
        </w:rPr>
        <w:t xml:space="preserve">On the Lower Bounds for Leftist Insertion-Deletion Languages. </w:t>
      </w:r>
      <w:r>
        <w:rPr>
          <w:i/>
          <w:sz w:val="22"/>
          <w:szCs w:val="22"/>
          <w:lang w:val="en-US"/>
        </w:rPr>
        <w:t>Annals of the University of Bucharest (informatics series).</w:t>
      </w:r>
      <w:r>
        <w:rPr>
          <w:sz w:val="22"/>
          <w:szCs w:val="22"/>
          <w:lang w:val="en-US"/>
        </w:rPr>
        <w:t xml:space="preserve"> Vol. </w:t>
      </w:r>
      <w:r>
        <w:rPr>
          <w:rStyle w:val="Bold"/>
          <w:sz w:val="22"/>
          <w:szCs w:val="22"/>
          <w:lang w:val="en-US" w:eastAsia="ru-RU" w:bidi="ar-SA"/>
        </w:rPr>
        <w:t>LXII</w:t>
      </w:r>
      <w:r>
        <w:rPr>
          <w:sz w:val="22"/>
          <w:szCs w:val="22"/>
          <w:lang w:val="en-US"/>
        </w:rPr>
        <w:t xml:space="preserve">(2), 2015, pp. 77-88. </w:t>
      </w:r>
    </w:p>
    <w:p>
      <w:pPr>
        <w:pStyle w:val="ListParagraph"/>
        <w:widowControl/>
        <w:numPr>
          <w:ilvl w:val="0"/>
          <w:numId w:val="81"/>
        </w:numPr>
        <w:bidi w:val="0"/>
        <w:spacing w:before="0" w:after="0"/>
        <w:ind w:left="720" w:right="0" w:hanging="0"/>
        <w:contextualSpacing/>
        <w:jc w:val="both"/>
        <w:textAlignment w:val="auto"/>
        <w:rPr>
          <w:lang w:val="ro-RO"/>
        </w:rPr>
      </w:pPr>
      <w:r>
        <w:rPr>
          <w:sz w:val="22"/>
          <w:szCs w:val="22"/>
          <w:lang w:val="ro-RO" w:eastAsia="hi-IN" w:bidi="hi-IN"/>
        </w:rPr>
        <w:t xml:space="preserve">KASHU,  A.I. A survey of results on radicals and torsions in modules. </w:t>
      </w:r>
      <w:r>
        <w:rPr>
          <w:i/>
          <w:sz w:val="22"/>
          <w:szCs w:val="22"/>
          <w:lang w:val="ro-RO" w:eastAsia="hi-IN" w:bidi="hi-IN"/>
        </w:rPr>
        <w:t>Algebra and Discrete Mathematics,</w:t>
      </w:r>
      <w:r>
        <w:rPr>
          <w:sz w:val="22"/>
          <w:szCs w:val="22"/>
          <w:lang w:val="ro-RO" w:eastAsia="hi-IN" w:bidi="hi-IN"/>
        </w:rPr>
        <w:t xml:space="preserve"> vol. 21 ( 2016) , № 1, 69 – 110 .</w:t>
      </w:r>
    </w:p>
    <w:p>
      <w:pPr>
        <w:pStyle w:val="ListParagraph"/>
        <w:widowControl/>
        <w:numPr>
          <w:ilvl w:val="0"/>
          <w:numId w:val="81"/>
        </w:numPr>
        <w:suppressAutoHyphens w:val="true"/>
        <w:bidi w:val="0"/>
        <w:spacing w:lineRule="auto" w:line="276" w:before="0" w:after="0"/>
        <w:ind w:left="720" w:right="0" w:hanging="0"/>
        <w:contextualSpacing/>
        <w:jc w:val="both"/>
        <w:textAlignment w:val="auto"/>
        <w:rPr/>
      </w:pPr>
      <w:r>
        <w:rPr>
          <w:iCs/>
          <w:sz w:val="22"/>
          <w:szCs w:val="22"/>
          <w:lang w:val="ro-RO" w:eastAsia="ro-RO"/>
        </w:rPr>
        <w:t xml:space="preserve">PETIC, M.; DUMBRAVEANU, R.; CHILAT, S. Разработка инструмента для обработки текстов с неоднородной структурой. In: </w:t>
      </w:r>
      <w:r>
        <w:rPr>
          <w:i/>
          <w:iCs/>
          <w:sz w:val="22"/>
          <w:szCs w:val="22"/>
          <w:lang w:val="ro-RO" w:eastAsia="ro-RO"/>
        </w:rPr>
        <w:t>Electrotechnic and Computer Systems Journal,</w:t>
      </w:r>
      <w:r>
        <w:rPr>
          <w:iCs/>
          <w:sz w:val="22"/>
          <w:szCs w:val="22"/>
          <w:lang w:val="ro-RO" w:eastAsia="ro-RO"/>
        </w:rPr>
        <w:t xml:space="preserve"> № 23 (99), 2016, Section Artificial Intelligence Systems, 2016, Odessa, </w:t>
      </w:r>
      <w:hyperlink r:id="rId66">
        <w:r>
          <w:rPr>
            <w:webHidden/>
            <w:rStyle w:val="Style5"/>
            <w:iCs/>
            <w:sz w:val="22"/>
            <w:szCs w:val="22"/>
            <w:lang w:val="ro-RO" w:eastAsia="ro-RO"/>
          </w:rPr>
          <w:t>http://www.etks.opu.ua/?fetch=articles&amp;with=info&amp;id=839</w:t>
        </w:r>
      </w:hyperlink>
      <w:r>
        <w:rPr>
          <w:iCs/>
          <w:sz w:val="22"/>
          <w:szCs w:val="22"/>
          <w:lang w:val="ro-RO" w:eastAsia="ro-RO"/>
        </w:rPr>
        <w:t>, 79-82.</w:t>
      </w:r>
    </w:p>
    <w:p>
      <w:pPr>
        <w:pStyle w:val="ListParagraph"/>
        <w:widowControl/>
        <w:numPr>
          <w:ilvl w:val="0"/>
          <w:numId w:val="81"/>
        </w:numPr>
        <w:bidi w:val="0"/>
        <w:spacing w:before="0" w:after="0"/>
        <w:ind w:left="720" w:right="0" w:hanging="0"/>
        <w:contextualSpacing/>
        <w:jc w:val="both"/>
        <w:textAlignment w:val="auto"/>
        <w:rPr>
          <w:lang w:val="ro-RO"/>
        </w:rPr>
      </w:pPr>
      <w:r>
        <w:rPr>
          <w:sz w:val="22"/>
          <w:szCs w:val="22"/>
          <w:lang w:val="ro-RO"/>
        </w:rPr>
        <w:t xml:space="preserve">PHILLIPS, J.D. ;  PUSHKASHU, D.I.; SHCHERBACOV, A.V.;  SHCHERBACOV, V.A.. On Birkhoff's quasigroup axioms. </w:t>
      </w:r>
      <w:r>
        <w:rPr>
          <w:i/>
          <w:sz w:val="22"/>
          <w:szCs w:val="22"/>
          <w:lang w:val="ro-RO"/>
        </w:rPr>
        <w:t>Journal of Algebra, v</w:t>
      </w:r>
      <w:r>
        <w:rPr>
          <w:sz w:val="22"/>
          <w:szCs w:val="22"/>
          <w:lang w:val="ro-RO"/>
        </w:rPr>
        <w:t>.457, 2016, 7-17.</w:t>
      </w:r>
    </w:p>
    <w:p>
      <w:pPr>
        <w:pStyle w:val="ListParagraph"/>
        <w:widowControl/>
        <w:bidi w:val="0"/>
        <w:spacing w:before="0" w:after="0"/>
        <w:ind w:left="0" w:right="0" w:hanging="0"/>
        <w:contextualSpacing/>
        <w:jc w:val="both"/>
        <w:textAlignment w:val="auto"/>
        <w:rPr>
          <w:rFonts w:ascii="Times New Roman" w:hAnsi="Times New Roman"/>
          <w:sz w:val="22"/>
          <w:szCs w:val="22"/>
          <w:lang w:val="ro-MD"/>
        </w:rPr>
      </w:pPr>
      <w:r>
        <w:rPr>
          <w:sz w:val="22"/>
          <w:szCs w:val="22"/>
          <w:lang w:val="ro-MD"/>
        </w:rPr>
      </w:r>
    </w:p>
    <w:p>
      <w:pPr>
        <w:pStyle w:val="Normal"/>
        <w:widowControl/>
        <w:bidi w:val="0"/>
        <w:ind w:left="0" w:right="0" w:hanging="0"/>
        <w:jc w:val="both"/>
        <w:textAlignment w:val="auto"/>
        <w:rPr>
          <w:lang w:val="ro-RO"/>
        </w:rPr>
      </w:pPr>
      <w:r>
        <w:rPr>
          <w:b/>
          <w:i/>
          <w:lang w:val="ro-RO"/>
        </w:rPr>
        <w:t xml:space="preserve">Culegeri </w:t>
      </w:r>
      <w:r>
        <w:rPr>
          <w:rFonts w:cs="Times New Roman CE" w:ascii="Times New Roman CE" w:hAnsi="Times New Roman CE"/>
          <w:b/>
          <w:i/>
          <w:lang w:val="ro-RO"/>
        </w:rPr>
        <w:t>în ediţii naţionale/internaţionale</w:t>
      </w:r>
    </w:p>
    <w:p>
      <w:pPr>
        <w:pStyle w:val="ListParagraph"/>
        <w:widowControl/>
        <w:numPr>
          <w:ilvl w:val="0"/>
          <w:numId w:val="70"/>
        </w:numPr>
        <w:tabs>
          <w:tab w:val="left" w:pos="360" w:leader="none"/>
        </w:tabs>
        <w:bidi w:val="0"/>
        <w:spacing w:before="0" w:after="0"/>
        <w:ind w:left="360" w:right="0" w:hanging="0"/>
        <w:contextualSpacing/>
        <w:jc w:val="both"/>
        <w:textAlignment w:val="auto"/>
        <w:rPr>
          <w:lang w:val="ro-MD"/>
        </w:rPr>
      </w:pPr>
      <w:r>
        <w:rPr>
          <w:sz w:val="22"/>
          <w:szCs w:val="22"/>
          <w:lang w:val="ro-MD"/>
        </w:rPr>
        <w:t>GAINDRIC, C.; COJOCARU, S. (Eds). Proceedings of the Workshop on Foundations of Informatics:</w:t>
      </w:r>
    </w:p>
    <w:p>
      <w:pPr>
        <w:pStyle w:val="ListParagraph"/>
        <w:widowControl/>
        <w:bidi w:val="0"/>
        <w:spacing w:before="0" w:after="0"/>
        <w:ind w:left="360" w:right="0" w:hanging="0"/>
        <w:contextualSpacing/>
        <w:jc w:val="both"/>
        <w:textAlignment w:val="auto"/>
        <w:rPr>
          <w:lang w:val="ro-MD"/>
        </w:rPr>
      </w:pPr>
      <w:r>
        <w:rPr>
          <w:sz w:val="22"/>
          <w:szCs w:val="22"/>
          <w:lang w:val="ro-MD"/>
        </w:rPr>
        <w:t xml:space="preserve">Proceedings FOI-2016  </w:t>
      </w:r>
      <w:r>
        <w:rPr>
          <w:rFonts w:cs="Times New Roman CE" w:ascii="Times New Roman CE" w:hAnsi="Times New Roman CE"/>
          <w:sz w:val="22"/>
          <w:szCs w:val="22"/>
          <w:lang w:val="ro-MD"/>
        </w:rPr>
        <w:t>Chişinău, Institute of Mathematics and Computer Science, ASM</w:t>
      </w:r>
      <w:r>
        <w:rPr>
          <w:sz w:val="22"/>
          <w:szCs w:val="22"/>
          <w:lang w:val="ro-MD"/>
        </w:rPr>
        <w:t>, 2016. ISBN 978-9975-4237-4-8,  351p.</w:t>
      </w:r>
    </w:p>
    <w:p>
      <w:pPr>
        <w:pStyle w:val="Normal"/>
        <w:widowControl/>
        <w:tabs>
          <w:tab w:val="left" w:pos="284" w:leader="none"/>
        </w:tabs>
        <w:bidi w:val="0"/>
        <w:ind w:left="360" w:right="0" w:hanging="0"/>
        <w:jc w:val="both"/>
        <w:textAlignment w:val="auto"/>
        <w:rPr>
          <w:rFonts w:ascii="Times New Roman" w:hAnsi="Times New Roman"/>
          <w:lang w:val="en-US"/>
        </w:rPr>
      </w:pPr>
      <w:r>
        <w:rPr>
          <w:lang w:val="en-US"/>
        </w:rPr>
      </w:r>
    </w:p>
    <w:p>
      <w:pPr>
        <w:pStyle w:val="Normal"/>
        <w:widowControl/>
        <w:tabs>
          <w:tab w:val="left" w:pos="6237" w:leader="none"/>
          <w:tab w:val="left" w:pos="6521" w:leader="none"/>
        </w:tabs>
        <w:bidi w:val="0"/>
        <w:spacing w:lineRule="exact" w:line="280" w:before="0" w:after="80"/>
        <w:ind w:left="0" w:right="0" w:hanging="0"/>
        <w:jc w:val="both"/>
        <w:textAlignment w:val="auto"/>
        <w:rPr>
          <w:lang w:val="ro-RO"/>
        </w:rPr>
      </w:pPr>
      <w:r>
        <w:rPr>
          <w:b/>
          <w:bCs/>
          <w:i/>
          <w:color w:val="000000"/>
          <w:lang w:val="ro-RO"/>
        </w:rPr>
        <w:t>Articole din reviste cu</w:t>
      </w:r>
      <w:r>
        <w:rPr>
          <w:b/>
          <w:bCs/>
          <w:i/>
          <w:lang w:val="ro-RO"/>
        </w:rPr>
        <w:t xml:space="preserve"> factor de impact:</w:t>
      </w:r>
      <w:r>
        <w:rPr>
          <w:b/>
          <w:i/>
          <w:color w:val="000000"/>
          <w:lang w:val="ro-RO"/>
        </w:rPr>
        <w:t xml:space="preserve">    1,0-2,9</w:t>
      </w:r>
    </w:p>
    <w:p>
      <w:pPr>
        <w:pStyle w:val="ListParagraph"/>
        <w:widowControl/>
        <w:numPr>
          <w:ilvl w:val="0"/>
          <w:numId w:val="34"/>
        </w:numPr>
        <w:tabs>
          <w:tab w:val="left" w:pos="343" w:leader="none"/>
        </w:tabs>
        <w:suppressAutoHyphens w:val="true"/>
        <w:bidi w:val="0"/>
        <w:spacing w:before="0" w:after="0"/>
        <w:ind w:left="343" w:right="0" w:hanging="0"/>
        <w:contextualSpacing/>
        <w:jc w:val="both"/>
        <w:textAlignment w:val="auto"/>
        <w:rPr>
          <w:lang w:val="ro-RO"/>
        </w:rPr>
      </w:pPr>
      <w:r>
        <w:rPr>
          <w:iCs/>
          <w:sz w:val="22"/>
          <w:szCs w:val="22"/>
          <w:lang w:val="ro-RO" w:eastAsia="ro-RO"/>
        </w:rPr>
        <w:t>ALHAZOV, A; FREUND, R.; ROGOZHIN, V.; ROGOZHIN, YU. Computational Completeness of Complete, Star-Like, and Linear Hybrid Networks of Evolutionary Processors with a Small Number of Processors. Natural Computing 15, 1, 2016, 51-68. (IF: 1.310</w:t>
      </w:r>
      <w:r>
        <w:rPr>
          <w:b/>
          <w:iCs/>
          <w:sz w:val="22"/>
          <w:szCs w:val="22"/>
          <w:lang w:val="ro-RO" w:eastAsia="ro-RO"/>
        </w:rPr>
        <w:t>)</w:t>
      </w:r>
    </w:p>
    <w:p>
      <w:pPr>
        <w:pStyle w:val="ListParagraph"/>
        <w:widowControl/>
        <w:numPr>
          <w:ilvl w:val="0"/>
          <w:numId w:val="34"/>
        </w:numPr>
        <w:tabs>
          <w:tab w:val="left" w:pos="343" w:leader="none"/>
        </w:tabs>
        <w:bidi w:val="0"/>
        <w:spacing w:before="0" w:after="0"/>
        <w:ind w:left="343" w:right="0" w:hanging="0"/>
        <w:contextualSpacing/>
        <w:jc w:val="both"/>
        <w:textAlignment w:val="auto"/>
        <w:rPr/>
      </w:pPr>
      <w:r>
        <w:rPr>
          <w:sz w:val="22"/>
          <w:szCs w:val="22"/>
          <w:lang w:val="en-US"/>
        </w:rPr>
        <w:t xml:space="preserve">DRYMA, V.S. On the article V.S.Dryuma "On the analytical solution of the two-dimensional Korteweg-de Vries equation", Sov. Phys. JETP Lett. 19, 753-757 (1974),   Sov. Phys. JETP Lett. Sov. Phys. JETP Lett., </w:t>
      </w:r>
      <w:hyperlink r:id="rId67">
        <w:r>
          <w:rPr>
            <w:webHidden/>
            <w:rStyle w:val="Style5"/>
            <w:sz w:val="22"/>
            <w:szCs w:val="22"/>
            <w:lang w:val="en-US" w:eastAsia="ru-RU" w:bidi="ar-SA"/>
          </w:rPr>
          <w:t>http://www.jetpletters.ac.ru/</w:t>
        </w:r>
      </w:hyperlink>
      <w:r>
        <w:rPr>
          <w:sz w:val="22"/>
          <w:szCs w:val="22"/>
          <w:lang w:val="en-US"/>
        </w:rPr>
        <w:t xml:space="preserve">, Golden Archive, </w:t>
      </w:r>
      <w:hyperlink r:id="rId68">
        <w:r>
          <w:rPr>
            <w:webHidden/>
            <w:rStyle w:val="Style5"/>
            <w:sz w:val="22"/>
            <w:szCs w:val="22"/>
            <w:lang w:val="en-US" w:eastAsia="ru-RU" w:bidi="ar-SA"/>
          </w:rPr>
          <w:t>http://www.jetpletters.ac.ru/cgi-bin/front/gf/en</w:t>
        </w:r>
      </w:hyperlink>
      <w:r>
        <w:rPr>
          <w:sz w:val="22"/>
          <w:szCs w:val="22"/>
          <w:lang w:val="en-US"/>
        </w:rPr>
        <w:t xml:space="preserve">, p.1, Published 2016-08-12, 16:27:02. (IF </w:t>
      </w:r>
      <w:r>
        <w:rPr>
          <w:bCs/>
          <w:iCs/>
          <w:sz w:val="22"/>
          <w:szCs w:val="22"/>
          <w:lang w:val="en-US"/>
        </w:rPr>
        <w:t>1</w:t>
      </w:r>
      <w:r>
        <w:rPr>
          <w:bCs/>
          <w:iCs/>
          <w:sz w:val="22"/>
          <w:szCs w:val="22"/>
          <w:lang w:val="ro-RO"/>
        </w:rPr>
        <w:t>,</w:t>
      </w:r>
      <w:r>
        <w:rPr>
          <w:bCs/>
          <w:iCs/>
          <w:sz w:val="22"/>
          <w:szCs w:val="22"/>
          <w:lang w:val="en-US"/>
        </w:rPr>
        <w:t>172</w:t>
      </w:r>
      <w:r>
        <w:rPr>
          <w:sz w:val="22"/>
          <w:szCs w:val="22"/>
          <w:lang w:val="en-US"/>
        </w:rPr>
        <w:t>)</w:t>
      </w:r>
    </w:p>
    <w:p>
      <w:pPr>
        <w:pStyle w:val="Normal"/>
        <w:widowControl/>
        <w:numPr>
          <w:ilvl w:val="0"/>
          <w:numId w:val="34"/>
        </w:numPr>
        <w:tabs>
          <w:tab w:val="left" w:pos="343" w:leader="none"/>
        </w:tabs>
        <w:suppressAutoHyphens w:val="true"/>
        <w:bidi w:val="0"/>
        <w:spacing w:before="0" w:after="60"/>
        <w:ind w:left="343" w:right="0" w:hanging="0"/>
        <w:jc w:val="both"/>
        <w:textAlignment w:val="auto"/>
        <w:rPr>
          <w:lang w:val="en-US"/>
        </w:rPr>
      </w:pPr>
      <w:r>
        <w:rPr>
          <w:rFonts w:cs="Times New Roman CE" w:ascii="Times New Roman CE" w:hAnsi="Times New Roman CE"/>
          <w:color w:val="131413"/>
          <w:sz w:val="22"/>
          <w:szCs w:val="22"/>
          <w:lang w:val="en-US"/>
        </w:rPr>
        <w:t xml:space="preserve">ŞEREMET, V. A method to derive thermoelastic Green’s functions for bounded domains (on examples of two-dimensional problems for parallelepipeds), </w:t>
      </w:r>
      <w:r>
        <w:rPr>
          <w:i/>
          <w:color w:val="131413"/>
          <w:sz w:val="22"/>
          <w:szCs w:val="22"/>
          <w:lang w:val="en-US"/>
        </w:rPr>
        <w:t>Journal Acta Mechanica</w:t>
      </w:r>
      <w:r>
        <w:rPr>
          <w:color w:val="131413"/>
          <w:sz w:val="22"/>
          <w:szCs w:val="22"/>
          <w:lang w:val="en-US"/>
        </w:rPr>
        <w:t>, 2016, pp.18, doi:10.1007/s00707-016-1680-8 Springer, ISSN: 0001-5970. (IF: 1.694).</w:t>
      </w:r>
    </w:p>
    <w:p>
      <w:pPr>
        <w:pStyle w:val="Normal"/>
        <w:widowControl/>
        <w:numPr>
          <w:ilvl w:val="0"/>
          <w:numId w:val="34"/>
        </w:numPr>
        <w:tabs>
          <w:tab w:val="left" w:pos="343" w:leader="none"/>
        </w:tabs>
        <w:suppressAutoHyphens w:val="true"/>
        <w:bidi w:val="0"/>
        <w:spacing w:before="0" w:after="60"/>
        <w:ind w:left="343" w:right="0" w:hanging="0"/>
        <w:jc w:val="both"/>
        <w:textAlignment w:val="auto"/>
        <w:rPr>
          <w:lang w:val="en-US"/>
        </w:rPr>
      </w:pPr>
      <w:r>
        <w:rPr>
          <w:rFonts w:cs="Times New Roman CE" w:ascii="Times New Roman CE" w:hAnsi="Times New Roman CE"/>
          <w:color w:val="131413"/>
          <w:sz w:val="22"/>
          <w:szCs w:val="22"/>
          <w:lang w:val="en-US"/>
        </w:rPr>
        <w:t>ŞER</w:t>
      </w:r>
      <w:r>
        <w:rPr>
          <w:color w:val="131413"/>
          <w:sz w:val="22"/>
          <w:szCs w:val="22"/>
          <w:lang w:val="en-US"/>
        </w:rPr>
        <w:t xml:space="preserve">EMET, V. Steady-state Green’s functions for thermal stresses within rectangular region under point heat source, </w:t>
      </w:r>
      <w:r>
        <w:rPr>
          <w:i/>
          <w:color w:val="131413"/>
          <w:sz w:val="22"/>
          <w:szCs w:val="22"/>
          <w:lang w:val="en-US"/>
        </w:rPr>
        <w:t>Journal of Thermal Stresses</w:t>
      </w:r>
      <w:r>
        <w:rPr>
          <w:color w:val="131413"/>
          <w:sz w:val="22"/>
          <w:szCs w:val="22"/>
          <w:lang w:val="en-US"/>
        </w:rPr>
        <w:t>,  2016, 39 (8), 906-927; Publisher: Taylor&amp;Francis. ISSN: 0149-5739 (Print). (IF: 1.211).</w:t>
      </w:r>
    </w:p>
    <w:p>
      <w:pPr>
        <w:pStyle w:val="Normal"/>
        <w:widowControl/>
        <w:numPr>
          <w:ilvl w:val="0"/>
          <w:numId w:val="34"/>
        </w:numPr>
        <w:tabs>
          <w:tab w:val="left" w:pos="343" w:leader="none"/>
        </w:tabs>
        <w:suppressAutoHyphens w:val="true"/>
        <w:bidi w:val="0"/>
        <w:spacing w:before="0" w:after="60"/>
        <w:ind w:left="343" w:right="0" w:hanging="0"/>
        <w:jc w:val="both"/>
        <w:textAlignment w:val="auto"/>
        <w:rPr/>
      </w:pPr>
      <w:r>
        <w:rPr>
          <w:rFonts w:cs="Times New Roman CE" w:ascii="Times New Roman CE" w:hAnsi="Times New Roman CE"/>
          <w:color w:val="131413"/>
          <w:sz w:val="22"/>
          <w:szCs w:val="22"/>
          <w:lang w:val="en-US"/>
        </w:rPr>
        <w:t xml:space="preserve">ŞEREMET, V. </w:t>
      </w:r>
      <w:hyperlink r:id="rId69">
        <w:r>
          <w:rPr>
            <w:webHidden/>
            <w:rStyle w:val="Style5"/>
            <w:color w:val="131413"/>
            <w:sz w:val="22"/>
            <w:szCs w:val="22"/>
            <w:lang w:val="en-US"/>
          </w:rPr>
          <w:t>Method to derive thermoelastic Green’s functions for cylindrical domains</w:t>
        </w:r>
      </w:hyperlink>
      <w:r>
        <w:rPr>
          <w:color w:val="131413"/>
          <w:sz w:val="22"/>
          <w:szCs w:val="22"/>
          <w:lang w:val="en-US"/>
        </w:rPr>
        <w:t xml:space="preserve"> 2016, </w:t>
      </w:r>
      <w:r>
        <w:rPr>
          <w:i/>
          <w:color w:val="131413"/>
          <w:sz w:val="22"/>
          <w:szCs w:val="22"/>
          <w:lang w:val="en-US"/>
        </w:rPr>
        <w:t>Journal of</w:t>
      </w:r>
      <w:r>
        <w:rPr>
          <w:i/>
          <w:color w:val="333333"/>
          <w:sz w:val="22"/>
          <w:szCs w:val="22"/>
          <w:lang w:val="ro-RO"/>
        </w:rPr>
        <w:t xml:space="preserve"> Thermal Stresses</w:t>
      </w:r>
      <w:r>
        <w:rPr>
          <w:color w:val="333333"/>
          <w:sz w:val="22"/>
          <w:szCs w:val="22"/>
          <w:lang w:val="ro-RO"/>
        </w:rPr>
        <w:t>, 2016</w:t>
      </w:r>
      <w:r>
        <w:rPr>
          <w:sz w:val="22"/>
          <w:szCs w:val="22"/>
          <w:lang w:val="en-US"/>
        </w:rPr>
        <w:t>, pp.13, DOI: 10.1080/01495739.2016.1237266. (IF: 1.211).</w:t>
      </w:r>
    </w:p>
    <w:p>
      <w:pPr>
        <w:pStyle w:val="Normal"/>
        <w:widowControl/>
        <w:tabs>
          <w:tab w:val="left" w:pos="516" w:leader="none"/>
          <w:tab w:val="left" w:pos="1908" w:leader="none"/>
          <w:tab w:val="left" w:pos="4428" w:leader="none"/>
          <w:tab w:val="left" w:pos="5688" w:leader="none"/>
          <w:tab w:val="left" w:pos="7668" w:leader="none"/>
          <w:tab w:val="left" w:pos="9039" w:leader="none"/>
        </w:tabs>
        <w:bidi w:val="0"/>
        <w:spacing w:lineRule="auto" w:line="276"/>
        <w:ind w:left="343" w:right="0" w:hanging="0"/>
        <w:jc w:val="both"/>
        <w:textAlignment w:val="auto"/>
        <w:rPr>
          <w:rFonts w:ascii="Times New Roman" w:hAnsi="Times New Roman"/>
          <w:lang w:val="it-IT"/>
        </w:rPr>
      </w:pPr>
      <w:r>
        <w:rPr>
          <w:lang w:val="it-IT"/>
        </w:rPr>
      </w:r>
    </w:p>
    <w:p>
      <w:pPr>
        <w:pStyle w:val="Normal"/>
        <w:widowControl/>
        <w:tabs>
          <w:tab w:val="left" w:pos="6237" w:leader="none"/>
          <w:tab w:val="left" w:pos="6521" w:leader="none"/>
        </w:tabs>
        <w:bidi w:val="0"/>
        <w:spacing w:lineRule="exact" w:line="280"/>
        <w:ind w:left="0" w:right="0" w:hanging="0"/>
        <w:jc w:val="both"/>
        <w:textAlignment w:val="auto"/>
        <w:rPr>
          <w:lang w:val="ro-RO"/>
        </w:rPr>
      </w:pPr>
      <w:r>
        <w:rPr>
          <w:b/>
          <w:bCs/>
          <w:i/>
          <w:color w:val="000000"/>
          <w:lang w:val="ro-RO"/>
        </w:rPr>
        <w:t>Articole din reviste cu</w:t>
      </w:r>
      <w:r>
        <w:rPr>
          <w:b/>
          <w:bCs/>
          <w:i/>
          <w:lang w:val="ro-RO"/>
        </w:rPr>
        <w:t xml:space="preserve"> factor de impact:</w:t>
      </w:r>
      <w:r>
        <w:rPr>
          <w:b/>
          <w:i/>
          <w:color w:val="000000"/>
          <w:lang w:val="ro-RO"/>
        </w:rPr>
        <w:t xml:space="preserve">    0,1-0,99</w:t>
      </w:r>
    </w:p>
    <w:p>
      <w:pPr>
        <w:pStyle w:val="Normal"/>
        <w:widowControl/>
        <w:numPr>
          <w:ilvl w:val="0"/>
          <w:numId w:val="35"/>
        </w:numPr>
        <w:tabs>
          <w:tab w:val="left" w:pos="343" w:leader="none"/>
        </w:tabs>
        <w:bidi w:val="0"/>
        <w:ind w:left="343" w:right="0" w:hanging="0"/>
        <w:jc w:val="both"/>
        <w:textAlignment w:val="auto"/>
        <w:rPr>
          <w:lang w:val="en-US"/>
        </w:rPr>
      </w:pPr>
      <w:r>
        <w:rPr>
          <w:sz w:val="22"/>
          <w:szCs w:val="22"/>
          <w:lang w:val="en-US"/>
        </w:rPr>
        <w:t xml:space="preserve">ALHAZOV, A.; FREUND, R. Polarizationless P Systems with One Active Membrane. In: G. Rozenberg, A. Salomaa, J.M. Sempere, C. Zandron: Membrane Computing - 16th International Conference, CMC 2015, Valencia, Revised Selected Papers.  Lecture </w:t>
      </w:r>
      <w:r>
        <w:rPr>
          <w:i/>
          <w:sz w:val="22"/>
          <w:szCs w:val="22"/>
          <w:lang w:val="en-US"/>
        </w:rPr>
        <w:t>Notes in Computer Science 9504, 2015</w:t>
      </w:r>
      <w:r>
        <w:rPr>
          <w:sz w:val="22"/>
          <w:szCs w:val="22"/>
          <w:lang w:val="en-US"/>
        </w:rPr>
        <w:t xml:space="preserve">, 51-62. </w:t>
      </w:r>
      <w:r>
        <w:rPr>
          <w:rStyle w:val="Pagenumbersinfo"/>
          <w:sz w:val="22"/>
          <w:szCs w:val="22"/>
          <w:lang w:val="en-US" w:eastAsia="ru-RU" w:bidi="ar-SA"/>
        </w:rPr>
        <w:t>(</w:t>
      </w:r>
      <w:r>
        <w:rPr>
          <w:sz w:val="22"/>
          <w:szCs w:val="22"/>
          <w:lang w:val="en-US"/>
        </w:rPr>
        <w:t>IF: 0.402)</w:t>
      </w:r>
      <w:r>
        <w:rPr>
          <w:b/>
          <w:sz w:val="22"/>
          <w:szCs w:val="22"/>
        </w:rPr>
        <w:t>.</w:t>
      </w:r>
    </w:p>
    <w:p>
      <w:pPr>
        <w:pStyle w:val="Normal"/>
        <w:widowControl/>
        <w:numPr>
          <w:ilvl w:val="0"/>
          <w:numId w:val="35"/>
        </w:numPr>
        <w:tabs>
          <w:tab w:val="left" w:pos="343" w:leader="none"/>
        </w:tabs>
        <w:bidi w:val="0"/>
        <w:ind w:left="343" w:right="0" w:hanging="0"/>
        <w:jc w:val="both"/>
        <w:textAlignment w:val="auto"/>
        <w:rPr>
          <w:lang w:val="en-US"/>
        </w:rPr>
      </w:pPr>
      <w:r>
        <w:rPr>
          <w:bCs/>
          <w:color w:val="000000"/>
          <w:sz w:val="22"/>
          <w:szCs w:val="22"/>
          <w:lang w:val="en-US"/>
        </w:rPr>
        <w:t xml:space="preserve">ALHAZOV, A.; FREUND, R.; ROGOZHIN, V. ; ROGOZHIN, Yu. Computational Completeness of Complete, Star-Like, and Linear Hybrid Networks of  Evolutionary Processors with a Small Number of Processors. </w:t>
      </w:r>
      <w:r>
        <w:rPr>
          <w:bCs/>
          <w:i/>
          <w:color w:val="000000"/>
          <w:sz w:val="22"/>
          <w:szCs w:val="22"/>
          <w:lang w:val="en-US"/>
        </w:rPr>
        <w:t>Natural Computing 15</w:t>
      </w:r>
      <w:r>
        <w:rPr>
          <w:bCs/>
          <w:color w:val="000000"/>
          <w:sz w:val="22"/>
          <w:szCs w:val="22"/>
          <w:lang w:val="en-US"/>
        </w:rPr>
        <w:t>, 1, 2016, 51-68.</w:t>
      </w:r>
    </w:p>
    <w:p>
      <w:pPr>
        <w:pStyle w:val="Normal"/>
        <w:widowControl/>
        <w:numPr>
          <w:ilvl w:val="0"/>
          <w:numId w:val="35"/>
        </w:numPr>
        <w:tabs>
          <w:tab w:val="left" w:pos="343" w:leader="none"/>
        </w:tabs>
        <w:bidi w:val="0"/>
        <w:ind w:left="343" w:right="0" w:hanging="0"/>
        <w:jc w:val="both"/>
        <w:textAlignment w:val="auto"/>
        <w:rPr/>
      </w:pPr>
      <w:r>
        <w:rPr>
          <w:bCs/>
          <w:color w:val="000000"/>
          <w:sz w:val="22"/>
          <w:szCs w:val="22"/>
          <w:lang w:val="en-US"/>
        </w:rPr>
        <w:t xml:space="preserve">ALHAZOV, A.; FREUND, R.; VERLAN, S. Bridging Deterministic P Systems and Conditional Grammars. In: G. Rozenberg, A. Salomaa, J.M. Sempere, C. Zandron: Membrane Computing - 16th International Conference, CMC 2015, Valencia, Revised Selected Papers. </w:t>
      </w:r>
      <w:r>
        <w:rPr>
          <w:bCs/>
          <w:i/>
          <w:color w:val="000000"/>
          <w:sz w:val="22"/>
          <w:szCs w:val="22"/>
          <w:lang w:val="en-US"/>
        </w:rPr>
        <w:t>Lecture Notes in Computer Science 9504, 2015,</w:t>
      </w:r>
      <w:r>
        <w:rPr>
          <w:bCs/>
          <w:color w:val="000000"/>
          <w:sz w:val="22"/>
          <w:szCs w:val="22"/>
          <w:lang w:val="en-US"/>
        </w:rPr>
        <w:t xml:space="preserve"> 63-76. </w:t>
      </w:r>
      <w:r>
        <w:rPr>
          <w:rStyle w:val="Pagenumbersinfo"/>
          <w:sz w:val="22"/>
          <w:szCs w:val="22"/>
          <w:lang w:val="en-US" w:eastAsia="ru-RU" w:bidi="ar-SA"/>
        </w:rPr>
        <w:t>(</w:t>
      </w:r>
      <w:r>
        <w:rPr>
          <w:sz w:val="22"/>
          <w:szCs w:val="22"/>
          <w:lang w:val="en-US"/>
        </w:rPr>
        <w:t>IF: 0.402)</w:t>
      </w:r>
      <w:r>
        <w:rPr>
          <w:b/>
          <w:sz w:val="22"/>
          <w:szCs w:val="22"/>
        </w:rPr>
        <w:t>.</w:t>
      </w:r>
    </w:p>
    <w:p>
      <w:pPr>
        <w:pStyle w:val="ListParagraph"/>
        <w:widowControl/>
        <w:numPr>
          <w:ilvl w:val="0"/>
          <w:numId w:val="35"/>
        </w:numPr>
        <w:tabs>
          <w:tab w:val="left" w:pos="343" w:leader="none"/>
        </w:tabs>
        <w:suppressAutoHyphens w:val="true"/>
        <w:bidi w:val="0"/>
        <w:spacing w:lineRule="auto" w:line="276" w:before="0" w:after="0"/>
        <w:ind w:left="343" w:right="0" w:hanging="0"/>
        <w:contextualSpacing/>
        <w:jc w:val="both"/>
        <w:textAlignment w:val="auto"/>
        <w:rPr/>
      </w:pPr>
      <w:r>
        <w:rPr>
          <w:iCs/>
          <w:sz w:val="22"/>
          <w:szCs w:val="22"/>
          <w:lang w:val="ro-RO" w:eastAsia="ro-RO"/>
        </w:rPr>
        <w:t xml:space="preserve">ALHAZOV, A; FREUND, R.Variants of Small Universal P Systems with Catalysts. </w:t>
      </w:r>
      <w:hyperlink r:id="rId70">
        <w:r>
          <w:rPr>
            <w:webHidden/>
            <w:rStyle w:val="Style5"/>
            <w:i/>
            <w:iCs/>
            <w:sz w:val="22"/>
            <w:szCs w:val="22"/>
            <w:lang w:val="ro-RO" w:eastAsia="ro-RO"/>
          </w:rPr>
          <w:t>Fundamenta Informaticae</w:t>
        </w:r>
      </w:hyperlink>
      <w:r>
        <w:rPr>
          <w:iCs/>
          <w:sz w:val="22"/>
          <w:szCs w:val="22"/>
          <w:lang w:val="ro-RO" w:eastAsia="ro-RO"/>
        </w:rPr>
        <w:t>, 138(1-2), 2015, 227-250. (IF: 0.717)</w:t>
      </w:r>
    </w:p>
    <w:p>
      <w:pPr>
        <w:pStyle w:val="ListParagraph"/>
        <w:widowControl/>
        <w:numPr>
          <w:ilvl w:val="0"/>
          <w:numId w:val="35"/>
        </w:numPr>
        <w:tabs>
          <w:tab w:val="left" w:pos="343" w:leader="none"/>
        </w:tabs>
        <w:suppressAutoHyphens w:val="true"/>
        <w:bidi w:val="0"/>
        <w:spacing w:before="0" w:after="0"/>
        <w:ind w:left="343" w:right="0" w:hanging="0"/>
        <w:contextualSpacing/>
        <w:jc w:val="both"/>
        <w:textAlignment w:val="auto"/>
        <w:rPr/>
      </w:pPr>
      <w:r>
        <w:rPr>
          <w:iCs/>
          <w:sz w:val="22"/>
          <w:szCs w:val="22"/>
          <w:lang w:val="ro-RO" w:eastAsia="ro-RO"/>
        </w:rPr>
        <w:t xml:space="preserve">AZIMI, S.; GRATIE, C.; IVANOV, S.; MANZONI, L.;PETRE, I.; PORRECA, A.E. </w:t>
      </w:r>
      <w:hyperlink r:id="rId71">
        <w:r>
          <w:rPr>
            <w:webHidden/>
            <w:rStyle w:val="Style5"/>
            <w:iCs/>
            <w:sz w:val="22"/>
            <w:szCs w:val="22"/>
            <w:lang w:val="ro-RO" w:eastAsia="ro-RO"/>
          </w:rPr>
          <w:t>Complexity of model checking for reaction systems</w:t>
        </w:r>
      </w:hyperlink>
      <w:r>
        <w:rPr>
          <w:iCs/>
          <w:sz w:val="22"/>
          <w:szCs w:val="22"/>
          <w:lang w:val="ro-RO" w:eastAsia="ro-RO"/>
        </w:rPr>
        <w:t xml:space="preserve">. In: </w:t>
      </w:r>
      <w:r>
        <w:rPr>
          <w:i/>
          <w:iCs/>
          <w:sz w:val="22"/>
          <w:szCs w:val="22"/>
          <w:lang w:val="ro-RO" w:eastAsia="ro-RO"/>
        </w:rPr>
        <w:t>Theoretical Computer Science</w:t>
      </w:r>
      <w:r>
        <w:rPr>
          <w:iCs/>
          <w:sz w:val="22"/>
          <w:szCs w:val="22"/>
          <w:lang w:val="ro-RO" w:eastAsia="ro-RO"/>
        </w:rPr>
        <w:t>, v.623, 2016, 103-113. (IF: 0.995)</w:t>
      </w:r>
      <w:r>
        <w:rPr>
          <w:b/>
          <w:iCs/>
          <w:sz w:val="22"/>
          <w:szCs w:val="22"/>
          <w:lang w:val="ro-RO" w:eastAsia="ro-RO"/>
        </w:rPr>
        <w:t xml:space="preserve"> </w:t>
      </w:r>
    </w:p>
    <w:p>
      <w:pPr>
        <w:pStyle w:val="Normal"/>
        <w:widowControl/>
        <w:numPr>
          <w:ilvl w:val="0"/>
          <w:numId w:val="35"/>
        </w:numPr>
        <w:tabs>
          <w:tab w:val="left" w:pos="343" w:leader="none"/>
        </w:tabs>
        <w:suppressAutoHyphens w:val="true"/>
        <w:bidi w:val="0"/>
        <w:spacing w:before="0" w:after="60"/>
        <w:ind w:left="343" w:right="0" w:hanging="0"/>
        <w:jc w:val="both"/>
        <w:textAlignment w:val="auto"/>
        <w:rPr/>
      </w:pPr>
      <w:r>
        <w:rPr>
          <w:color w:val="131413"/>
          <w:sz w:val="22"/>
          <w:szCs w:val="22"/>
          <w:lang w:val="en-US"/>
        </w:rPr>
        <w:t xml:space="preserve">BOGATENCOV, P.; SECRIERU, G.; DEGTEARIOV, N.; ILIUHA, N. Scientific computing infrastructure and services services in Moldova. Springer Link, </w:t>
      </w:r>
      <w:r>
        <w:rPr>
          <w:i/>
          <w:color w:val="131413"/>
          <w:sz w:val="22"/>
          <w:szCs w:val="22"/>
          <w:lang w:val="en-US"/>
        </w:rPr>
        <w:t xml:space="preserve">Journal </w:t>
      </w:r>
      <w:hyperlink r:id="rId72">
        <w:r>
          <w:rPr>
            <w:webHidden/>
            <w:rStyle w:val="Style5"/>
            <w:i/>
            <w:color w:val="131413"/>
            <w:sz w:val="22"/>
            <w:szCs w:val="22"/>
            <w:lang w:val="en-US"/>
          </w:rPr>
          <w:t>Physics of Particles and Nuclei Letters</w:t>
        </w:r>
      </w:hyperlink>
      <w:r>
        <w:rPr>
          <w:color w:val="131413"/>
          <w:sz w:val="22"/>
          <w:szCs w:val="22"/>
          <w:lang w:val="en-US"/>
        </w:rPr>
        <w:t>. September 2016,  vol. 13(</w:t>
      </w:r>
      <w:hyperlink r:id="rId73">
        <w:r>
          <w:rPr>
            <w:webHidden/>
            <w:rStyle w:val="Style5"/>
            <w:color w:val="131413"/>
            <w:sz w:val="22"/>
            <w:szCs w:val="22"/>
            <w:lang w:val="en-US"/>
          </w:rPr>
          <w:t>5</w:t>
        </w:r>
      </w:hyperlink>
      <w:r>
        <w:rPr>
          <w:color w:val="131413"/>
          <w:sz w:val="22"/>
          <w:szCs w:val="22"/>
          <w:lang w:val="en-US"/>
        </w:rPr>
        <w:t>), 685–688, DOI: 10.1134/S1547477116050125, ISSN: 1547-4771 (Print) 1531-8567 (Online). (IF: 0.42).</w:t>
      </w:r>
    </w:p>
    <w:p>
      <w:pPr>
        <w:pStyle w:val="Normal"/>
        <w:widowControl/>
        <w:numPr>
          <w:ilvl w:val="0"/>
          <w:numId w:val="35"/>
        </w:numPr>
        <w:tabs>
          <w:tab w:val="left" w:pos="343" w:leader="none"/>
        </w:tabs>
        <w:bidi w:val="0"/>
        <w:ind w:left="343" w:right="0" w:hanging="0"/>
        <w:jc w:val="both"/>
        <w:textAlignment w:val="auto"/>
        <w:rPr>
          <w:lang w:val="en-US"/>
        </w:rPr>
      </w:pPr>
      <w:r>
        <w:rPr>
          <w:bCs/>
          <w:color w:val="000000"/>
          <w:sz w:val="22"/>
          <w:szCs w:val="22"/>
          <w:lang w:val="en-US"/>
        </w:rPr>
        <w:t>BUJAC C., VULPE N.</w:t>
      </w:r>
      <w:r>
        <w:rPr>
          <w:color w:val="000000"/>
          <w:sz w:val="22"/>
          <w:szCs w:val="22"/>
          <w:lang w:val="en-US"/>
        </w:rPr>
        <w:t xml:space="preserve">  </w:t>
      </w:r>
      <w:r>
        <w:rPr>
          <w:rStyle w:val="Appleconvertedspace"/>
          <w:color w:val="222222"/>
          <w:sz w:val="22"/>
          <w:szCs w:val="22"/>
          <w:shd w:fill="FFFFFF" w:val="clear"/>
          <w:lang w:val="en-US" w:eastAsia="ru-RU" w:bidi="ar-SA"/>
        </w:rPr>
        <w:t> </w:t>
      </w:r>
      <w:r>
        <w:rPr>
          <w:color w:val="222222"/>
          <w:sz w:val="22"/>
          <w:szCs w:val="22"/>
          <w:shd w:fill="FFFFFF" w:val="clear"/>
          <w:lang w:val="en-US"/>
        </w:rPr>
        <w:t>Cubic differential systems with invariant straight lines of total multiplicity eight possessing one infinite singularity</w:t>
      </w:r>
      <w:r>
        <w:rPr>
          <w:sz w:val="22"/>
          <w:szCs w:val="22"/>
          <w:lang w:val="en-US"/>
        </w:rPr>
        <w:t xml:space="preserve">.  </w:t>
      </w:r>
      <w:r>
        <w:rPr>
          <w:i/>
          <w:sz w:val="22"/>
          <w:szCs w:val="22"/>
          <w:lang w:val="en-US"/>
        </w:rPr>
        <w:t>Qualitative Theory of Dynamical Systems.</w:t>
      </w:r>
      <w:r>
        <w:rPr>
          <w:sz w:val="22"/>
          <w:szCs w:val="22"/>
          <w:lang w:val="en-US"/>
        </w:rPr>
        <w:t xml:space="preserve">  </w:t>
      </w:r>
      <w:r>
        <w:rPr>
          <w:sz w:val="22"/>
          <w:szCs w:val="22"/>
          <w:lang w:val="en-US" w:eastAsia="en-US"/>
        </w:rPr>
        <w:t xml:space="preserve">DOI: </w:t>
      </w:r>
      <w:r>
        <w:rPr>
          <w:sz w:val="22"/>
          <w:szCs w:val="22"/>
          <w:shd w:fill="FFFFFF" w:val="clear"/>
          <w:lang w:val="en-US"/>
        </w:rPr>
        <w:t xml:space="preserve">10.1007/s12346-016-0188-x, pp. 1—30 </w:t>
      </w:r>
      <w:r>
        <w:rPr>
          <w:sz w:val="22"/>
          <w:szCs w:val="22"/>
          <w:lang w:val="en-US"/>
        </w:rPr>
        <w:t xml:space="preserve">   (First on-line  4 february 2016). (</w:t>
      </w:r>
      <w:r>
        <w:rPr>
          <w:b/>
          <w:sz w:val="22"/>
          <w:szCs w:val="22"/>
          <w:lang w:val="en-US"/>
        </w:rPr>
        <w:t>IF:</w:t>
      </w:r>
      <w:r>
        <w:rPr>
          <w:b/>
          <w:color w:val="545454"/>
          <w:sz w:val="22"/>
          <w:szCs w:val="22"/>
          <w:shd w:fill="FFFFFF" w:val="clear"/>
          <w:lang w:val="en-US"/>
        </w:rPr>
        <w:t xml:space="preserve"> </w:t>
      </w:r>
      <w:r>
        <w:rPr>
          <w:b/>
          <w:sz w:val="22"/>
          <w:szCs w:val="22"/>
          <w:shd w:fill="FFFFFF" w:val="clear"/>
          <w:lang w:val="en-US"/>
        </w:rPr>
        <w:t>0.766</w:t>
      </w:r>
      <w:r>
        <w:rPr>
          <w:sz w:val="22"/>
          <w:szCs w:val="22"/>
          <w:lang w:val="en-US"/>
        </w:rPr>
        <w:t xml:space="preserve">). ISSN: 1575-5460  </w:t>
      </w:r>
    </w:p>
    <w:p>
      <w:pPr>
        <w:pStyle w:val="Normal"/>
        <w:widowControl/>
        <w:numPr>
          <w:ilvl w:val="0"/>
          <w:numId w:val="35"/>
        </w:numPr>
        <w:tabs>
          <w:tab w:val="left" w:pos="343" w:leader="none"/>
        </w:tabs>
        <w:bidi w:val="0"/>
        <w:ind w:left="343" w:right="0" w:hanging="0"/>
        <w:jc w:val="both"/>
        <w:textAlignment w:val="auto"/>
        <w:rPr>
          <w:lang w:val="fr-FR"/>
        </w:rPr>
      </w:pPr>
      <w:r>
        <w:rPr>
          <w:sz w:val="22"/>
          <w:szCs w:val="22"/>
          <w:lang w:val="fr-FR" w:eastAsia="en-US"/>
        </w:rPr>
        <w:t xml:space="preserve">BUJAC, C., LLIBRE, J., VULPE N.   </w:t>
      </w:r>
      <w:r>
        <w:rPr>
          <w:sz w:val="22"/>
          <w:szCs w:val="22"/>
          <w:lang w:val="en-US" w:eastAsia="en-US"/>
        </w:rPr>
        <w:t xml:space="preserve">First Integrals and Phase Portraits of Planar Polynomial Differential Cubic Systems with the Maximum Number of Invariant Straight Lines.  </w:t>
      </w:r>
      <w:r>
        <w:rPr>
          <w:i/>
          <w:sz w:val="22"/>
          <w:szCs w:val="22"/>
          <w:lang w:val="en-US" w:eastAsia="en-US"/>
        </w:rPr>
        <w:t>Qualitative Theory of Dynamical Systems.</w:t>
      </w:r>
      <w:r>
        <w:rPr>
          <w:sz w:val="22"/>
          <w:szCs w:val="22"/>
          <w:lang w:val="en-US" w:eastAsia="en-US"/>
        </w:rPr>
        <w:t xml:space="preserve">  2016. DOI:  10.1007/s12346-016-0211-2, pp. 327-348 </w:t>
      </w:r>
      <w:r>
        <w:rPr>
          <w:b/>
          <w:i/>
          <w:sz w:val="22"/>
          <w:szCs w:val="22"/>
          <w:lang w:val="en-US" w:eastAsia="en-US"/>
        </w:rPr>
        <w:t>(IF 0,717</w:t>
      </w:r>
      <w:r>
        <w:rPr>
          <w:sz w:val="22"/>
          <w:szCs w:val="22"/>
          <w:lang w:val="en-US" w:eastAsia="en-US"/>
        </w:rPr>
        <w:t>)</w:t>
      </w:r>
    </w:p>
    <w:p>
      <w:pPr>
        <w:pStyle w:val="ListParagraph"/>
        <w:widowControl/>
        <w:numPr>
          <w:ilvl w:val="0"/>
          <w:numId w:val="35"/>
        </w:numPr>
        <w:tabs>
          <w:tab w:val="left" w:pos="343" w:leader="none"/>
        </w:tabs>
        <w:suppressAutoHyphens w:val="true"/>
        <w:bidi w:val="0"/>
        <w:spacing w:lineRule="auto" w:line="276" w:before="0" w:after="0"/>
        <w:ind w:left="343" w:right="0" w:hanging="0"/>
        <w:contextualSpacing/>
        <w:jc w:val="both"/>
        <w:textAlignment w:val="auto"/>
        <w:rPr/>
      </w:pPr>
      <w:r>
        <w:rPr>
          <w:iCs/>
          <w:sz w:val="22"/>
          <w:szCs w:val="22"/>
          <w:lang w:val="ro-RO" w:eastAsia="ro-RO"/>
        </w:rPr>
        <w:t xml:space="preserve">FREUND, R.; IVANOV, S.; </w:t>
      </w:r>
      <w:hyperlink r:id="rId74">
        <w:r>
          <w:rPr>
            <w:webHidden/>
            <w:rStyle w:val="Style5"/>
            <w:iCs/>
            <w:sz w:val="22"/>
            <w:szCs w:val="22"/>
            <w:lang w:val="ro-RO" w:eastAsia="ro-RO"/>
          </w:rPr>
          <w:t>STAIGER</w:t>
        </w:r>
      </w:hyperlink>
      <w:r>
        <w:rPr>
          <w:iCs/>
          <w:sz w:val="22"/>
          <w:szCs w:val="22"/>
          <w:lang w:val="ro-RO" w:eastAsia="ro-RO"/>
        </w:rPr>
        <w:t xml:space="preserve">, L. Going Beyond Turing with </w:t>
      </w:r>
      <w:r>
        <w:rPr>
          <w:rFonts w:cs="Times New Roman Greek" w:ascii="Times New Roman Greek" w:hAnsi="Times New Roman Greek"/>
          <w:iCs/>
          <w:sz w:val="22"/>
          <w:szCs w:val="22"/>
          <w:lang w:val="ro-RO" w:eastAsia="ro-RO"/>
        </w:rPr>
        <w:t xml:space="preserve">P Automata: Regular Observer ω-Languages and Partial Adult Halting. In: </w:t>
      </w:r>
      <w:hyperlink r:id="rId75">
        <w:r>
          <w:rPr>
            <w:webHidden/>
            <w:rStyle w:val="Style5"/>
            <w:iCs/>
            <w:sz w:val="22"/>
            <w:szCs w:val="22"/>
            <w:lang w:val="ro-RO" w:eastAsia="ro-RO"/>
          </w:rPr>
          <w:t>International Journal of Unconventional Computing</w:t>
        </w:r>
      </w:hyperlink>
      <w:r>
        <w:fldChar w:fldCharType="begin"/>
      </w:r>
      <w:r>
        <w:instrText> HYPERLINK "http://dblp.uni-trier.de/db/journals/ijuc/ijuc12.html" \l "FreundIS16"</w:instrText>
      </w:r>
      <w:r>
        <w:fldChar w:fldCharType="separate"/>
      </w:r>
      <w:r>
        <w:rPr>
          <w:rStyle w:val="Style5"/>
          <w:iCs/>
          <w:sz w:val="22"/>
          <w:szCs w:val="22"/>
          <w:lang w:val="ro-RO" w:eastAsia="ro-RO"/>
        </w:rPr>
        <w:t>, 12(1)</w:t>
      </w:r>
      <w:r>
        <w:fldChar w:fldCharType="end"/>
      </w:r>
      <w:r>
        <w:rPr>
          <w:iCs/>
          <w:sz w:val="22"/>
          <w:szCs w:val="22"/>
          <w:lang w:val="ro-RO" w:eastAsia="ro-RO"/>
        </w:rPr>
        <w:t>, 2016, 51-69. (IF: 0.911)</w:t>
      </w:r>
    </w:p>
    <w:p>
      <w:pPr>
        <w:pStyle w:val="ListParagraph"/>
        <w:widowControl/>
        <w:numPr>
          <w:ilvl w:val="0"/>
          <w:numId w:val="35"/>
        </w:numPr>
        <w:tabs>
          <w:tab w:val="left" w:pos="343" w:leader="none"/>
        </w:tabs>
        <w:suppressAutoHyphens w:val="true"/>
        <w:bidi w:val="0"/>
        <w:spacing w:lineRule="auto" w:line="276" w:before="0" w:after="0"/>
        <w:ind w:left="343" w:right="0" w:hanging="0"/>
        <w:contextualSpacing/>
        <w:jc w:val="both"/>
        <w:textAlignment w:val="auto"/>
        <w:rPr/>
      </w:pPr>
      <w:r>
        <w:rPr>
          <w:iCs/>
          <w:sz w:val="22"/>
          <w:szCs w:val="22"/>
          <w:lang w:val="ro-RO" w:eastAsia="ro-RO"/>
        </w:rPr>
        <w:t xml:space="preserve">FREUND, R.; IVANOV, S.; VERLAN, S. P Systems with Generalized Multisets Over Totally Ordered Abelian Groups Membrane Computing - 16th International Conference, CMC 2015, Valencia, Spain, August 17-21, 2015. </w:t>
      </w:r>
      <w:hyperlink r:id="rId76">
        <w:r>
          <w:rPr>
            <w:webHidden/>
            <w:rStyle w:val="Style5"/>
            <w:iCs/>
            <w:sz w:val="22"/>
            <w:szCs w:val="22"/>
            <w:lang w:val="ro-RO" w:eastAsia="ro-RO"/>
          </w:rPr>
          <w:t>Lecture Notes in Computer Science</w:t>
        </w:r>
      </w:hyperlink>
      <w:r>
        <w:rPr>
          <w:iCs/>
          <w:sz w:val="22"/>
          <w:szCs w:val="22"/>
          <w:lang w:val="ro-RO" w:eastAsia="ro-RO"/>
        </w:rPr>
        <w:t>, 9504, Springer 2015, ISBN 978-3-319-28474-3, 117-136. (IF:0.402)</w:t>
      </w:r>
    </w:p>
    <w:p>
      <w:pPr>
        <w:pStyle w:val="Normal"/>
        <w:widowControl/>
        <w:numPr>
          <w:ilvl w:val="0"/>
          <w:numId w:val="35"/>
        </w:numPr>
        <w:tabs>
          <w:tab w:val="left" w:pos="343" w:leader="none"/>
        </w:tabs>
        <w:suppressAutoHyphens w:val="true"/>
        <w:bidi w:val="0"/>
        <w:spacing w:before="0" w:after="60"/>
        <w:ind w:left="343" w:right="0" w:hanging="0"/>
        <w:jc w:val="both"/>
        <w:textAlignment w:val="auto"/>
        <w:rPr>
          <w:lang w:val="en-US"/>
        </w:rPr>
      </w:pPr>
      <w:r>
        <w:rPr>
          <w:color w:val="131413"/>
          <w:sz w:val="22"/>
          <w:szCs w:val="22"/>
          <w:lang w:val="en-US"/>
        </w:rPr>
        <w:t xml:space="preserve">KOLESNIK, A.D. Integral equation for the transition density of the multidimensional Markov random flight.  </w:t>
      </w:r>
      <w:r>
        <w:rPr>
          <w:i/>
          <w:color w:val="131413"/>
          <w:sz w:val="22"/>
          <w:szCs w:val="22"/>
          <w:lang w:val="en-US"/>
        </w:rPr>
        <w:t>Theory of Stochastic Processes</w:t>
      </w:r>
      <w:r>
        <w:rPr>
          <w:color w:val="131413"/>
          <w:sz w:val="22"/>
          <w:szCs w:val="22"/>
          <w:lang w:val="en-US"/>
        </w:rPr>
        <w:t>, 2015, vol. 20(36), no. 2, 42-53.  ISSN 0321-3900. (IF: 0.32).</w:t>
      </w:r>
    </w:p>
    <w:p>
      <w:pPr>
        <w:pStyle w:val="Normal"/>
        <w:widowControl/>
        <w:numPr>
          <w:ilvl w:val="0"/>
          <w:numId w:val="35"/>
        </w:numPr>
        <w:tabs>
          <w:tab w:val="left" w:pos="343" w:leader="none"/>
        </w:tabs>
        <w:bidi w:val="0"/>
        <w:ind w:left="343" w:right="0" w:hanging="0"/>
        <w:jc w:val="both"/>
        <w:textAlignment w:val="auto"/>
        <w:rPr>
          <w:lang w:val="en-CA"/>
        </w:rPr>
      </w:pPr>
      <w:r>
        <w:rPr>
          <w:sz w:val="22"/>
          <w:szCs w:val="22"/>
          <w:lang w:val="en-CA"/>
        </w:rPr>
        <w:t xml:space="preserve">OLIVEIRA R. D. S., REZENDE A. C.,   VULPE N. Family of quadratic differential systems with   invariant hyperbolas: a complete classification in the space $\mathbb{R}^{12}$ }, </w:t>
      </w:r>
      <w:r>
        <w:rPr>
          <w:i/>
          <w:sz w:val="22"/>
          <w:szCs w:val="22"/>
          <w:lang w:val="en-US" w:eastAsia="en-US"/>
        </w:rPr>
        <w:t xml:space="preserve">Electron. Journal of Differential Equations, </w:t>
      </w:r>
      <w:r>
        <w:rPr>
          <w:sz w:val="22"/>
          <w:szCs w:val="22"/>
          <w:lang w:val="en-US" w:eastAsia="en-US"/>
        </w:rPr>
        <w:t xml:space="preserve">Vol. 2016 (2016), No. ? 1-49 </w:t>
      </w:r>
      <w:r>
        <w:rPr>
          <w:sz w:val="22"/>
          <w:szCs w:val="22"/>
          <w:lang w:val="en-US"/>
        </w:rPr>
        <w:t>(</w:t>
      </w:r>
      <w:r>
        <w:rPr>
          <w:b/>
          <w:sz w:val="22"/>
          <w:szCs w:val="22"/>
          <w:lang w:val="en-US"/>
        </w:rPr>
        <w:t>IF:</w:t>
      </w:r>
      <w:r>
        <w:rPr>
          <w:b/>
          <w:color w:val="545454"/>
          <w:sz w:val="22"/>
          <w:szCs w:val="22"/>
          <w:shd w:fill="FFFFFF" w:val="clear"/>
          <w:lang w:val="en-US"/>
        </w:rPr>
        <w:t xml:space="preserve"> </w:t>
      </w:r>
      <w:r>
        <w:rPr>
          <w:b/>
          <w:sz w:val="22"/>
          <w:szCs w:val="22"/>
          <w:shd w:fill="FFFFFF" w:val="clear"/>
          <w:lang w:val="en-US"/>
        </w:rPr>
        <w:t>0.838</w:t>
      </w:r>
      <w:r>
        <w:rPr>
          <w:sz w:val="22"/>
          <w:szCs w:val="22"/>
          <w:lang w:val="en-US"/>
        </w:rPr>
        <w:t>)</w:t>
      </w:r>
    </w:p>
    <w:p>
      <w:pPr>
        <w:pStyle w:val="Normal"/>
        <w:widowControl/>
        <w:bidi w:val="0"/>
        <w:ind w:left="343" w:right="0" w:hanging="0"/>
        <w:jc w:val="both"/>
        <w:textAlignment w:val="auto"/>
        <w:rPr>
          <w:rFonts w:ascii="Times New Roman" w:hAnsi="Times New Roman"/>
          <w:sz w:val="22"/>
          <w:szCs w:val="22"/>
          <w:lang w:val="it-IT"/>
        </w:rPr>
      </w:pPr>
      <w:r>
        <w:rPr>
          <w:sz w:val="22"/>
          <w:szCs w:val="22"/>
          <w:lang w:val="it-IT"/>
        </w:rPr>
      </w:r>
    </w:p>
    <w:p>
      <w:pPr>
        <w:pStyle w:val="Normal"/>
        <w:widowControl/>
        <w:tabs>
          <w:tab w:val="left" w:pos="6237" w:leader="none"/>
          <w:tab w:val="left" w:pos="6521" w:leader="none"/>
        </w:tabs>
        <w:bidi w:val="0"/>
        <w:spacing w:lineRule="exact" w:line="280"/>
        <w:ind w:left="0" w:right="0" w:hanging="0"/>
        <w:jc w:val="both"/>
        <w:textAlignment w:val="auto"/>
        <w:rPr>
          <w:lang w:val="ro-RO"/>
        </w:rPr>
      </w:pPr>
      <w:r>
        <w:rPr>
          <w:b/>
          <w:bCs/>
          <w:i/>
          <w:color w:val="000000"/>
          <w:lang w:val="ro-RO"/>
        </w:rPr>
        <w:t>A</w:t>
      </w:r>
      <w:r>
        <w:rPr>
          <w:rFonts w:cs="Times New Roman CE" w:ascii="Times New Roman CE" w:hAnsi="Times New Roman CE"/>
          <w:b/>
          <w:bCs/>
          <w:i/>
          <w:color w:val="000000"/>
          <w:lang w:val="ro-RO"/>
        </w:rPr>
        <w:t>rticole în reviste  internaţionale</w:t>
      </w:r>
    </w:p>
    <w:p>
      <w:pPr>
        <w:pStyle w:val="ListParagraph"/>
        <w:widowControl/>
        <w:numPr>
          <w:ilvl w:val="0"/>
          <w:numId w:val="71"/>
        </w:numPr>
        <w:tabs>
          <w:tab w:val="left" w:pos="343" w:leader="none"/>
          <w:tab w:val="left" w:pos="851" w:leader="none"/>
        </w:tabs>
        <w:suppressAutoHyphens w:val="true"/>
        <w:bidi w:val="0"/>
        <w:spacing w:lineRule="auto" w:line="276" w:before="0" w:after="0"/>
        <w:ind w:left="343" w:right="0" w:hanging="0"/>
        <w:contextualSpacing/>
        <w:jc w:val="left"/>
        <w:textAlignment w:val="auto"/>
        <w:rPr>
          <w:lang w:val="ro-RO"/>
        </w:rPr>
      </w:pPr>
      <w:r>
        <w:rPr>
          <w:iCs/>
          <w:sz w:val="22"/>
          <w:szCs w:val="22"/>
          <w:lang w:val="ro-RO" w:eastAsia="ro-RO"/>
        </w:rPr>
        <w:t xml:space="preserve">COJOCARU, S.; PETIC, M;, TITCHIEV, I. Adapting Tools for Text Monitoring and for Scenario Analysis Related to the Field of Social Disasters. </w:t>
      </w:r>
      <w:r>
        <w:rPr>
          <w:i/>
          <w:iCs/>
          <w:sz w:val="22"/>
          <w:szCs w:val="22"/>
          <w:lang w:val="ro-RO" w:eastAsia="ro-RO"/>
        </w:rPr>
        <w:t>International Journal of Computer, Electrical, Automation, Control and Information Engineering</w:t>
      </w:r>
      <w:r>
        <w:rPr>
          <w:iCs/>
          <w:sz w:val="22"/>
          <w:szCs w:val="22"/>
          <w:lang w:val="ro-RO" w:eastAsia="ro-RO"/>
        </w:rPr>
        <w:t>, Vol:10, No:10, 2016,  1601-1607.</w:t>
      </w:r>
    </w:p>
    <w:p>
      <w:pPr>
        <w:pStyle w:val="Normal"/>
        <w:widowControl/>
        <w:numPr>
          <w:ilvl w:val="0"/>
          <w:numId w:val="71"/>
        </w:numPr>
        <w:tabs>
          <w:tab w:val="left" w:pos="343" w:leader="none"/>
        </w:tabs>
        <w:suppressAutoHyphens w:val="true"/>
        <w:bidi w:val="0"/>
        <w:spacing w:before="0" w:after="60"/>
        <w:ind w:left="343" w:right="0" w:hanging="0"/>
        <w:jc w:val="both"/>
        <w:textAlignment w:val="auto"/>
        <w:rPr>
          <w:lang w:val="en-US"/>
        </w:rPr>
      </w:pPr>
      <w:r>
        <w:rPr>
          <w:color w:val="131413"/>
          <w:sz w:val="22"/>
          <w:szCs w:val="22"/>
          <w:lang w:val="en-US"/>
        </w:rPr>
        <w:t>DOVBU</w:t>
      </w:r>
      <w:r>
        <w:rPr>
          <w:rFonts w:cs="Times New Roman CE" w:ascii="Times New Roman CE" w:hAnsi="Times New Roman CE"/>
          <w:color w:val="131413"/>
          <w:sz w:val="22"/>
          <w:szCs w:val="22"/>
          <w:lang w:val="en-US"/>
        </w:rPr>
        <w:t>Ş</w:t>
      </w:r>
      <w:r>
        <w:rPr>
          <w:color w:val="131413"/>
          <w:sz w:val="22"/>
          <w:szCs w:val="22"/>
          <w:lang w:val="en-US"/>
        </w:rPr>
        <w:t xml:space="preserve">, P.V.  On normal families of holomorphic functions. </w:t>
      </w:r>
      <w:r>
        <w:rPr>
          <w:i/>
          <w:color w:val="131413"/>
          <w:sz w:val="22"/>
          <w:szCs w:val="22"/>
          <w:lang w:val="en-US"/>
        </w:rPr>
        <w:t>Mathematica Montisnigri,</w:t>
      </w:r>
      <w:r>
        <w:rPr>
          <w:color w:val="131413"/>
          <w:sz w:val="22"/>
          <w:szCs w:val="22"/>
          <w:lang w:val="en-US"/>
        </w:rPr>
        <w:t xml:space="preserve"> vol. XXXVI, 2016, 5-13.</w:t>
      </w:r>
    </w:p>
    <w:p>
      <w:pPr>
        <w:pStyle w:val="Normal"/>
        <w:widowControl/>
        <w:numPr>
          <w:ilvl w:val="0"/>
          <w:numId w:val="71"/>
        </w:numPr>
        <w:tabs>
          <w:tab w:val="left" w:pos="343" w:leader="none"/>
        </w:tabs>
        <w:suppressAutoHyphens w:val="true"/>
        <w:bidi w:val="0"/>
        <w:spacing w:before="0" w:after="60"/>
        <w:ind w:left="343" w:right="0" w:hanging="0"/>
        <w:jc w:val="both"/>
        <w:textAlignment w:val="auto"/>
        <w:rPr/>
      </w:pPr>
      <w:r>
        <w:rPr>
          <w:color w:val="131413"/>
          <w:sz w:val="22"/>
          <w:szCs w:val="22"/>
          <w:lang w:val="en-US"/>
        </w:rPr>
        <w:t>NEAGU, N.; POPA, M. Canonical form of the ternary generalized differential Lyapunov-Darboux system with quadratic nonlinearities. ROMAI J., v.11 (2015), no.2, 89-107.</w:t>
      </w:r>
    </w:p>
    <w:p>
      <w:pPr>
        <w:pStyle w:val="Normal"/>
        <w:widowControl/>
        <w:numPr>
          <w:ilvl w:val="0"/>
          <w:numId w:val="71"/>
        </w:numPr>
        <w:tabs>
          <w:tab w:val="left" w:pos="343" w:leader="none"/>
        </w:tabs>
        <w:suppressAutoHyphens w:val="true"/>
        <w:bidi w:val="0"/>
        <w:spacing w:before="0" w:after="60"/>
        <w:ind w:left="343" w:right="0" w:hanging="0"/>
        <w:jc w:val="both"/>
        <w:textAlignment w:val="auto"/>
        <w:rPr>
          <w:lang w:val="en-US"/>
        </w:rPr>
      </w:pPr>
      <w:r>
        <w:rPr>
          <w:rFonts w:cs="Times New Roman CE" w:ascii="Times New Roman CE" w:hAnsi="Times New Roman CE"/>
          <w:color w:val="131413"/>
          <w:sz w:val="22"/>
          <w:szCs w:val="22"/>
          <w:lang w:val="en-US"/>
        </w:rPr>
        <w:t>ŞUBĂ, A.</w:t>
      </w:r>
      <w:r>
        <w:rPr>
          <w:color w:val="131413"/>
          <w:sz w:val="22"/>
          <w:szCs w:val="22"/>
          <w:lang w:val="en-US"/>
        </w:rPr>
        <w:t>; VACARA</w:t>
      </w:r>
      <w:r>
        <w:rPr>
          <w:rFonts w:cs="Times New Roman CE" w:ascii="Times New Roman CE" w:hAnsi="Times New Roman CE"/>
          <w:color w:val="131413"/>
          <w:sz w:val="22"/>
          <w:szCs w:val="22"/>
          <w:lang w:val="en-US"/>
        </w:rPr>
        <w:t>Ş,</w:t>
      </w:r>
      <w:r>
        <w:rPr>
          <w:color w:val="131413"/>
          <w:sz w:val="22"/>
          <w:szCs w:val="22"/>
          <w:lang w:val="en-US"/>
        </w:rPr>
        <w:t xml:space="preserve"> O. Cubic differential systems with an invariant straight line of maximal multiplicity. Annals of the University of Craiova, Mathematics and Computer Science Series, Volume 42(2), 2015, Pages 427-449. ISSN: 1223-6934.</w:t>
      </w:r>
    </w:p>
    <w:p>
      <w:pPr>
        <w:pStyle w:val="Normal"/>
        <w:widowControl w:val="false"/>
        <w:numPr>
          <w:ilvl w:val="0"/>
          <w:numId w:val="71"/>
        </w:numPr>
        <w:tabs>
          <w:tab w:val="left" w:pos="343" w:leader="none"/>
        </w:tabs>
        <w:suppressAutoHyphens w:val="true"/>
        <w:bidi w:val="0"/>
        <w:ind w:left="343" w:right="0" w:hanging="0"/>
        <w:jc w:val="both"/>
        <w:textAlignment w:val="auto"/>
        <w:rPr>
          <w:lang w:val="ro-RO"/>
        </w:rPr>
      </w:pPr>
      <w:r>
        <w:rPr>
          <w:sz w:val="22"/>
          <w:szCs w:val="22"/>
          <w:lang w:val="ro-RO" w:eastAsia="en-US"/>
        </w:rPr>
        <w:t>МАКАРОВ В.С., МАКАРОВ П.С., ДАМИАН Ф.Л. О полуправильных многогранниках пространства Лобачевского</w:t>
      </w:r>
      <w:r>
        <w:rPr>
          <w:i/>
          <w:sz w:val="22"/>
          <w:szCs w:val="22"/>
          <w:lang w:val="ro-RO" w:eastAsia="en-US"/>
        </w:rPr>
        <w:t>.</w:t>
      </w:r>
      <w:r>
        <w:rPr>
          <w:sz w:val="22"/>
          <w:szCs w:val="22"/>
          <w:lang w:val="ro-RO" w:eastAsia="en-US"/>
        </w:rPr>
        <w:t xml:space="preserve"> </w:t>
      </w:r>
      <w:r>
        <w:rPr>
          <w:i/>
          <w:sz w:val="22"/>
          <w:szCs w:val="22"/>
          <w:lang w:val="ro-RO" w:eastAsia="en-US"/>
        </w:rPr>
        <w:t>Математические исследования в естественных науках. Труды 13 Всеросийской ( с медународным участием ) научной школы.</w:t>
      </w:r>
      <w:r>
        <w:rPr>
          <w:sz w:val="22"/>
          <w:szCs w:val="22"/>
          <w:lang w:val="ro-RO" w:eastAsia="en-US"/>
        </w:rPr>
        <w:t xml:space="preserve"> Апатиты 17-18 октября 2016 г., Геологический институт КНЦ РАН, 2016,  64-75.</w:t>
      </w:r>
    </w:p>
    <w:p>
      <w:pPr>
        <w:pStyle w:val="ListParagraph"/>
        <w:widowControl/>
        <w:numPr>
          <w:ilvl w:val="0"/>
          <w:numId w:val="71"/>
        </w:numPr>
        <w:tabs>
          <w:tab w:val="left" w:pos="343" w:leader="none"/>
          <w:tab w:val="left" w:pos="851" w:leader="none"/>
        </w:tabs>
        <w:suppressAutoHyphens w:val="true"/>
        <w:bidi w:val="0"/>
        <w:spacing w:lineRule="auto" w:line="276" w:before="0" w:after="0"/>
        <w:ind w:left="343" w:right="0" w:hanging="0"/>
        <w:contextualSpacing/>
        <w:jc w:val="left"/>
        <w:textAlignment w:val="auto"/>
        <w:rPr>
          <w:lang w:val="ro-RO"/>
        </w:rPr>
      </w:pPr>
      <w:r>
        <w:rPr>
          <w:iCs/>
          <w:sz w:val="22"/>
          <w:szCs w:val="22"/>
          <w:lang w:val="ro-RO" w:eastAsia="ro-RO"/>
        </w:rPr>
        <w:t xml:space="preserve">ПОПУКАЙЛО, В.,С.; КОЖОКАРУ, С.,К. Методы принятия решений в условиях малой выборки. </w:t>
      </w:r>
      <w:r>
        <w:rPr>
          <w:i/>
          <w:iCs/>
          <w:sz w:val="22"/>
          <w:szCs w:val="22"/>
          <w:lang w:val="ro-RO" w:eastAsia="ro-RO"/>
        </w:rPr>
        <w:t>Научный обозреватель,</w:t>
      </w:r>
      <w:r>
        <w:rPr>
          <w:iCs/>
          <w:sz w:val="22"/>
          <w:szCs w:val="22"/>
          <w:lang w:val="ro-RO" w:eastAsia="ro-RO"/>
        </w:rPr>
        <w:t xml:space="preserve"> N3 (63), Уфа, Digital-Print, 2016, 79-80.</w:t>
      </w:r>
    </w:p>
    <w:p>
      <w:pPr>
        <w:pStyle w:val="Normal"/>
        <w:widowControl/>
        <w:tabs>
          <w:tab w:val="left" w:pos="6237" w:leader="none"/>
          <w:tab w:val="left" w:pos="6521" w:leader="none"/>
        </w:tabs>
        <w:bidi w:val="0"/>
        <w:spacing w:lineRule="exact" w:line="280" w:before="0" w:after="80"/>
        <w:ind w:left="0" w:right="0" w:hanging="0"/>
        <w:jc w:val="both"/>
        <w:textAlignment w:val="auto"/>
        <w:rPr>
          <w:rFonts w:ascii="Times New Roman" w:hAnsi="Times New Roman"/>
          <w:b/>
          <w:b/>
          <w:bCs/>
          <w:i/>
          <w:i/>
          <w:color w:val="000000"/>
          <w:lang w:val="ro-RO"/>
        </w:rPr>
      </w:pPr>
      <w:r>
        <w:rPr>
          <w:b/>
          <w:bCs/>
          <w:i/>
          <w:color w:val="000000"/>
          <w:lang w:val="ro-RO"/>
        </w:rPr>
      </w:r>
    </w:p>
    <w:p>
      <w:pPr>
        <w:pStyle w:val="Normal"/>
        <w:widowControl/>
        <w:tabs>
          <w:tab w:val="left" w:pos="6237" w:leader="none"/>
          <w:tab w:val="left" w:pos="6521" w:leader="none"/>
        </w:tabs>
        <w:bidi w:val="0"/>
        <w:spacing w:lineRule="exact" w:line="280"/>
        <w:ind w:left="0" w:right="0" w:hanging="0"/>
        <w:jc w:val="both"/>
        <w:textAlignment w:val="auto"/>
        <w:rPr>
          <w:lang w:val="en-US"/>
        </w:rPr>
      </w:pPr>
      <w:r>
        <w:rPr>
          <w:rFonts w:cs="Times New Roman CE" w:ascii="Times New Roman CE" w:hAnsi="Times New Roman CE"/>
          <w:b/>
          <w:sz w:val="22"/>
          <w:szCs w:val="22"/>
          <w:lang w:val="en-US"/>
        </w:rPr>
        <w:t>Lista publicaţiilor electronice în străinătate</w:t>
      </w:r>
      <w:r>
        <w:rPr>
          <w:b/>
          <w:bCs/>
          <w:color w:val="000000"/>
          <w:sz w:val="22"/>
          <w:szCs w:val="22"/>
          <w:lang w:val="ro-RO"/>
        </w:rPr>
        <w:t>:</w:t>
      </w:r>
    </w:p>
    <w:p>
      <w:pPr>
        <w:pStyle w:val="Normal"/>
        <w:widowControl w:val="false"/>
        <w:numPr>
          <w:ilvl w:val="0"/>
          <w:numId w:val="39"/>
        </w:numPr>
        <w:tabs>
          <w:tab w:val="left" w:pos="343" w:leader="none"/>
        </w:tabs>
        <w:bidi w:val="0"/>
        <w:ind w:left="343" w:right="0" w:hanging="0"/>
        <w:jc w:val="both"/>
        <w:textAlignment w:val="auto"/>
        <w:rPr>
          <w:lang w:val="it-IT"/>
        </w:rPr>
      </w:pPr>
      <w:r>
        <w:rPr>
          <w:sz w:val="22"/>
          <w:szCs w:val="22"/>
          <w:lang w:val="it-IT"/>
        </w:rPr>
        <w:t xml:space="preserve">KOLESNIK, A.D. Asymptotic relation for the transition density of the three-dimensional Markov random flight on small time intervals. 2016, arXiv: 1604.08362, 19 pp. </w:t>
      </w:r>
    </w:p>
    <w:p>
      <w:pPr>
        <w:pStyle w:val="Normal"/>
        <w:widowControl w:val="false"/>
        <w:numPr>
          <w:ilvl w:val="0"/>
          <w:numId w:val="39"/>
        </w:numPr>
        <w:tabs>
          <w:tab w:val="left" w:pos="343" w:leader="none"/>
        </w:tabs>
        <w:bidi w:val="0"/>
        <w:ind w:left="343" w:right="0" w:hanging="0"/>
        <w:jc w:val="both"/>
        <w:textAlignment w:val="auto"/>
        <w:rPr>
          <w:lang w:val="it-IT"/>
        </w:rPr>
      </w:pPr>
      <w:r>
        <w:rPr>
          <w:sz w:val="22"/>
          <w:szCs w:val="22"/>
          <w:lang w:val="it-IT"/>
        </w:rPr>
        <w:t>KOLESNIK, A.D. Integral equation for the transition density of the multidimensional Markov random flight.  2016, arXiv: 1601.06998, 15 pp.</w:t>
      </w:r>
    </w:p>
    <w:p>
      <w:pPr>
        <w:pStyle w:val="Normal"/>
        <w:widowControl w:val="false"/>
        <w:numPr>
          <w:ilvl w:val="0"/>
          <w:numId w:val="39"/>
        </w:numPr>
        <w:tabs>
          <w:tab w:val="left" w:pos="343" w:leader="none"/>
        </w:tabs>
        <w:bidi w:val="0"/>
        <w:ind w:left="343" w:right="0" w:hanging="0"/>
        <w:jc w:val="both"/>
        <w:textAlignment w:val="auto"/>
        <w:rPr>
          <w:lang w:val="it-IT"/>
        </w:rPr>
      </w:pPr>
      <w:r>
        <w:rPr>
          <w:sz w:val="22"/>
          <w:szCs w:val="22"/>
          <w:lang w:val="it-IT"/>
        </w:rPr>
        <w:t xml:space="preserve">LOZOVANU, D.; PICKL, St. Determining the optimal strategies for zero-sum average stochastic positional games. Electronic Notes in Discrete Mathematics, Elsevier, 2016, vol. 55, 155-159 DOI: 10.1016/j.endm2016.10.039. </w:t>
      </w:r>
    </w:p>
    <w:p>
      <w:pPr>
        <w:pStyle w:val="Normal"/>
        <w:widowControl w:val="false"/>
        <w:numPr>
          <w:ilvl w:val="0"/>
          <w:numId w:val="39"/>
        </w:numPr>
        <w:tabs>
          <w:tab w:val="left" w:pos="343" w:leader="none"/>
        </w:tabs>
        <w:bidi w:val="0"/>
        <w:ind w:left="343" w:right="0" w:hanging="0"/>
        <w:jc w:val="both"/>
        <w:textAlignment w:val="auto"/>
        <w:rPr>
          <w:lang w:val="it-IT"/>
        </w:rPr>
      </w:pPr>
      <w:r>
        <w:rPr>
          <w:rFonts w:cs="Times New Roman CE" w:ascii="Times New Roman CE" w:hAnsi="Times New Roman CE"/>
          <w:sz w:val="22"/>
          <w:szCs w:val="22"/>
          <w:lang w:val="it-IT"/>
        </w:rPr>
        <w:t>MIŞCOI, Gh.; COSTEA, A.; ŢICU, I.R.; POMAZAN, C.  Algorithms of evalution of the waiting time and the modelling of the terminal activity based on the traffic coefficient in the seaport. PONTE International  Scientific Researches Journal, 2016, vol. 72, no.</w:t>
      </w:r>
      <w:r>
        <w:rPr>
          <w:sz w:val="22"/>
          <w:szCs w:val="22"/>
          <w:lang w:val="it-IT"/>
        </w:rPr>
        <w:t xml:space="preserve"> 8, 237-248</w:t>
      </w:r>
      <w:r>
        <w:rPr>
          <w:color w:val="131413"/>
          <w:sz w:val="22"/>
          <w:szCs w:val="22"/>
          <w:lang w:val="en-US"/>
        </w:rPr>
        <w:t xml:space="preserve">. </w:t>
      </w:r>
    </w:p>
    <w:p>
      <w:pPr>
        <w:pStyle w:val="Normal"/>
        <w:widowControl w:val="false"/>
        <w:bidi w:val="0"/>
        <w:ind w:left="340" w:right="0" w:hanging="0"/>
        <w:jc w:val="both"/>
        <w:textAlignment w:val="auto"/>
        <w:rPr>
          <w:rFonts w:ascii="Times New Roman" w:hAnsi="Times New Roman"/>
          <w:sz w:val="22"/>
          <w:szCs w:val="22"/>
          <w:lang w:val="en-US"/>
        </w:rPr>
      </w:pPr>
      <w:r>
        <w:rPr>
          <w:sz w:val="22"/>
          <w:szCs w:val="22"/>
          <w:lang w:val="en-US"/>
        </w:rPr>
      </w:r>
    </w:p>
    <w:p>
      <w:pPr>
        <w:pStyle w:val="Normal"/>
        <w:widowControl/>
        <w:tabs>
          <w:tab w:val="left" w:pos="6237" w:leader="none"/>
          <w:tab w:val="left" w:pos="6521" w:leader="none"/>
        </w:tabs>
        <w:bidi w:val="0"/>
        <w:spacing w:lineRule="exact" w:line="280"/>
        <w:ind w:left="0" w:right="0" w:hanging="0"/>
        <w:jc w:val="both"/>
        <w:textAlignment w:val="auto"/>
        <w:rPr>
          <w:lang w:val="ro-RO"/>
        </w:rPr>
      </w:pPr>
      <w:r>
        <w:rPr>
          <w:rFonts w:cs="Times New Roman CE" w:ascii="Times New Roman CE" w:hAnsi="Times New Roman CE"/>
          <w:b/>
          <w:bCs/>
          <w:i/>
          <w:color w:val="000000"/>
          <w:lang w:val="ro-RO"/>
        </w:rPr>
        <w:t>Articole din reviste naţionale</w:t>
      </w:r>
    </w:p>
    <w:p>
      <w:pPr>
        <w:pStyle w:val="Normal"/>
        <w:widowControl/>
        <w:tabs>
          <w:tab w:val="left" w:pos="6237" w:leader="none"/>
          <w:tab w:val="left" w:pos="6521" w:leader="none"/>
        </w:tabs>
        <w:bidi w:val="0"/>
        <w:spacing w:lineRule="exact" w:line="280" w:before="0" w:after="80"/>
        <w:ind w:left="0" w:right="0" w:hanging="0"/>
        <w:jc w:val="both"/>
        <w:textAlignment w:val="auto"/>
        <w:rPr>
          <w:lang w:val="ro-RO"/>
        </w:rPr>
      </w:pPr>
      <w:r>
        <w:rPr>
          <w:b/>
          <w:bCs/>
          <w:i/>
          <w:color w:val="000000"/>
          <w:lang w:val="ro-RO"/>
        </w:rPr>
        <w:t xml:space="preserve">categoria A </w:t>
      </w:r>
    </w:p>
    <w:p>
      <w:pPr>
        <w:pStyle w:val="ListParagraph"/>
        <w:widowControl/>
        <w:numPr>
          <w:ilvl w:val="0"/>
          <w:numId w:val="45"/>
        </w:numPr>
        <w:tabs>
          <w:tab w:val="left" w:pos="343" w:leader="none"/>
        </w:tabs>
        <w:bidi w:val="0"/>
        <w:spacing w:before="0" w:after="0"/>
        <w:ind w:left="343" w:right="0" w:hanging="0"/>
        <w:contextualSpacing/>
        <w:jc w:val="both"/>
        <w:textAlignment w:val="auto"/>
        <w:rPr/>
      </w:pPr>
      <w:hyperlink r:id="rId77">
        <w:r>
          <w:rPr>
            <w:webHidden/>
            <w:rStyle w:val="Style5"/>
            <w:sz w:val="22"/>
            <w:szCs w:val="22"/>
            <w:lang w:val="ro-RO"/>
          </w:rPr>
          <w:t>ARNAUTOV, V.I.</w:t>
        </w:r>
      </w:hyperlink>
      <w:r>
        <w:rPr>
          <w:sz w:val="22"/>
          <w:szCs w:val="22"/>
          <w:lang w:val="ro-RO"/>
        </w:rPr>
        <w:t xml:space="preserve">, ERMAKOVA, G. N. </w:t>
      </w:r>
      <w:hyperlink r:id="rId78">
        <w:r>
          <w:rPr>
            <w:webHidden/>
            <w:rStyle w:val="Style5"/>
            <w:sz w:val="22"/>
            <w:szCs w:val="22"/>
            <w:lang w:val="ro-RO"/>
          </w:rPr>
          <w:t>Lattice of all topologies of countable module over countable rings</w:t>
        </w:r>
      </w:hyperlink>
      <w:r>
        <w:rPr>
          <w:sz w:val="22"/>
          <w:szCs w:val="22"/>
          <w:lang w:val="en-US"/>
        </w:rPr>
        <w:t xml:space="preserve">. </w:t>
      </w:r>
      <w:r>
        <w:rPr>
          <w:rFonts w:cs="Times New Roman CE" w:ascii="Times New Roman CE" w:hAnsi="Times New Roman CE"/>
          <w:i/>
          <w:sz w:val="22"/>
          <w:szCs w:val="22"/>
          <w:lang w:val="ro-RO"/>
        </w:rPr>
        <w:t>Buletinul Academiei de Ştiinţe  a Republicii Moldova, Matematica,</w:t>
      </w:r>
      <w:r>
        <w:rPr>
          <w:sz w:val="22"/>
          <w:szCs w:val="22"/>
          <w:lang w:val="ro-RO"/>
        </w:rPr>
        <w:t xml:space="preserve"> 2016,</w:t>
      </w:r>
      <w:r>
        <w:rPr>
          <w:i/>
          <w:sz w:val="22"/>
          <w:szCs w:val="22"/>
          <w:lang w:val="ro-RO"/>
        </w:rPr>
        <w:t xml:space="preserve"> </w:t>
      </w:r>
      <w:r>
        <w:rPr>
          <w:sz w:val="22"/>
          <w:szCs w:val="22"/>
          <w:lang w:val="ro-RO"/>
        </w:rPr>
        <w:t>2 (81), 63-70.</w:t>
      </w:r>
      <w:r>
        <w:rPr>
          <w:sz w:val="22"/>
          <w:szCs w:val="22"/>
          <w:lang w:val="it-IT"/>
        </w:rPr>
        <w:t xml:space="preserve"> ISSN: 1024-7696</w:t>
      </w:r>
    </w:p>
    <w:p>
      <w:pPr>
        <w:pStyle w:val="Normal"/>
        <w:widowControl/>
        <w:numPr>
          <w:ilvl w:val="0"/>
          <w:numId w:val="45"/>
        </w:numPr>
        <w:tabs>
          <w:tab w:val="left" w:pos="343" w:leader="none"/>
        </w:tabs>
        <w:bidi w:val="0"/>
        <w:ind w:left="343" w:right="0" w:hanging="0"/>
        <w:jc w:val="both"/>
        <w:textAlignment w:val="auto"/>
        <w:rPr>
          <w:lang w:val="en-US"/>
        </w:rPr>
      </w:pPr>
      <w:r>
        <w:rPr>
          <w:sz w:val="22"/>
          <w:szCs w:val="22"/>
          <w:lang w:val="en-US"/>
        </w:rPr>
        <w:t xml:space="preserve">CIOBAN, M.; IZBASH, V.; SCERBACOV, V.; SYRBU, P.; </w:t>
      </w:r>
      <w:r>
        <w:rPr>
          <w:sz w:val="22"/>
          <w:szCs w:val="22"/>
          <w:lang w:val="ro-RO"/>
        </w:rPr>
        <w:t>Valentin Belousov</w:t>
      </w:r>
      <w:r>
        <w:rPr>
          <w:sz w:val="22"/>
          <w:szCs w:val="22"/>
          <w:lang w:val="en-US"/>
        </w:rPr>
        <w:t xml:space="preserve"> (20.02.1925 - 23.07.1988). </w:t>
      </w:r>
      <w:r>
        <w:rPr>
          <w:i/>
          <w:sz w:val="22"/>
          <w:szCs w:val="22"/>
          <w:lang w:val="ro-RO"/>
        </w:rPr>
        <w:t>Buletinul Academ</w:t>
      </w:r>
      <w:r>
        <w:rPr>
          <w:rFonts w:cs="Times New Roman CE" w:ascii="Times New Roman CE" w:hAnsi="Times New Roman CE"/>
          <w:i/>
          <w:sz w:val="22"/>
          <w:szCs w:val="22"/>
          <w:lang w:val="ro-RO"/>
        </w:rPr>
        <w:t>iei de Ştiinţe  a Republicii Moldova, Matematica</w:t>
      </w:r>
      <w:r>
        <w:rPr>
          <w:sz w:val="22"/>
          <w:szCs w:val="22"/>
          <w:lang w:val="ro-RO"/>
        </w:rPr>
        <w:t xml:space="preserve">, </w:t>
      </w:r>
      <w:r>
        <w:rPr>
          <w:sz w:val="22"/>
          <w:szCs w:val="22"/>
          <w:lang w:val="en-US"/>
        </w:rPr>
        <w:t>2016,  1(80), 3-6.</w:t>
      </w:r>
      <w:r>
        <w:rPr>
          <w:sz w:val="22"/>
          <w:szCs w:val="22"/>
          <w:lang w:val="it-IT"/>
        </w:rPr>
        <w:t xml:space="preserve"> ISSN: 1024-7696</w:t>
      </w:r>
    </w:p>
    <w:p>
      <w:pPr>
        <w:pStyle w:val="Normal"/>
        <w:widowControl w:val="false"/>
        <w:numPr>
          <w:ilvl w:val="0"/>
          <w:numId w:val="45"/>
        </w:numPr>
        <w:tabs>
          <w:tab w:val="left" w:pos="343" w:leader="none"/>
        </w:tabs>
        <w:bidi w:val="0"/>
        <w:ind w:left="343" w:right="0" w:hanging="0"/>
        <w:jc w:val="both"/>
        <w:textAlignment w:val="auto"/>
        <w:rPr>
          <w:lang w:val="it-IT"/>
        </w:rPr>
      </w:pPr>
      <w:r>
        <w:rPr>
          <w:sz w:val="22"/>
          <w:szCs w:val="22"/>
          <w:lang w:val="it-IT"/>
        </w:rPr>
        <w:t>CIUBOTARU, S. Rational bases of GL(2, R)-comitants and of GL(2, R)-invariants for the planar system of differential equations with nonlinearities of the fourth degree. Bul</w:t>
      </w:r>
      <w:r>
        <w:rPr>
          <w:rFonts w:cs="Times New Roman CE" w:ascii="Times New Roman CE" w:hAnsi="Times New Roman CE"/>
          <w:sz w:val="22"/>
          <w:szCs w:val="22"/>
          <w:lang w:val="it-IT"/>
        </w:rPr>
        <w:t>etinul Academiei de Ştiinţe a Republicii Moldova. Matematica, nr.3(79), 2015, 14-34. ISSN: 1024-7696</w:t>
      </w:r>
    </w:p>
    <w:p>
      <w:pPr>
        <w:pStyle w:val="Normal"/>
        <w:widowControl/>
        <w:numPr>
          <w:ilvl w:val="0"/>
          <w:numId w:val="45"/>
        </w:numPr>
        <w:tabs>
          <w:tab w:val="left" w:pos="343" w:leader="none"/>
        </w:tabs>
        <w:bidi w:val="0"/>
        <w:ind w:left="343" w:right="0" w:hanging="0"/>
        <w:jc w:val="both"/>
        <w:textAlignment w:val="auto"/>
        <w:rPr/>
      </w:pPr>
      <w:r>
        <w:rPr>
          <w:rFonts w:cs="Times New Roman CE" w:ascii="Times New Roman CE" w:hAnsi="Times New Roman CE"/>
          <w:sz w:val="22"/>
          <w:szCs w:val="22"/>
          <w:lang w:val="ro-RO"/>
        </w:rPr>
        <w:t>CUZNEŢOV</w:t>
      </w:r>
      <w:r>
        <w:rPr>
          <w:sz w:val="22"/>
          <w:szCs w:val="22"/>
          <w:lang w:val="ro-RO"/>
        </w:rPr>
        <w:t xml:space="preserve">, E. </w:t>
      </w:r>
      <w:hyperlink r:id="rId79">
        <w:r>
          <w:rPr>
            <w:webHidden/>
            <w:rStyle w:val="Style5"/>
            <w:sz w:val="22"/>
            <w:szCs w:val="22"/>
            <w:lang w:val="ro-RO"/>
          </w:rPr>
          <w:t>General form transversals in groups</w:t>
        </w:r>
      </w:hyperlink>
      <w:r>
        <w:rPr>
          <w:sz w:val="22"/>
          <w:szCs w:val="22"/>
          <w:lang w:val="ro-RO"/>
        </w:rPr>
        <w:t xml:space="preserve">. </w:t>
      </w:r>
      <w:r>
        <w:rPr>
          <w:rFonts w:cs="Times New Roman CE" w:ascii="Times New Roman CE" w:hAnsi="Times New Roman CE"/>
          <w:i/>
          <w:sz w:val="22"/>
          <w:szCs w:val="22"/>
          <w:lang w:val="ro-RO"/>
        </w:rPr>
        <w:t>Buletinul Academiei de Ştiinţe  a Republicii Moldova, Matematica</w:t>
      </w:r>
      <w:r>
        <w:rPr>
          <w:sz w:val="22"/>
          <w:szCs w:val="22"/>
          <w:lang w:val="ro-RO"/>
        </w:rPr>
        <w:t>, 2016, 2 (81), 93-106.</w:t>
      </w:r>
      <w:r>
        <w:rPr>
          <w:sz w:val="22"/>
          <w:szCs w:val="22"/>
          <w:lang w:val="it-IT"/>
        </w:rPr>
        <w:t xml:space="preserve"> ISSN: 1024-7696</w:t>
      </w:r>
    </w:p>
    <w:p>
      <w:pPr>
        <w:pStyle w:val="Normal"/>
        <w:widowControl w:val="false"/>
        <w:numPr>
          <w:ilvl w:val="0"/>
          <w:numId w:val="45"/>
        </w:numPr>
        <w:tabs>
          <w:tab w:val="left" w:pos="343" w:leader="none"/>
        </w:tabs>
        <w:bidi w:val="0"/>
        <w:ind w:left="343" w:right="0" w:hanging="0"/>
        <w:jc w:val="both"/>
        <w:textAlignment w:val="auto"/>
        <w:rPr>
          <w:lang w:val="it-IT"/>
        </w:rPr>
      </w:pPr>
      <w:r>
        <w:rPr>
          <w:rFonts w:cs="Times New Roman CE" w:ascii="Times New Roman CE" w:hAnsi="Times New Roman CE"/>
          <w:sz w:val="22"/>
          <w:szCs w:val="22"/>
          <w:lang w:val="it-IT"/>
        </w:rPr>
        <w:t xml:space="preserve">IZBASH, O.; RUSU, A. On the absence of finite approximation relative to model completeness in propositional provability logic. Buletinul Academiei de Ştiinţe a Republicii Moldova. </w:t>
      </w:r>
      <w:r>
        <w:rPr>
          <w:sz w:val="22"/>
          <w:szCs w:val="22"/>
          <w:lang w:val="it-IT"/>
        </w:rPr>
        <w:t>Matematica. nr. 3(79), 110-113. ISSN: 1024-7696</w:t>
      </w:r>
    </w:p>
    <w:p>
      <w:pPr>
        <w:pStyle w:val="Normal"/>
        <w:widowControl/>
        <w:numPr>
          <w:ilvl w:val="0"/>
          <w:numId w:val="45"/>
        </w:numPr>
        <w:tabs>
          <w:tab w:val="left" w:pos="343" w:leader="none"/>
        </w:tabs>
        <w:bidi w:val="0"/>
        <w:ind w:left="343" w:right="0" w:hanging="0"/>
        <w:jc w:val="both"/>
        <w:textAlignment w:val="auto"/>
        <w:rPr>
          <w:lang w:val="ro-RO"/>
        </w:rPr>
      </w:pPr>
      <w:r>
        <w:rPr>
          <w:sz w:val="22"/>
          <w:szCs w:val="22"/>
          <w:lang w:val="ro-RO"/>
        </w:rPr>
        <w:t xml:space="preserve">IZBASH, O.; RUSU, A.. On the absence of finite approximation relative to model completeness in propositional provability logic. </w:t>
      </w:r>
      <w:r>
        <w:rPr>
          <w:rFonts w:cs="Times New Roman CE" w:ascii="Times New Roman CE" w:hAnsi="Times New Roman CE"/>
          <w:i/>
          <w:sz w:val="22"/>
          <w:szCs w:val="22"/>
          <w:lang w:val="ro-RO"/>
        </w:rPr>
        <w:t xml:space="preserve">Bul. Acad. Ştiinţte Repub. Mold. Mat., </w:t>
      </w:r>
      <w:r>
        <w:rPr>
          <w:sz w:val="22"/>
          <w:szCs w:val="22"/>
          <w:lang w:val="ro-RO"/>
        </w:rPr>
        <w:t>2015,  3(79), 110-113.</w:t>
      </w:r>
      <w:r>
        <w:rPr>
          <w:sz w:val="22"/>
          <w:szCs w:val="22"/>
          <w:lang w:val="it-IT"/>
        </w:rPr>
        <w:t xml:space="preserve"> ISSN: 1024-7696</w:t>
      </w:r>
    </w:p>
    <w:p>
      <w:pPr>
        <w:pStyle w:val="Normal"/>
        <w:widowControl/>
        <w:numPr>
          <w:ilvl w:val="0"/>
          <w:numId w:val="45"/>
        </w:numPr>
        <w:tabs>
          <w:tab w:val="left" w:pos="343" w:leader="none"/>
          <w:tab w:val="left" w:pos="516" w:leader="none"/>
          <w:tab w:val="left" w:pos="1908" w:leader="none"/>
          <w:tab w:val="left" w:pos="4428" w:leader="none"/>
          <w:tab w:val="left" w:pos="5688" w:leader="none"/>
          <w:tab w:val="left" w:pos="7668" w:leader="none"/>
          <w:tab w:val="left" w:pos="9039" w:leader="none"/>
        </w:tabs>
        <w:bidi w:val="0"/>
        <w:spacing w:lineRule="atLeast" w:line="23"/>
        <w:ind w:left="343" w:right="0" w:hanging="0"/>
        <w:jc w:val="both"/>
        <w:textAlignment w:val="auto"/>
        <w:rPr>
          <w:lang w:val="en-US"/>
        </w:rPr>
      </w:pPr>
      <w:r>
        <w:rPr>
          <w:sz w:val="22"/>
          <w:szCs w:val="22"/>
          <w:lang w:val="en-US"/>
        </w:rPr>
        <w:t xml:space="preserve">LOZOVANU, D. Stationary Nash Equilibria for Average Stochastic Games with Finite State and Action Spaces. </w:t>
      </w:r>
      <w:r>
        <w:rPr>
          <w:i/>
          <w:sz w:val="22"/>
          <w:szCs w:val="22"/>
          <w:lang w:val="it-IT"/>
        </w:rPr>
        <w:t>Buletinul A</w:t>
      </w:r>
      <w:r>
        <w:rPr>
          <w:rFonts w:cs="Times New Roman CE" w:ascii="Times New Roman CE" w:hAnsi="Times New Roman CE"/>
          <w:i/>
          <w:sz w:val="22"/>
          <w:szCs w:val="22"/>
          <w:lang w:val="ro-RO"/>
        </w:rPr>
        <w:t>ŞM</w:t>
      </w:r>
      <w:r>
        <w:rPr>
          <w:i/>
          <w:sz w:val="22"/>
          <w:szCs w:val="22"/>
          <w:lang w:val="it-IT"/>
        </w:rPr>
        <w:t>, seria Matematica</w:t>
      </w:r>
      <w:r>
        <w:rPr>
          <w:sz w:val="22"/>
          <w:szCs w:val="22"/>
          <w:lang w:val="en-US"/>
        </w:rPr>
        <w:t>,</w:t>
      </w:r>
      <w:r>
        <w:rPr>
          <w:i/>
          <w:sz w:val="22"/>
          <w:szCs w:val="22"/>
          <w:lang w:val="en-US"/>
        </w:rPr>
        <w:t xml:space="preserve"> </w:t>
      </w:r>
      <w:r>
        <w:rPr>
          <w:sz w:val="22"/>
          <w:szCs w:val="22"/>
          <w:lang w:val="en-US"/>
        </w:rPr>
        <w:t>2016,</w:t>
      </w:r>
      <w:r>
        <w:rPr>
          <w:i/>
          <w:sz w:val="22"/>
          <w:szCs w:val="22"/>
          <w:lang w:val="en-US"/>
        </w:rPr>
        <w:t xml:space="preserve"> </w:t>
      </w:r>
      <w:r>
        <w:rPr>
          <w:sz w:val="22"/>
          <w:szCs w:val="22"/>
          <w:lang w:val="en-US"/>
        </w:rPr>
        <w:t xml:space="preserve">2(81), 71-92. </w:t>
      </w:r>
      <w:r>
        <w:rPr>
          <w:sz w:val="22"/>
          <w:szCs w:val="22"/>
          <w:lang w:val="ro-RO"/>
        </w:rPr>
        <w:t>ISSN 1024-7696.</w:t>
      </w:r>
    </w:p>
    <w:p>
      <w:pPr>
        <w:pStyle w:val="ListParagraph"/>
        <w:widowControl/>
        <w:numPr>
          <w:ilvl w:val="0"/>
          <w:numId w:val="45"/>
        </w:numPr>
        <w:tabs>
          <w:tab w:val="left" w:pos="343" w:leader="none"/>
        </w:tabs>
        <w:bidi w:val="0"/>
        <w:spacing w:before="0" w:after="0"/>
        <w:ind w:left="343" w:right="0" w:hanging="0"/>
        <w:contextualSpacing/>
        <w:jc w:val="both"/>
        <w:textAlignment w:val="auto"/>
        <w:rPr>
          <w:lang w:val="ro-RO"/>
        </w:rPr>
      </w:pPr>
      <w:r>
        <w:rPr>
          <w:sz w:val="22"/>
          <w:szCs w:val="22"/>
          <w:lang w:val="ro-RO"/>
        </w:rPr>
        <w:t xml:space="preserve">MOLDOVYAN, N.A.; MOLDOVYAN, A.A.; SHCHERBACOV, V.A. Generating Cubic Equations as a Method for Public Encryption. </w:t>
      </w:r>
      <w:r>
        <w:rPr>
          <w:rFonts w:cs="Times New Roman CE" w:ascii="Times New Roman CE" w:hAnsi="Times New Roman CE"/>
          <w:i/>
          <w:sz w:val="22"/>
          <w:szCs w:val="22"/>
          <w:lang w:val="ro-RO"/>
        </w:rPr>
        <w:t>Buletinul Academiei de Ştiinţe  a Republicii Moldova, Matematica,</w:t>
      </w:r>
      <w:r>
        <w:rPr>
          <w:sz w:val="22"/>
          <w:szCs w:val="22"/>
          <w:lang w:val="ro-RO"/>
        </w:rPr>
        <w:t xml:space="preserve"> 2015,  3(79),  60-71.</w:t>
      </w:r>
      <w:r>
        <w:rPr>
          <w:sz w:val="22"/>
          <w:szCs w:val="22"/>
          <w:lang w:val="it-IT"/>
        </w:rPr>
        <w:t xml:space="preserve"> ISSN: 1024-7696</w:t>
      </w:r>
    </w:p>
    <w:p>
      <w:pPr>
        <w:pStyle w:val="Normal"/>
        <w:widowControl w:val="false"/>
        <w:numPr>
          <w:ilvl w:val="0"/>
          <w:numId w:val="45"/>
        </w:numPr>
        <w:tabs>
          <w:tab w:val="left" w:pos="343" w:leader="none"/>
        </w:tabs>
        <w:suppressAutoHyphens w:val="true"/>
        <w:bidi w:val="0"/>
        <w:ind w:left="343" w:right="0" w:hanging="0"/>
        <w:jc w:val="both"/>
        <w:textAlignment w:val="auto"/>
        <w:rPr>
          <w:lang w:val="ro-RO"/>
        </w:rPr>
      </w:pPr>
      <w:r>
        <w:rPr>
          <w:sz w:val="22"/>
          <w:szCs w:val="22"/>
          <w:lang w:val="ro-RO"/>
        </w:rPr>
        <w:t xml:space="preserve">POPA, V.  On LCA groups with locally compact  rings of continuous endomorphisms. II, </w:t>
      </w:r>
      <w:r>
        <w:rPr>
          <w:rFonts w:cs="Times New Roman CE" w:ascii="Times New Roman CE" w:hAnsi="Times New Roman CE"/>
          <w:i/>
          <w:sz w:val="22"/>
          <w:szCs w:val="22"/>
          <w:lang w:val="ro-RO"/>
        </w:rPr>
        <w:t>Buletinul Academiei de Ştiinţe  a Re</w:t>
      </w:r>
      <w:r>
        <w:rPr>
          <w:i/>
          <w:sz w:val="22"/>
          <w:szCs w:val="22"/>
          <w:lang w:val="ro-RO"/>
        </w:rPr>
        <w:t>publicii Moldova, Matematica</w:t>
      </w:r>
      <w:r>
        <w:rPr>
          <w:sz w:val="22"/>
          <w:szCs w:val="22"/>
          <w:lang w:val="ro-RO"/>
        </w:rPr>
        <w:t>, 2015, nr. 2(78), 96-113.</w:t>
      </w:r>
    </w:p>
    <w:p>
      <w:pPr>
        <w:pStyle w:val="Normal"/>
        <w:widowControl w:val="false"/>
        <w:numPr>
          <w:ilvl w:val="0"/>
          <w:numId w:val="45"/>
        </w:numPr>
        <w:tabs>
          <w:tab w:val="left" w:pos="343" w:leader="none"/>
        </w:tabs>
        <w:bidi w:val="0"/>
        <w:ind w:left="343" w:right="0" w:hanging="0"/>
        <w:jc w:val="both"/>
        <w:textAlignment w:val="auto"/>
        <w:rPr/>
      </w:pPr>
      <w:r>
        <w:rPr>
          <w:sz w:val="22"/>
          <w:szCs w:val="22"/>
          <w:lang w:val="it-IT"/>
        </w:rPr>
        <w:t>VACARA</w:t>
      </w:r>
      <w:r>
        <w:rPr>
          <w:rFonts w:cs="Times New Roman CE" w:ascii="Times New Roman CE" w:hAnsi="Times New Roman CE"/>
          <w:sz w:val="22"/>
          <w:szCs w:val="22"/>
          <w:lang w:val="it-IT"/>
        </w:rPr>
        <w:t>Ş</w:t>
      </w:r>
      <w:r>
        <w:rPr>
          <w:sz w:val="22"/>
          <w:szCs w:val="22"/>
          <w:lang w:val="it-IT"/>
        </w:rPr>
        <w:t xml:space="preserve"> O. </w:t>
      </w:r>
      <w:hyperlink r:id="rId80">
        <w:r>
          <w:rPr>
            <w:webHidden/>
            <w:rStyle w:val="Style5"/>
            <w:sz w:val="22"/>
            <w:szCs w:val="22"/>
            <w:lang w:val="it-IT"/>
          </w:rPr>
          <w:t>Cubic differential systems with two affine real non-parallel invariant straight lines of maximal multiplicity</w:t>
        </w:r>
      </w:hyperlink>
      <w:r>
        <w:rPr>
          <w:rFonts w:cs="Times New Roman CE" w:ascii="Times New Roman CE" w:hAnsi="Times New Roman CE"/>
          <w:sz w:val="22"/>
          <w:szCs w:val="22"/>
          <w:lang w:val="it-IT"/>
        </w:rPr>
        <w:t>. Buletinul Academiei de Ştiinţe a Republicii Moldova. Matematica, nr. 3(79), 2015, p. 79-101. ISSN: 1024-7696</w:t>
      </w:r>
    </w:p>
    <w:p>
      <w:pPr>
        <w:pStyle w:val="Normal"/>
        <w:widowControl/>
        <w:tabs>
          <w:tab w:val="left" w:pos="516" w:leader="none"/>
          <w:tab w:val="left" w:pos="1908" w:leader="none"/>
          <w:tab w:val="left" w:pos="4428" w:leader="none"/>
          <w:tab w:val="left" w:pos="5688" w:leader="none"/>
          <w:tab w:val="left" w:pos="7668" w:leader="none"/>
          <w:tab w:val="left" w:pos="9039" w:leader="none"/>
        </w:tabs>
        <w:bidi w:val="0"/>
        <w:spacing w:lineRule="atLeast" w:line="23"/>
        <w:ind w:left="343" w:right="0" w:hanging="0"/>
        <w:jc w:val="both"/>
        <w:textAlignment w:val="auto"/>
        <w:rPr>
          <w:rFonts w:ascii="Times New Roman" w:hAnsi="Times New Roman"/>
          <w:sz w:val="22"/>
          <w:szCs w:val="22"/>
          <w:lang w:val="en-CA"/>
        </w:rPr>
      </w:pPr>
      <w:r>
        <w:rPr>
          <w:sz w:val="22"/>
          <w:szCs w:val="22"/>
          <w:lang w:val="en-CA"/>
        </w:rPr>
      </w:r>
    </w:p>
    <w:p>
      <w:pPr>
        <w:pStyle w:val="Normal"/>
        <w:widowControl/>
        <w:tabs>
          <w:tab w:val="left" w:pos="516" w:leader="none"/>
          <w:tab w:val="left" w:pos="1908" w:leader="none"/>
          <w:tab w:val="left" w:pos="4428" w:leader="none"/>
          <w:tab w:val="left" w:pos="5688" w:leader="none"/>
          <w:tab w:val="left" w:pos="7668" w:leader="none"/>
          <w:tab w:val="left" w:pos="9039" w:leader="none"/>
        </w:tabs>
        <w:bidi w:val="0"/>
        <w:spacing w:lineRule="atLeast" w:line="23"/>
        <w:ind w:left="0" w:right="0" w:hanging="0"/>
        <w:jc w:val="both"/>
        <w:textAlignment w:val="auto"/>
        <w:rPr>
          <w:lang w:val="en-US"/>
        </w:rPr>
      </w:pPr>
      <w:r>
        <w:rPr>
          <w:b/>
          <w:i/>
          <w:lang w:val="en-US"/>
        </w:rPr>
        <w:t>categoria B+</w:t>
      </w:r>
    </w:p>
    <w:p>
      <w:pPr>
        <w:pStyle w:val="Normal"/>
        <w:widowControl w:val="false"/>
        <w:numPr>
          <w:ilvl w:val="0"/>
          <w:numId w:val="40"/>
        </w:numPr>
        <w:tabs>
          <w:tab w:val="left" w:pos="343" w:leader="none"/>
        </w:tabs>
        <w:bidi w:val="0"/>
        <w:ind w:left="343" w:right="0" w:hanging="0"/>
        <w:jc w:val="both"/>
        <w:textAlignment w:val="auto"/>
        <w:rPr>
          <w:lang w:val="it-IT"/>
        </w:rPr>
      </w:pPr>
      <w:r>
        <w:rPr>
          <w:sz w:val="22"/>
          <w:szCs w:val="22"/>
          <w:lang w:val="it-IT"/>
        </w:rPr>
        <w:t>BURTSEVA,  L. Advantages of application of unconventional computing to image processing and whence these advances come, Computer Science Journal of Moldova vol.24, no.1(70), 2016, 136-144. ISSN 1561-4042</w:t>
      </w:r>
    </w:p>
    <w:p>
      <w:pPr>
        <w:pStyle w:val="Normal"/>
        <w:widowControl w:val="false"/>
        <w:numPr>
          <w:ilvl w:val="0"/>
          <w:numId w:val="40"/>
        </w:numPr>
        <w:tabs>
          <w:tab w:val="left" w:pos="343" w:leader="none"/>
        </w:tabs>
        <w:bidi w:val="0"/>
        <w:ind w:left="343" w:right="0" w:hanging="0"/>
        <w:jc w:val="both"/>
        <w:textAlignment w:val="auto"/>
        <w:rPr>
          <w:lang w:val="it-IT"/>
        </w:rPr>
      </w:pPr>
      <w:r>
        <w:rPr>
          <w:sz w:val="22"/>
          <w:szCs w:val="22"/>
          <w:lang w:val="it-IT"/>
        </w:rPr>
        <w:t>COJOCARU, S.; COLESNICOV, A.; MALAHOV, L.;  BUMBU,T. Optical Character Recognition Applied to Romanian Printed Texts of the 18th-20th Century, Computer Science Journal of Moldova vol.24, no.1(70), 2016, 106-117. ISSN 1561-4042</w:t>
      </w:r>
    </w:p>
    <w:p>
      <w:pPr>
        <w:pStyle w:val="ListParagraph"/>
        <w:widowControl/>
        <w:numPr>
          <w:ilvl w:val="0"/>
          <w:numId w:val="40"/>
        </w:numPr>
        <w:tabs>
          <w:tab w:val="left" w:pos="343" w:leader="none"/>
          <w:tab w:val="left" w:pos="851" w:leader="none"/>
        </w:tabs>
        <w:suppressAutoHyphens w:val="true"/>
        <w:bidi w:val="0"/>
        <w:spacing w:lineRule="auto" w:line="276" w:before="0" w:after="0"/>
        <w:ind w:left="343" w:right="0" w:hanging="0"/>
        <w:contextualSpacing/>
        <w:jc w:val="left"/>
        <w:textAlignment w:val="auto"/>
        <w:rPr>
          <w:lang w:val="ro-RO"/>
        </w:rPr>
      </w:pPr>
      <w:r>
        <w:rPr>
          <w:iCs/>
          <w:sz w:val="22"/>
          <w:szCs w:val="22"/>
          <w:lang w:val="ro-RO" w:eastAsia="ro-RO"/>
        </w:rPr>
        <w:t>COJOCARU, S.; PETIC, M.; HOROS, G. Tools for texts monitoring and analysis aimed at the field of social disasters. Computer Science Journal of Moldova, vol. 24, no. 2(71), 2016, 157-171.</w:t>
      </w:r>
      <w:r>
        <w:rPr>
          <w:sz w:val="22"/>
          <w:szCs w:val="22"/>
          <w:lang w:val="it-IT"/>
        </w:rPr>
        <w:t xml:space="preserve"> ISSN 1561-4042</w:t>
      </w:r>
    </w:p>
    <w:p>
      <w:pPr>
        <w:pStyle w:val="Normal"/>
        <w:widowControl/>
        <w:numPr>
          <w:ilvl w:val="0"/>
          <w:numId w:val="40"/>
        </w:numPr>
        <w:tabs>
          <w:tab w:val="left" w:pos="343" w:leader="none"/>
        </w:tabs>
        <w:bidi w:val="0"/>
        <w:ind w:left="343" w:right="0" w:hanging="0"/>
        <w:jc w:val="both"/>
        <w:textAlignment w:val="auto"/>
        <w:rPr>
          <w:lang w:val="ro-RO"/>
        </w:rPr>
      </w:pPr>
      <w:r>
        <w:rPr>
          <w:color w:val="333333"/>
          <w:sz w:val="22"/>
          <w:szCs w:val="22"/>
          <w:shd w:fill="FFFFFF" w:val="clear"/>
          <w:lang w:val="ro-RO"/>
        </w:rPr>
        <w:t>DRUGUS, I. Universics: a Theory of Universes of Discourse for Metamathematics and</w:t>
      </w:r>
      <w:r>
        <w:rPr/>
        <w:br/>
      </w:r>
      <w:r>
        <w:rPr>
          <w:color w:val="333333"/>
          <w:sz w:val="22"/>
          <w:szCs w:val="22"/>
          <w:shd w:fill="FFFFFF" w:val="clear"/>
          <w:lang w:val="ro-RO"/>
        </w:rPr>
        <w:t xml:space="preserve">Foundations. </w:t>
      </w:r>
      <w:r>
        <w:rPr>
          <w:i/>
          <w:color w:val="333333"/>
          <w:sz w:val="22"/>
          <w:szCs w:val="22"/>
          <w:shd w:fill="FFFFFF" w:val="clear"/>
          <w:lang w:val="ro-RO"/>
        </w:rPr>
        <w:t>Computer Science Journal of Moldova</w:t>
      </w:r>
      <w:r>
        <w:rPr>
          <w:color w:val="333333"/>
          <w:sz w:val="22"/>
          <w:szCs w:val="22"/>
          <w:shd w:fill="FFFFFF" w:val="clear"/>
          <w:lang w:val="ro-RO"/>
        </w:rPr>
        <w:t>, vol.24, no.1(70), (2016), 3-26.</w:t>
      </w:r>
      <w:r>
        <w:rPr>
          <w:sz w:val="22"/>
          <w:szCs w:val="22"/>
          <w:lang w:val="ro-RO"/>
        </w:rPr>
        <w:t xml:space="preserve"> ISSN 1561-4042</w:t>
      </w:r>
    </w:p>
    <w:p>
      <w:pPr>
        <w:pStyle w:val="Normal"/>
        <w:widowControl/>
        <w:numPr>
          <w:ilvl w:val="0"/>
          <w:numId w:val="40"/>
        </w:numPr>
        <w:tabs>
          <w:tab w:val="left" w:pos="343" w:leader="none"/>
          <w:tab w:val="left" w:pos="1080" w:leader="none"/>
        </w:tabs>
        <w:bidi w:val="0"/>
        <w:ind w:left="343" w:right="0" w:hanging="0"/>
        <w:jc w:val="both"/>
        <w:textAlignment w:val="auto"/>
        <w:rPr>
          <w:lang w:val="ro-RO"/>
        </w:rPr>
      </w:pPr>
      <w:r>
        <w:rPr>
          <w:rFonts w:cs="Times New Roman CE" w:ascii="Times New Roman CE" w:hAnsi="Times New Roman CE"/>
          <w:color w:val="333333"/>
          <w:sz w:val="22"/>
          <w:szCs w:val="22"/>
          <w:lang w:val="ro-RO"/>
        </w:rPr>
        <w:t>MIŞCOI, Gh.; BEJENARI</w:t>
      </w:r>
      <w:r>
        <w:rPr>
          <w:color w:val="333333"/>
          <w:sz w:val="22"/>
          <w:szCs w:val="22"/>
          <w:lang w:val="ro-RO"/>
        </w:rPr>
        <w:t xml:space="preserve">, D.; MITEV, L.; </w:t>
      </w:r>
      <w:r>
        <w:rPr>
          <w:rFonts w:cs="Times New Roman CE" w:ascii="Times New Roman CE" w:hAnsi="Times New Roman CE"/>
          <w:color w:val="333333"/>
          <w:sz w:val="22"/>
          <w:szCs w:val="22"/>
          <w:lang w:val="ro-RO"/>
        </w:rPr>
        <w:t>ŢICU, I.R.</w:t>
      </w:r>
      <w:r>
        <w:rPr>
          <w:color w:val="333333"/>
          <w:sz w:val="22"/>
          <w:szCs w:val="22"/>
          <w:lang w:val="ro-RO"/>
        </w:rPr>
        <w:t xml:space="preserve"> </w:t>
      </w:r>
      <w:r>
        <w:rPr>
          <w:sz w:val="22"/>
          <w:szCs w:val="22"/>
          <w:lang w:val="ro-RO"/>
        </w:rPr>
        <w:t xml:space="preserve">Numerical solutions of Kendall and Pollaczek-Khintchin equations for exhaustive polling systems with semi-Markov delays. </w:t>
      </w:r>
      <w:r>
        <w:rPr>
          <w:i/>
          <w:sz w:val="22"/>
          <w:szCs w:val="22"/>
          <w:lang w:val="ro-RO"/>
        </w:rPr>
        <w:t>Computer Science Journal of Moldova</w:t>
      </w:r>
      <w:r>
        <w:rPr>
          <w:sz w:val="22"/>
          <w:szCs w:val="22"/>
          <w:lang w:val="ro-RO"/>
        </w:rPr>
        <w:t>, 2016, v.24, 2(71), 255-272. ISSN 1561-4042.</w:t>
      </w:r>
    </w:p>
    <w:p>
      <w:pPr>
        <w:pStyle w:val="Normal"/>
        <w:widowControl/>
        <w:numPr>
          <w:ilvl w:val="0"/>
          <w:numId w:val="40"/>
        </w:numPr>
        <w:tabs>
          <w:tab w:val="left" w:pos="343" w:leader="none"/>
        </w:tabs>
        <w:bidi w:val="0"/>
        <w:ind w:left="343" w:right="0" w:hanging="0"/>
        <w:jc w:val="both"/>
        <w:textAlignment w:val="auto"/>
        <w:rPr>
          <w:lang w:val="ro-RO"/>
        </w:rPr>
      </w:pPr>
      <w:r>
        <w:rPr>
          <w:sz w:val="22"/>
          <w:szCs w:val="22"/>
          <w:lang w:val="ro-RO"/>
        </w:rPr>
        <w:t xml:space="preserve">MOLDOVYAN, N.A.; MOLDOVYAN, A.A.; MOLDOVYAN, D.A.; SHCHERBACOV, V.A.. Stream Deniable-Encryption Algorithms. </w:t>
      </w:r>
      <w:r>
        <w:rPr>
          <w:i/>
          <w:sz w:val="22"/>
          <w:szCs w:val="22"/>
          <w:lang w:val="ro-RO"/>
        </w:rPr>
        <w:t>Computer Science Journal of Moldova v.24,</w:t>
      </w:r>
      <w:r>
        <w:rPr>
          <w:sz w:val="22"/>
          <w:szCs w:val="22"/>
          <w:lang w:val="ro-RO"/>
        </w:rPr>
        <w:t xml:space="preserve"> n.1 (70), 2016. ISSN 1561-4042</w:t>
      </w:r>
    </w:p>
    <w:p>
      <w:pPr>
        <w:pStyle w:val="Normal"/>
        <w:widowControl w:val="false"/>
        <w:numPr>
          <w:ilvl w:val="0"/>
          <w:numId w:val="40"/>
        </w:numPr>
        <w:tabs>
          <w:tab w:val="left" w:pos="343" w:leader="none"/>
        </w:tabs>
        <w:bidi w:val="0"/>
        <w:ind w:left="343" w:right="0" w:hanging="0"/>
        <w:jc w:val="both"/>
        <w:textAlignment w:val="auto"/>
        <w:rPr>
          <w:lang w:val="it-IT"/>
        </w:rPr>
      </w:pPr>
      <w:r>
        <w:rPr>
          <w:sz w:val="22"/>
          <w:szCs w:val="22"/>
          <w:lang w:val="it-IT"/>
        </w:rPr>
        <w:t>ROGOJIN,V.; PETRE, I. Large-scale executable biology using rapid integration of computational models. Computer Science Journal of Moldova vol.24, n.1 (70), 2016, 118-135. ISSN 1561-4042</w:t>
      </w:r>
    </w:p>
    <w:p>
      <w:pPr>
        <w:pStyle w:val="Normal"/>
        <w:widowControl/>
        <w:tabs>
          <w:tab w:val="left" w:pos="6237" w:leader="none"/>
          <w:tab w:val="left" w:pos="6521" w:leader="none"/>
        </w:tabs>
        <w:bidi w:val="0"/>
        <w:spacing w:lineRule="exact" w:line="280"/>
        <w:ind w:left="0" w:right="0" w:hanging="0"/>
        <w:jc w:val="both"/>
        <w:textAlignment w:val="auto"/>
        <w:rPr>
          <w:rFonts w:ascii="Times New Roman" w:hAnsi="Times New Roman"/>
          <w:b/>
          <w:b/>
          <w:i/>
          <w:i/>
          <w:lang w:val="en-US"/>
        </w:rPr>
      </w:pPr>
      <w:r>
        <w:rPr>
          <w:b/>
          <w:i/>
          <w:lang w:val="en-US"/>
        </w:rPr>
      </w:r>
    </w:p>
    <w:p>
      <w:pPr>
        <w:pStyle w:val="Normal"/>
        <w:widowControl/>
        <w:tabs>
          <w:tab w:val="left" w:pos="6237" w:leader="none"/>
          <w:tab w:val="left" w:pos="6521" w:leader="none"/>
        </w:tabs>
        <w:bidi w:val="0"/>
        <w:spacing w:lineRule="exact" w:line="280"/>
        <w:ind w:left="0" w:right="0" w:hanging="0"/>
        <w:jc w:val="both"/>
        <w:textAlignment w:val="auto"/>
        <w:rPr>
          <w:lang w:val="en-US"/>
        </w:rPr>
      </w:pPr>
      <w:r>
        <w:rPr>
          <w:b/>
          <w:i/>
          <w:lang w:val="en-US"/>
        </w:rPr>
        <w:t>categoria B</w:t>
      </w:r>
    </w:p>
    <w:p>
      <w:pPr>
        <w:pStyle w:val="Normal"/>
        <w:widowControl w:val="false"/>
        <w:numPr>
          <w:ilvl w:val="0"/>
          <w:numId w:val="41"/>
        </w:numPr>
        <w:tabs>
          <w:tab w:val="left" w:pos="343" w:leader="none"/>
        </w:tabs>
        <w:bidi w:val="0"/>
        <w:ind w:left="343" w:right="0" w:hanging="0"/>
        <w:jc w:val="both"/>
        <w:textAlignment w:val="auto"/>
        <w:rPr>
          <w:lang w:val="it-IT"/>
        </w:rPr>
      </w:pPr>
      <w:r>
        <w:rPr>
          <w:rFonts w:cs="Times New Roman CE" w:ascii="Times New Roman CE" w:hAnsi="Times New Roman CE"/>
          <w:sz w:val="22"/>
          <w:szCs w:val="22"/>
          <w:lang w:val="it-IT"/>
        </w:rPr>
        <w:t>MIŞCOI, GH. Cercetări în domeniul Teoriei Aşteptării realizate de tineri matematicieni din Moldova. ACADEMOS, 2(41), 2016, 51-55. ISSN 1857-0461</w:t>
      </w:r>
    </w:p>
    <w:p>
      <w:pPr>
        <w:pStyle w:val="Normal"/>
        <w:widowControl w:val="false"/>
        <w:numPr>
          <w:ilvl w:val="0"/>
          <w:numId w:val="41"/>
        </w:numPr>
        <w:tabs>
          <w:tab w:val="left" w:pos="343" w:leader="none"/>
        </w:tabs>
        <w:bidi w:val="0"/>
        <w:ind w:left="343" w:right="0" w:hanging="0"/>
        <w:jc w:val="both"/>
        <w:textAlignment w:val="auto"/>
        <w:rPr>
          <w:lang w:val="ro-RO"/>
        </w:rPr>
      </w:pPr>
      <w:r>
        <w:rPr>
          <w:iCs/>
          <w:sz w:val="22"/>
          <w:szCs w:val="22"/>
          <w:lang w:val="ro-RO" w:eastAsia="ro-RO"/>
        </w:rPr>
        <w:t>ZAMSA, E. Sistem informa</w:t>
      </w:r>
      <w:r>
        <w:rPr>
          <w:rFonts w:cs="Times New Roman CE" w:ascii="Times New Roman CE" w:hAnsi="Times New Roman CE"/>
          <w:iCs/>
          <w:sz w:val="22"/>
          <w:szCs w:val="22"/>
          <w:lang w:val="ro-RO" w:eastAsia="ro-RO"/>
        </w:rPr>
        <w:t>ţ</w:t>
      </w:r>
      <w:r>
        <w:rPr>
          <w:iCs/>
          <w:sz w:val="22"/>
          <w:szCs w:val="22"/>
          <w:lang w:val="ro-RO" w:eastAsia="ro-RO"/>
        </w:rPr>
        <w:t>ional multiparametru de management al pacien</w:t>
      </w:r>
      <w:r>
        <w:rPr>
          <w:rFonts w:cs="Times New Roman CE" w:ascii="Times New Roman CE" w:hAnsi="Times New Roman CE"/>
          <w:iCs/>
          <w:sz w:val="22"/>
          <w:szCs w:val="22"/>
          <w:lang w:val="ro-RO" w:eastAsia="ro-RO"/>
        </w:rPr>
        <w:t>ţ</w:t>
      </w:r>
      <w:r>
        <w:rPr>
          <w:iCs/>
          <w:sz w:val="22"/>
          <w:szCs w:val="22"/>
          <w:lang w:val="ro-RO" w:eastAsia="ro-RO"/>
        </w:rPr>
        <w:t>ilor cu accident cerebral-vascular,  Akademos, Nr. 1 (40), 2016, 51-54.</w:t>
      </w:r>
      <w:r>
        <w:rPr>
          <w:sz w:val="22"/>
          <w:szCs w:val="22"/>
          <w:lang w:val="it-IT"/>
        </w:rPr>
        <w:t xml:space="preserve"> ISSN 1857-0461</w:t>
      </w:r>
    </w:p>
    <w:p>
      <w:pPr>
        <w:pStyle w:val="Normal"/>
        <w:widowControl/>
        <w:numPr>
          <w:ilvl w:val="0"/>
          <w:numId w:val="41"/>
        </w:numPr>
        <w:tabs>
          <w:tab w:val="left" w:pos="343" w:leader="none"/>
        </w:tabs>
        <w:bidi w:val="0"/>
        <w:ind w:left="343" w:right="0" w:hanging="0"/>
        <w:jc w:val="left"/>
        <w:textAlignment w:val="auto"/>
        <w:rPr>
          <w:lang w:val="en-US"/>
        </w:rPr>
      </w:pPr>
      <w:r>
        <w:rPr>
          <w:sz w:val="22"/>
          <w:szCs w:val="22"/>
          <w:lang w:val="en-US"/>
        </w:rPr>
        <w:t>TAMBALA, C.; SECRIERU, Iu. Portal hemodynamics disorders severity in liver cirrhosis  assessment by duplex ultrasound. In: Scientific medical journal “Curierul medical”, Vol.59, No. 1, 2016, Chisinau, Moldova, pp. 37-40, ISSN 1857-0666</w:t>
      </w:r>
    </w:p>
    <w:p>
      <w:pPr>
        <w:pStyle w:val="Normal"/>
        <w:widowControl/>
        <w:tabs>
          <w:tab w:val="left" w:pos="6237" w:leader="none"/>
          <w:tab w:val="left" w:pos="6521" w:leader="none"/>
        </w:tabs>
        <w:bidi w:val="0"/>
        <w:spacing w:lineRule="exact" w:line="280"/>
        <w:ind w:left="0" w:right="0" w:hanging="0"/>
        <w:jc w:val="both"/>
        <w:textAlignment w:val="auto"/>
        <w:rPr>
          <w:rFonts w:ascii="Times New Roman" w:hAnsi="Times New Roman"/>
          <w:b/>
          <w:b/>
          <w:bCs/>
          <w:i/>
          <w:i/>
          <w:lang w:val="ro-RO"/>
        </w:rPr>
      </w:pPr>
      <w:r>
        <w:rPr>
          <w:b/>
          <w:bCs/>
          <w:i/>
          <w:lang w:val="ro-RO"/>
        </w:rPr>
      </w:r>
    </w:p>
    <w:p>
      <w:pPr>
        <w:pStyle w:val="NormalWeb"/>
        <w:widowControl/>
        <w:bidi w:val="0"/>
        <w:spacing w:before="0" w:after="0"/>
        <w:ind w:left="343" w:right="0" w:hanging="0"/>
        <w:jc w:val="both"/>
        <w:textAlignment w:val="auto"/>
        <w:rPr>
          <w:rFonts w:ascii="Times New Roman" w:hAnsi="Times New Roman"/>
          <w:sz w:val="22"/>
          <w:szCs w:val="22"/>
          <w:lang w:val="it-IT"/>
        </w:rPr>
      </w:pPr>
      <w:r>
        <w:rPr>
          <w:sz w:val="22"/>
          <w:szCs w:val="22"/>
          <w:lang w:val="it-IT"/>
        </w:rPr>
      </w:r>
    </w:p>
    <w:p>
      <w:pPr>
        <w:pStyle w:val="Normal"/>
        <w:widowControl/>
        <w:suppressAutoHyphens w:val="true"/>
        <w:bidi w:val="0"/>
        <w:ind w:left="0" w:right="0" w:hanging="0"/>
        <w:jc w:val="both"/>
        <w:textAlignment w:val="auto"/>
        <w:rPr>
          <w:lang w:val="ro-RO"/>
        </w:rPr>
      </w:pPr>
      <w:r>
        <w:rPr>
          <w:b/>
          <w:bCs/>
          <w:i/>
          <w:color w:val="000000"/>
          <w:lang w:val="ro-RO"/>
        </w:rPr>
        <w:t>Art</w:t>
      </w:r>
      <w:r>
        <w:rPr>
          <w:rFonts w:cs="Times New Roman CE" w:ascii="Times New Roman CE" w:hAnsi="Times New Roman CE"/>
          <w:b/>
          <w:bCs/>
          <w:i/>
          <w:color w:val="000000"/>
          <w:lang w:val="ro-RO"/>
        </w:rPr>
        <w:t>icole în culegeri internaţionale</w:t>
      </w:r>
    </w:p>
    <w:p>
      <w:pPr>
        <w:pStyle w:val="ListParagraph"/>
        <w:widowControl/>
        <w:numPr>
          <w:ilvl w:val="0"/>
          <w:numId w:val="36"/>
        </w:numPr>
        <w:tabs>
          <w:tab w:val="left" w:pos="343" w:leader="none"/>
        </w:tabs>
        <w:suppressAutoHyphens w:val="true"/>
        <w:bidi w:val="0"/>
        <w:spacing w:before="0" w:after="0"/>
        <w:ind w:left="343" w:right="0" w:hanging="0"/>
        <w:contextualSpacing/>
        <w:jc w:val="both"/>
        <w:textAlignment w:val="auto"/>
        <w:rPr/>
      </w:pPr>
      <w:r>
        <w:rPr>
          <w:iCs/>
          <w:sz w:val="22"/>
          <w:szCs w:val="22"/>
          <w:lang w:val="ro-RO" w:eastAsia="ro-RO"/>
        </w:rPr>
        <w:t xml:space="preserve">ALHAZOV, A; AMAN, B.; FREUND, R.; IVANOV, S. </w:t>
      </w:r>
      <w:hyperlink r:id="rId81">
        <w:r>
          <w:rPr>
            <w:webHidden/>
            <w:rStyle w:val="Style5"/>
            <w:iCs/>
            <w:sz w:val="22"/>
            <w:szCs w:val="22"/>
            <w:lang w:val="ro-RO" w:eastAsia="ro-RO"/>
          </w:rPr>
          <w:t>Complexity of simulating R systems by P systems</w:t>
        </w:r>
      </w:hyperlink>
      <w:r>
        <w:rPr>
          <w:iCs/>
          <w:sz w:val="22"/>
          <w:szCs w:val="22"/>
          <w:lang w:val="ro-RO" w:eastAsia="ro-RO"/>
        </w:rPr>
        <w:t xml:space="preserve">. </w:t>
      </w:r>
      <w:r>
        <w:rPr>
          <w:i/>
          <w:iCs/>
          <w:sz w:val="22"/>
          <w:szCs w:val="22"/>
          <w:lang w:val="ro-RO" w:eastAsia="ro-RO"/>
        </w:rPr>
        <w:t>In: Proceedings of the 14th Brainstorming Week on Membrane Computing,</w:t>
      </w:r>
      <w:r>
        <w:rPr>
          <w:iCs/>
          <w:sz w:val="22"/>
          <w:szCs w:val="22"/>
          <w:lang w:val="ro-RO" w:eastAsia="ro-RO"/>
        </w:rPr>
        <w:t xml:space="preserve"> Sevilla (Spain), February 1-5, 2016, 1-14.</w:t>
      </w:r>
    </w:p>
    <w:p>
      <w:pPr>
        <w:pStyle w:val="ListParagraph"/>
        <w:widowControl/>
        <w:numPr>
          <w:ilvl w:val="0"/>
          <w:numId w:val="36"/>
        </w:numPr>
        <w:tabs>
          <w:tab w:val="left" w:pos="343" w:leader="none"/>
        </w:tabs>
        <w:suppressAutoHyphens w:val="true"/>
        <w:bidi w:val="0"/>
        <w:spacing w:before="0" w:after="0"/>
        <w:ind w:left="343" w:right="0" w:hanging="0"/>
        <w:contextualSpacing/>
        <w:jc w:val="both"/>
        <w:textAlignment w:val="auto"/>
        <w:rPr/>
      </w:pPr>
      <w:r>
        <w:rPr>
          <w:iCs/>
          <w:sz w:val="22"/>
          <w:szCs w:val="22"/>
          <w:lang w:val="ro-RO" w:eastAsia="ro-RO"/>
        </w:rPr>
        <w:t xml:space="preserve">ALHAZOV, A; AMAN, B.; FREUND, R.; IVANOV, S. Simulating R Systems by P Systems. </w:t>
      </w:r>
      <w:r>
        <w:rPr>
          <w:i/>
          <w:iCs/>
          <w:sz w:val="22"/>
          <w:szCs w:val="22"/>
          <w:lang w:val="ro-RO" w:eastAsia="ro-RO"/>
        </w:rPr>
        <w:t xml:space="preserve">In: Proceedings of the 17 International Conference on Membrane Computing </w:t>
      </w:r>
      <w:r>
        <w:rPr>
          <w:iCs/>
          <w:sz w:val="22"/>
          <w:szCs w:val="22"/>
          <w:lang w:val="ro-RO" w:eastAsia="ro-RO"/>
        </w:rPr>
        <w:t xml:space="preserve">(CMC17), Milan, 25-29 July, 2016, 13-26. </w:t>
      </w:r>
    </w:p>
    <w:p>
      <w:pPr>
        <w:pStyle w:val="ListParagraph"/>
        <w:widowControl/>
        <w:numPr>
          <w:ilvl w:val="0"/>
          <w:numId w:val="36"/>
        </w:numPr>
        <w:tabs>
          <w:tab w:val="left" w:pos="343" w:leader="none"/>
        </w:tabs>
        <w:suppressAutoHyphens w:val="true"/>
        <w:bidi w:val="0"/>
        <w:spacing w:before="0" w:after="0"/>
        <w:ind w:left="343" w:right="0" w:hanging="0"/>
        <w:contextualSpacing/>
        <w:jc w:val="both"/>
        <w:textAlignment w:val="auto"/>
        <w:rPr/>
      </w:pPr>
      <w:r>
        <w:rPr>
          <w:iCs/>
          <w:sz w:val="22"/>
          <w:szCs w:val="22"/>
          <w:lang w:val="ro-RO" w:eastAsia="ro-RO"/>
        </w:rPr>
        <w:t xml:space="preserve">ALHAZOV, A; BELINGHERI, O.; FREUND, R.; IVANOV, S.; PORRECA, A. E.; ZANDRON, C. Purely Catalytic P Systems over Integers and Their Generative Power. </w:t>
      </w:r>
      <w:r>
        <w:rPr>
          <w:i/>
          <w:iCs/>
          <w:sz w:val="22"/>
          <w:szCs w:val="22"/>
          <w:lang w:val="ro-RO" w:eastAsia="ro-RO"/>
        </w:rPr>
        <w:t xml:space="preserve">In: Proceedings of the 17 International Conference on Membrane Computing </w:t>
      </w:r>
      <w:r>
        <w:rPr>
          <w:iCs/>
          <w:sz w:val="22"/>
          <w:szCs w:val="22"/>
          <w:lang w:val="ro-RO" w:eastAsia="ro-RO"/>
        </w:rPr>
        <w:t xml:space="preserve">(CMC17), Milan, 25-29 July, 2016, 27-38. </w:t>
      </w:r>
    </w:p>
    <w:p>
      <w:pPr>
        <w:pStyle w:val="ListParagraph"/>
        <w:widowControl/>
        <w:numPr>
          <w:ilvl w:val="0"/>
          <w:numId w:val="36"/>
        </w:numPr>
        <w:tabs>
          <w:tab w:val="left" w:pos="343" w:leader="none"/>
        </w:tabs>
        <w:suppressAutoHyphens w:val="true"/>
        <w:bidi w:val="0"/>
        <w:spacing w:before="0" w:after="0"/>
        <w:ind w:left="343" w:right="0" w:hanging="0"/>
        <w:contextualSpacing/>
        <w:jc w:val="both"/>
        <w:textAlignment w:val="auto"/>
        <w:rPr/>
      </w:pPr>
      <w:r>
        <w:rPr>
          <w:iCs/>
          <w:sz w:val="22"/>
          <w:szCs w:val="22"/>
          <w:lang w:val="ro-RO" w:eastAsia="ro-RO"/>
        </w:rPr>
        <w:t xml:space="preserve">ALHAZOV, A; BELINGHERI, O.; FREUND, R.; IVANOV, S.; PORRECA, A. E.; ZANDRON, C. Purely catalytic P systems over integers and their generative power. </w:t>
      </w:r>
      <w:r>
        <w:rPr>
          <w:i/>
          <w:iCs/>
          <w:sz w:val="22"/>
          <w:szCs w:val="22"/>
          <w:lang w:val="ro-RO" w:eastAsia="ro-RO"/>
        </w:rPr>
        <w:t>In: Proceedings of the 14th Brainstorming Week on Membrane Computing</w:t>
      </w:r>
      <w:r>
        <w:rPr>
          <w:iCs/>
          <w:sz w:val="22"/>
          <w:szCs w:val="22"/>
          <w:lang w:val="ro-RO" w:eastAsia="ro-RO"/>
        </w:rPr>
        <w:t>, Sevilla (Spain), February 1-5, 2016, 15-26.</w:t>
      </w:r>
    </w:p>
    <w:p>
      <w:pPr>
        <w:pStyle w:val="ListParagraph"/>
        <w:widowControl/>
        <w:numPr>
          <w:ilvl w:val="0"/>
          <w:numId w:val="36"/>
        </w:numPr>
        <w:tabs>
          <w:tab w:val="left" w:pos="343" w:leader="none"/>
        </w:tabs>
        <w:suppressAutoHyphens w:val="true"/>
        <w:bidi w:val="0"/>
        <w:spacing w:before="0" w:after="0"/>
        <w:ind w:left="343" w:right="0" w:hanging="0"/>
        <w:contextualSpacing/>
        <w:jc w:val="both"/>
        <w:textAlignment w:val="auto"/>
        <w:rPr/>
      </w:pPr>
      <w:r>
        <w:rPr>
          <w:iCs/>
          <w:sz w:val="22"/>
          <w:szCs w:val="22"/>
          <w:lang w:val="ro-RO" w:eastAsia="ro-RO"/>
        </w:rPr>
        <w:t xml:space="preserve">ALHAZOV, A; BELINGHERI, O.; FREUND, R.; IVANOV, S.; PORRECA, A. E.; ZANDRON, C. Semilinear Sets, Register Machines, and Integer Vector Addition (P) Systems. </w:t>
      </w:r>
      <w:r>
        <w:rPr>
          <w:i/>
          <w:iCs/>
          <w:sz w:val="22"/>
          <w:szCs w:val="22"/>
          <w:lang w:val="ro-RO" w:eastAsia="ro-RO"/>
        </w:rPr>
        <w:t xml:space="preserve">In: Proceedings of the 17 International Conference on Membrane Computing </w:t>
      </w:r>
      <w:r>
        <w:rPr>
          <w:iCs/>
          <w:sz w:val="22"/>
          <w:szCs w:val="22"/>
          <w:lang w:val="ro-RO" w:eastAsia="ro-RO"/>
        </w:rPr>
        <w:t>(CMC17), Milan, 25-29 July, 2016, 39-55.</w:t>
      </w:r>
    </w:p>
    <w:p>
      <w:pPr>
        <w:pStyle w:val="ListParagraph"/>
        <w:widowControl/>
        <w:numPr>
          <w:ilvl w:val="0"/>
          <w:numId w:val="36"/>
        </w:numPr>
        <w:tabs>
          <w:tab w:val="left" w:pos="343" w:leader="none"/>
        </w:tabs>
        <w:suppressAutoHyphens w:val="true"/>
        <w:bidi w:val="0"/>
        <w:spacing w:before="0" w:after="0"/>
        <w:ind w:left="343" w:right="0" w:hanging="0"/>
        <w:contextualSpacing/>
        <w:jc w:val="both"/>
        <w:textAlignment w:val="auto"/>
        <w:rPr/>
      </w:pPr>
      <w:r>
        <w:rPr>
          <w:iCs/>
          <w:sz w:val="22"/>
          <w:szCs w:val="22"/>
          <w:lang w:val="ro-RO" w:eastAsia="ro-RO"/>
        </w:rPr>
        <w:t xml:space="preserve">ALHAZOV, A; BELINGHERI, O.; FREUND, R.; IVANOV, S.; PORRECA, A. E.; ZANDRON, C. Semilinear Sets, Register Machines, and Integer Vector Addition (P) Systems. </w:t>
      </w:r>
      <w:r>
        <w:rPr>
          <w:i/>
          <w:iCs/>
          <w:sz w:val="22"/>
          <w:szCs w:val="22"/>
          <w:lang w:val="ro-RO" w:eastAsia="ro-RO"/>
        </w:rPr>
        <w:t>In: Proceedings of the 14th Brainstorming Week on Membrane Computing,</w:t>
      </w:r>
      <w:r>
        <w:rPr>
          <w:iCs/>
          <w:sz w:val="22"/>
          <w:szCs w:val="22"/>
          <w:lang w:val="ro-RO" w:eastAsia="ro-RO"/>
        </w:rPr>
        <w:t xml:space="preserve"> Sevilla (Spain), February 1-5, 2016, 27-42.</w:t>
      </w:r>
    </w:p>
    <w:p>
      <w:pPr>
        <w:pStyle w:val="ListParagraph"/>
        <w:widowControl/>
        <w:numPr>
          <w:ilvl w:val="0"/>
          <w:numId w:val="36"/>
        </w:numPr>
        <w:tabs>
          <w:tab w:val="left" w:pos="343" w:leader="none"/>
        </w:tabs>
        <w:suppressAutoHyphens w:val="true"/>
        <w:bidi w:val="0"/>
        <w:spacing w:before="0" w:after="0"/>
        <w:ind w:left="343" w:right="0" w:hanging="0"/>
        <w:contextualSpacing/>
        <w:jc w:val="both"/>
        <w:textAlignment w:val="auto"/>
        <w:rPr/>
      </w:pPr>
      <w:r>
        <w:rPr>
          <w:iCs/>
          <w:sz w:val="22"/>
          <w:szCs w:val="22"/>
          <w:lang w:val="ro-RO" w:eastAsia="ro-RO"/>
        </w:rPr>
        <w:t>ALHAZOV, A; FREUND, R.; IVANOV, S.</w:t>
      </w:r>
      <w:r>
        <w:rPr>
          <w:sz w:val="22"/>
          <w:szCs w:val="22"/>
          <w:lang w:val="en-US"/>
        </w:rPr>
        <w:t xml:space="preserve"> Extended SNP systems with states. </w:t>
      </w:r>
      <w:r>
        <w:rPr>
          <w:i/>
          <w:iCs/>
          <w:sz w:val="22"/>
          <w:szCs w:val="22"/>
          <w:lang w:val="ro-RO" w:eastAsia="ro-RO"/>
        </w:rPr>
        <w:t>In: Proceedings of the 14th Brainstorming Week on Membrane Computing,</w:t>
      </w:r>
      <w:r>
        <w:rPr>
          <w:iCs/>
          <w:sz w:val="22"/>
          <w:szCs w:val="22"/>
          <w:lang w:val="ro-RO" w:eastAsia="ro-RO"/>
        </w:rPr>
        <w:t xml:space="preserve"> Sevilla (Spain), February 1-5, 2016, 43-58.</w:t>
      </w:r>
    </w:p>
    <w:p>
      <w:pPr>
        <w:pStyle w:val="ListParagraph"/>
        <w:widowControl/>
        <w:numPr>
          <w:ilvl w:val="0"/>
          <w:numId w:val="36"/>
        </w:numPr>
        <w:tabs>
          <w:tab w:val="left" w:pos="343" w:leader="none"/>
        </w:tabs>
        <w:suppressAutoHyphens w:val="true"/>
        <w:bidi w:val="0"/>
        <w:spacing w:before="0" w:after="0"/>
        <w:ind w:left="343" w:right="0" w:hanging="0"/>
        <w:contextualSpacing/>
        <w:jc w:val="both"/>
        <w:textAlignment w:val="auto"/>
        <w:rPr/>
      </w:pPr>
      <w:r>
        <w:rPr>
          <w:iCs/>
          <w:sz w:val="22"/>
          <w:szCs w:val="22"/>
          <w:lang w:val="ro-RO" w:eastAsia="ro-RO"/>
        </w:rPr>
        <w:t xml:space="preserve">ALHAZOV, A; FREUND, R.; IVANOV, S. Extended Spiking Neural P Systems with States. </w:t>
      </w:r>
      <w:r>
        <w:rPr>
          <w:i/>
          <w:iCs/>
          <w:sz w:val="22"/>
          <w:szCs w:val="22"/>
          <w:lang w:val="ro-RO" w:eastAsia="ro-RO"/>
        </w:rPr>
        <w:t xml:space="preserve">In: The University of Bradford Institutional Repository, </w:t>
      </w:r>
      <w:hyperlink r:id="rId82">
        <w:r>
          <w:rPr>
            <w:webHidden/>
            <w:rStyle w:val="Style5"/>
            <w:i/>
            <w:iCs/>
            <w:sz w:val="22"/>
            <w:szCs w:val="22"/>
            <w:lang w:val="ro-RO" w:eastAsia="ro-RO"/>
          </w:rPr>
          <w:t>http://bradscholars.brad.ac.uk</w:t>
        </w:r>
      </w:hyperlink>
      <w:r>
        <w:rPr>
          <w:iCs/>
          <w:sz w:val="22"/>
          <w:szCs w:val="22"/>
          <w:lang w:val="ro-RO" w:eastAsia="ro-RO"/>
        </w:rPr>
        <w:t>, 42-54.</w:t>
      </w:r>
    </w:p>
    <w:p>
      <w:pPr>
        <w:pStyle w:val="ListParagraph"/>
        <w:widowControl/>
        <w:numPr>
          <w:ilvl w:val="0"/>
          <w:numId w:val="36"/>
        </w:numPr>
        <w:tabs>
          <w:tab w:val="left" w:pos="343" w:leader="none"/>
        </w:tabs>
        <w:suppressAutoHyphens w:val="true"/>
        <w:bidi w:val="0"/>
        <w:spacing w:before="0" w:after="0"/>
        <w:ind w:left="343" w:right="0" w:hanging="0"/>
        <w:contextualSpacing/>
        <w:jc w:val="both"/>
        <w:textAlignment w:val="auto"/>
        <w:rPr/>
      </w:pPr>
      <w:r>
        <w:rPr>
          <w:iCs/>
          <w:sz w:val="22"/>
          <w:szCs w:val="22"/>
          <w:lang w:val="ro-RO" w:eastAsia="ro-RO"/>
        </w:rPr>
        <w:t xml:space="preserve">ALHAZOV, A; FREUND, R.; VERLAN, S. Computational completeness of P systems using maximal variants of the Set derivation mode. </w:t>
      </w:r>
      <w:r>
        <w:rPr>
          <w:i/>
          <w:iCs/>
          <w:sz w:val="22"/>
          <w:szCs w:val="22"/>
          <w:lang w:val="ro-RO" w:eastAsia="ro-RO"/>
        </w:rPr>
        <w:t xml:space="preserve">In: Proceedings of the 14th Brainstorming Week on Membrane Computing, </w:t>
      </w:r>
      <w:r>
        <w:rPr>
          <w:iCs/>
          <w:sz w:val="22"/>
          <w:szCs w:val="22"/>
          <w:lang w:val="ro-RO" w:eastAsia="ro-RO"/>
        </w:rPr>
        <w:t>Sevilla (Spain), February 1-5, 2016, 59-84.</w:t>
      </w:r>
    </w:p>
    <w:p>
      <w:pPr>
        <w:pStyle w:val="ListParagraph"/>
        <w:widowControl/>
        <w:numPr>
          <w:ilvl w:val="0"/>
          <w:numId w:val="36"/>
        </w:numPr>
        <w:tabs>
          <w:tab w:val="left" w:pos="343" w:leader="none"/>
        </w:tabs>
        <w:suppressAutoHyphens w:val="true"/>
        <w:bidi w:val="0"/>
        <w:spacing w:before="0" w:after="0"/>
        <w:ind w:left="343" w:right="0" w:hanging="0"/>
        <w:contextualSpacing/>
        <w:jc w:val="both"/>
        <w:textAlignment w:val="auto"/>
        <w:rPr/>
      </w:pPr>
      <w:r>
        <w:rPr>
          <w:iCs/>
          <w:sz w:val="22"/>
          <w:szCs w:val="22"/>
          <w:lang w:val="ro-RO" w:eastAsia="ro-RO"/>
        </w:rPr>
        <w:t xml:space="preserve">ALHAZOV, A; FREUND, R.; VERLAN, S. Maximal Variants of the Set Derivation Mode. </w:t>
      </w:r>
      <w:r>
        <w:rPr>
          <w:i/>
          <w:iCs/>
          <w:sz w:val="22"/>
          <w:szCs w:val="22"/>
          <w:lang w:val="ro-RO" w:eastAsia="ro-RO"/>
        </w:rPr>
        <w:t>In: Proceedings of the 17 International Conference on Membrane Computing</w:t>
      </w:r>
      <w:r>
        <w:rPr>
          <w:iCs/>
          <w:sz w:val="22"/>
          <w:szCs w:val="22"/>
          <w:lang w:val="ro-RO" w:eastAsia="ro-RO"/>
        </w:rPr>
        <w:t xml:space="preserve"> (CMC17), Milan, 25-29 July, 2016, 57- 72.</w:t>
      </w:r>
    </w:p>
    <w:p>
      <w:pPr>
        <w:pStyle w:val="ListParagraph"/>
        <w:widowControl/>
        <w:numPr>
          <w:ilvl w:val="0"/>
          <w:numId w:val="36"/>
        </w:numPr>
        <w:tabs>
          <w:tab w:val="left" w:pos="343" w:leader="none"/>
        </w:tabs>
        <w:suppressAutoHyphens w:val="true"/>
        <w:bidi w:val="0"/>
        <w:spacing w:before="0" w:after="0"/>
        <w:ind w:left="343" w:right="0" w:hanging="0"/>
        <w:contextualSpacing/>
        <w:jc w:val="both"/>
        <w:textAlignment w:val="auto"/>
        <w:rPr/>
      </w:pPr>
      <w:r>
        <w:rPr>
          <w:iCs/>
          <w:sz w:val="22"/>
          <w:szCs w:val="22"/>
          <w:lang w:val="ro-RO" w:eastAsia="ro-RO"/>
        </w:rPr>
        <w:t xml:space="preserve">BOBICEV ,V.; BUMBU, T.; LAZU, V.; MAXIM, V.; ISTRATI, D. Folk poetry for computers: moldovan codri’s ballads parsing. </w:t>
      </w:r>
      <w:r>
        <w:rPr>
          <w:i/>
          <w:iCs/>
          <w:sz w:val="22"/>
          <w:szCs w:val="22"/>
          <w:lang w:val="ro-RO" w:eastAsia="ro-RO"/>
        </w:rPr>
        <w:t>In: Proceedings of the 12th International Conference Linguistic Resources and Tools for Processing The Romanian Language</w:t>
      </w:r>
      <w:r>
        <w:rPr>
          <w:iCs/>
          <w:sz w:val="22"/>
          <w:szCs w:val="22"/>
          <w:lang w:val="ro-RO" w:eastAsia="ro-RO"/>
        </w:rPr>
        <w:t xml:space="preserve">, </w:t>
      </w:r>
      <w:hyperlink r:id="rId83">
        <w:r>
          <w:rPr>
            <w:webHidden/>
            <w:rStyle w:val="Style5"/>
            <w:iCs/>
            <w:sz w:val="22"/>
            <w:szCs w:val="22"/>
            <w:lang w:val="ro-RO" w:eastAsia="ro-RO"/>
          </w:rPr>
          <w:t>ConsILR-2016 Program</w:t>
        </w:r>
      </w:hyperlink>
      <w:r>
        <w:rPr>
          <w:rFonts w:cs="Times New Roman CE" w:ascii="Times New Roman CE" w:hAnsi="Times New Roman CE"/>
          <w:iCs/>
          <w:sz w:val="22"/>
          <w:szCs w:val="22"/>
          <w:lang w:val="ro-RO" w:eastAsia="ro-RO"/>
        </w:rPr>
        <w:t>, 27-29 Oct. 2016, Mălini, România, p.39-50.</w:t>
      </w:r>
    </w:p>
    <w:p>
      <w:pPr>
        <w:pStyle w:val="Normal"/>
        <w:widowControl w:val="false"/>
        <w:numPr>
          <w:ilvl w:val="0"/>
          <w:numId w:val="36"/>
        </w:numPr>
        <w:tabs>
          <w:tab w:val="left" w:pos="343" w:leader="none"/>
        </w:tabs>
        <w:bidi w:val="0"/>
        <w:ind w:left="343" w:right="0" w:hanging="0"/>
        <w:jc w:val="both"/>
        <w:textAlignment w:val="auto"/>
        <w:rPr>
          <w:lang w:val="it-IT"/>
        </w:rPr>
      </w:pPr>
      <w:r>
        <w:rPr>
          <w:sz w:val="22"/>
          <w:szCs w:val="22"/>
          <w:lang w:val="it-IT"/>
        </w:rPr>
        <w:t xml:space="preserve">BOGATENCOV, P.; SECRIERU, G.; DEGTEARIOV, N.; ILIUHA N. Scientific Computing Infrastructure and Services in Moldova. In: </w:t>
      </w:r>
      <w:r>
        <w:rPr>
          <w:i/>
          <w:sz w:val="22"/>
          <w:szCs w:val="22"/>
          <w:lang w:val="it-IT"/>
        </w:rPr>
        <w:t>Proceedings of the XXV Symposium on Nuclear Electronics and Computing - NEC'2015</w:t>
      </w:r>
      <w:r>
        <w:rPr>
          <w:sz w:val="22"/>
          <w:szCs w:val="22"/>
          <w:lang w:val="it-IT"/>
        </w:rPr>
        <w:t>, 2015, Budva, Montenegro, 2016, published by Pleiades Publishing, Delaware, USA, 2016.</w:t>
      </w:r>
    </w:p>
    <w:p>
      <w:pPr>
        <w:pStyle w:val="Normal"/>
        <w:widowControl w:val="false"/>
        <w:numPr>
          <w:ilvl w:val="0"/>
          <w:numId w:val="36"/>
        </w:numPr>
        <w:tabs>
          <w:tab w:val="left" w:pos="343" w:leader="none"/>
        </w:tabs>
        <w:suppressAutoHyphens w:val="true"/>
        <w:bidi w:val="0"/>
        <w:ind w:left="343" w:right="0" w:hanging="0"/>
        <w:jc w:val="both"/>
        <w:textAlignment w:val="auto"/>
        <w:rPr/>
      </w:pPr>
      <w:r>
        <w:rPr>
          <w:rFonts w:cs="Times New Roman CE" w:ascii="Times New Roman CE" w:hAnsi="Times New Roman CE"/>
          <w:sz w:val="22"/>
          <w:szCs w:val="22"/>
          <w:lang w:val="ro-RO"/>
        </w:rPr>
        <w:t>CUZNEŢOV E., CEALBASH O.</w:t>
      </w:r>
      <w:r>
        <w:rPr>
          <w:b/>
          <w:sz w:val="22"/>
          <w:szCs w:val="22"/>
          <w:lang w:val="ro-RO"/>
        </w:rPr>
        <w:tab/>
      </w:r>
      <w:hyperlink r:id="rId84">
        <w:r>
          <w:rPr>
            <w:webHidden/>
            <w:rStyle w:val="Style5"/>
            <w:sz w:val="22"/>
            <w:szCs w:val="22"/>
            <w:lang w:val="ro-RO"/>
          </w:rPr>
          <w:t>Solar photovoltaic and thermocollectory stations on mobile platforms (tracking system), placed on a limited area</w:t>
        </w:r>
      </w:hyperlink>
      <w:r>
        <w:rPr>
          <w:i/>
          <w:sz w:val="22"/>
          <w:szCs w:val="22"/>
          <w:lang w:val="ro-RO"/>
        </w:rPr>
        <w:t>.</w:t>
      </w:r>
      <w:r>
        <w:rPr>
          <w:sz w:val="22"/>
          <w:szCs w:val="22"/>
          <w:lang w:val="ro-RO"/>
        </w:rPr>
        <w:t xml:space="preserve"> </w:t>
      </w:r>
      <w:r>
        <w:rPr>
          <w:i/>
          <w:sz w:val="22"/>
          <w:szCs w:val="22"/>
          <w:lang w:val="ro-RO"/>
        </w:rPr>
        <w:t>In: Proceedings of the International conference “Energy of Moldova – 2016”</w:t>
      </w:r>
      <w:r>
        <w:rPr>
          <w:sz w:val="22"/>
          <w:szCs w:val="22"/>
          <w:lang w:val="ro-RO"/>
        </w:rPr>
        <w:t>, 3d edition, September 29 – October 1, Chisinau, 2016, 572-576</w:t>
      </w:r>
      <w:r>
        <w:rPr>
          <w:b/>
          <w:sz w:val="22"/>
          <w:szCs w:val="22"/>
          <w:lang w:val="ro-RO"/>
        </w:rPr>
        <w:tab/>
        <w:t>.</w:t>
      </w:r>
    </w:p>
    <w:p>
      <w:pPr>
        <w:pStyle w:val="Normal"/>
        <w:widowControl w:val="false"/>
        <w:numPr>
          <w:ilvl w:val="0"/>
          <w:numId w:val="36"/>
        </w:numPr>
        <w:tabs>
          <w:tab w:val="left" w:pos="343" w:leader="none"/>
        </w:tabs>
        <w:suppressAutoHyphens w:val="true"/>
        <w:bidi w:val="0"/>
        <w:ind w:left="343" w:right="0" w:hanging="0"/>
        <w:jc w:val="both"/>
        <w:textAlignment w:val="auto"/>
        <w:rPr>
          <w:lang w:val="ro-RO"/>
        </w:rPr>
      </w:pPr>
      <w:r>
        <w:rPr>
          <w:color w:val="333333"/>
          <w:sz w:val="22"/>
          <w:szCs w:val="22"/>
          <w:shd w:fill="FFFFFF" w:val="clear"/>
          <w:lang w:val="ro-RO"/>
        </w:rPr>
        <w:t xml:space="preserve">DRUGUS, I. An Extensional Model of Natural Languages. </w:t>
      </w:r>
      <w:r>
        <w:rPr>
          <w:i/>
          <w:color w:val="333333"/>
          <w:sz w:val="22"/>
          <w:szCs w:val="22"/>
          <w:shd w:fill="FFFFFF" w:val="clear"/>
          <w:lang w:val="ro-RO"/>
        </w:rPr>
        <w:t xml:space="preserve"> In: Proceeding. of the Conference on Mathematical Foundations of Informatics</w:t>
      </w:r>
      <w:r>
        <w:rPr>
          <w:color w:val="333333"/>
          <w:sz w:val="22"/>
          <w:szCs w:val="22"/>
          <w:shd w:fill="FFFFFF" w:val="clear"/>
          <w:lang w:val="ro-RO"/>
        </w:rPr>
        <w:t>, July 25-29, 2016, Chisinau, Republic of Moldova,</w:t>
      </w:r>
      <w:r>
        <w:rPr/>
        <w:br/>
      </w:r>
      <w:r>
        <w:rPr>
          <w:color w:val="333333"/>
          <w:sz w:val="22"/>
          <w:szCs w:val="22"/>
          <w:shd w:fill="FFFFFF" w:val="clear"/>
          <w:lang w:val="ro-RO"/>
        </w:rPr>
        <w:t>191 - 205.</w:t>
      </w:r>
    </w:p>
    <w:p>
      <w:pPr>
        <w:pStyle w:val="Normal"/>
        <w:widowControl/>
        <w:numPr>
          <w:ilvl w:val="0"/>
          <w:numId w:val="36"/>
        </w:numPr>
        <w:tabs>
          <w:tab w:val="left" w:pos="343" w:leader="none"/>
        </w:tabs>
        <w:suppressAutoHyphens w:val="true"/>
        <w:bidi w:val="0"/>
        <w:spacing w:before="0" w:after="60"/>
        <w:ind w:left="343" w:right="0" w:hanging="0"/>
        <w:jc w:val="both"/>
        <w:textAlignment w:val="auto"/>
        <w:rPr>
          <w:lang w:val="en-US"/>
        </w:rPr>
      </w:pPr>
      <w:r>
        <w:rPr>
          <w:color w:val="131413"/>
          <w:sz w:val="22"/>
          <w:szCs w:val="22"/>
          <w:lang w:val="en-US"/>
        </w:rPr>
        <w:t xml:space="preserve">GOLUBEV, A.; BOGATENCOV, P.;  SECRIERU, G. Updating DICOM network architecture for its integration at international level. In: </w:t>
      </w:r>
      <w:r>
        <w:rPr>
          <w:i/>
          <w:color w:val="131413"/>
          <w:sz w:val="22"/>
          <w:szCs w:val="22"/>
          <w:lang w:val="en-US"/>
        </w:rPr>
        <w:t>Proceedings of the 15th RoEduNet IEEE International Conference - Networking in Education and Research</w:t>
      </w:r>
      <w:r>
        <w:rPr>
          <w:color w:val="131413"/>
          <w:sz w:val="22"/>
          <w:szCs w:val="22"/>
          <w:lang w:val="en-US"/>
        </w:rPr>
        <w:t xml:space="preserve"> , 7-9 September 2016, Bucharest, Romania,  161-167, ISSN 2068-1038.</w:t>
      </w:r>
    </w:p>
    <w:p>
      <w:pPr>
        <w:pStyle w:val="Normal"/>
        <w:widowControl/>
        <w:numPr>
          <w:ilvl w:val="0"/>
          <w:numId w:val="36"/>
        </w:numPr>
        <w:tabs>
          <w:tab w:val="left" w:pos="343" w:leader="none"/>
        </w:tabs>
        <w:bidi w:val="0"/>
        <w:ind w:left="343" w:right="0" w:hanging="0"/>
        <w:jc w:val="both"/>
        <w:textAlignment w:val="auto"/>
        <w:rPr>
          <w:lang w:val="en-US"/>
        </w:rPr>
      </w:pPr>
      <w:r>
        <w:rPr>
          <w:sz w:val="22"/>
          <w:szCs w:val="22"/>
          <w:lang w:val="en-US"/>
        </w:rPr>
        <w:t xml:space="preserve">KOUREAS, D.; HARDISTY, A.;  ALDO VOS, R.; AGOSTI, D.;  ARVANITIDIS, C.;  BOGATENCOV, P.; et al. Unifying European Biodiversity Informatics (BioUnify). </w:t>
      </w:r>
      <w:r>
        <w:rPr>
          <w:sz w:val="22"/>
          <w:szCs w:val="22"/>
        </w:rPr>
        <w:t xml:space="preserve">In: </w:t>
      </w:r>
      <w:r>
        <w:rPr>
          <w:i/>
          <w:sz w:val="22"/>
          <w:szCs w:val="22"/>
        </w:rPr>
        <w:t>Research Ideas and Outcomes 2: e7787 (19 Jan 2016); DOI: 10.3897/rio.2.e7787</w:t>
      </w:r>
    </w:p>
    <w:p>
      <w:pPr>
        <w:pStyle w:val="Normal"/>
        <w:widowControl w:val="false"/>
        <w:numPr>
          <w:ilvl w:val="0"/>
          <w:numId w:val="36"/>
        </w:numPr>
        <w:tabs>
          <w:tab w:val="left" w:pos="343" w:leader="none"/>
        </w:tabs>
        <w:bidi w:val="0"/>
        <w:ind w:left="343" w:right="0" w:hanging="0"/>
        <w:jc w:val="both"/>
        <w:textAlignment w:val="auto"/>
        <w:rPr>
          <w:lang w:val="it-IT"/>
        </w:rPr>
      </w:pPr>
      <w:r>
        <w:rPr>
          <w:sz w:val="22"/>
          <w:szCs w:val="22"/>
          <w:lang w:val="it-IT"/>
        </w:rPr>
        <w:t xml:space="preserve">LOZOVANU, D.; PICKL, S. Determining the optimal strstegies for  zero-sum average dtochastic positional games. </w:t>
      </w:r>
      <w:r>
        <w:rPr>
          <w:sz w:val="22"/>
          <w:szCs w:val="22"/>
          <w:lang w:val="en-US"/>
        </w:rPr>
        <w:t xml:space="preserve">În: </w:t>
      </w:r>
      <w:r>
        <w:rPr>
          <w:i/>
          <w:sz w:val="22"/>
          <w:szCs w:val="22"/>
          <w:lang w:val="it-IT"/>
        </w:rPr>
        <w:t xml:space="preserve">Abstracts of 14th CTW2016 conference theory and </w:t>
      </w:r>
      <w:r>
        <w:rPr>
          <w:i/>
          <w:sz w:val="22"/>
          <w:szCs w:val="22"/>
          <w:lang w:val="en-US"/>
        </w:rPr>
        <w:t>applications of discrete optimization algorithms</w:t>
      </w:r>
      <w:r>
        <w:rPr>
          <w:sz w:val="22"/>
          <w:szCs w:val="22"/>
          <w:lang w:val="en-US"/>
        </w:rPr>
        <w:t>, Milano, 2016, 226-230.</w:t>
      </w:r>
    </w:p>
    <w:p>
      <w:pPr>
        <w:pStyle w:val="ListParagraph"/>
        <w:widowControl/>
        <w:numPr>
          <w:ilvl w:val="0"/>
          <w:numId w:val="36"/>
        </w:numPr>
        <w:tabs>
          <w:tab w:val="left" w:pos="343" w:leader="none"/>
        </w:tabs>
        <w:suppressAutoHyphens w:val="true"/>
        <w:bidi w:val="0"/>
        <w:spacing w:lineRule="auto" w:line="276" w:before="0" w:after="0"/>
        <w:ind w:left="343" w:right="0" w:hanging="0"/>
        <w:contextualSpacing/>
        <w:jc w:val="both"/>
        <w:textAlignment w:val="auto"/>
        <w:rPr/>
      </w:pPr>
      <w:r>
        <w:rPr>
          <w:iCs/>
          <w:sz w:val="22"/>
          <w:szCs w:val="22"/>
          <w:lang w:val="ro-RO" w:eastAsia="ro-RO"/>
        </w:rPr>
        <w:t xml:space="preserve">MALAHOV, L.; CIUBOTARU, C.; COJOCARU, S.; COLESNICOV, A.; DEMIDOV, V. Regeneration of cultural Heritage: Problems Related to Moldavian Cyrillic Alphabet. </w:t>
      </w:r>
      <w:r>
        <w:rPr>
          <w:i/>
          <w:iCs/>
          <w:sz w:val="22"/>
          <w:szCs w:val="22"/>
          <w:lang w:val="ro-RO" w:eastAsia="ro-RO"/>
        </w:rPr>
        <w:t>In: Proceedings of the 11th International Conference ``Linguistic Resources and Tools for Processing the Romanian Language''</w:t>
      </w:r>
      <w:r>
        <w:rPr>
          <w:iCs/>
          <w:sz w:val="22"/>
          <w:szCs w:val="22"/>
          <w:lang w:val="ro-RO" w:eastAsia="ro-RO"/>
        </w:rPr>
        <w:t xml:space="preserve">. 2015, </w:t>
      </w:r>
      <w:hyperlink r:id="rId85">
        <w:r>
          <w:rPr>
            <w:webHidden/>
            <w:rStyle w:val="Style5"/>
            <w:iCs/>
            <w:sz w:val="22"/>
            <w:szCs w:val="22"/>
            <w:lang w:val="ro-RO" w:eastAsia="ro-RO"/>
          </w:rPr>
          <w:t>http://consilr.info.uaic.ro/2015/Consilr_2015.pdf</w:t>
        </w:r>
      </w:hyperlink>
      <w:r>
        <w:rPr>
          <w:iCs/>
          <w:sz w:val="22"/>
          <w:szCs w:val="22"/>
          <w:lang w:val="ro-RO" w:eastAsia="ro-RO"/>
        </w:rPr>
        <w:t>, 177-184.</w:t>
      </w:r>
    </w:p>
    <w:p>
      <w:pPr>
        <w:pStyle w:val="ListParagraph"/>
        <w:widowControl/>
        <w:numPr>
          <w:ilvl w:val="0"/>
          <w:numId w:val="36"/>
        </w:numPr>
        <w:tabs>
          <w:tab w:val="left" w:pos="343" w:leader="none"/>
        </w:tabs>
        <w:suppressAutoHyphens w:val="true"/>
        <w:bidi w:val="0"/>
        <w:spacing w:lineRule="auto" w:line="276" w:before="0" w:after="0"/>
        <w:ind w:left="343" w:right="0" w:hanging="0"/>
        <w:contextualSpacing/>
        <w:jc w:val="both"/>
        <w:textAlignment w:val="auto"/>
        <w:rPr/>
      </w:pPr>
      <w:r>
        <w:rPr>
          <w:iCs/>
          <w:sz w:val="22"/>
          <w:szCs w:val="22"/>
          <w:lang w:val="ro-RO" w:eastAsia="ro-RO"/>
        </w:rPr>
        <w:t xml:space="preserve">MALAHOV, L.; COLESNICOV, A.; BUMBU, T. Digitization of the Romanian Printed Texts of the 17th Century. </w:t>
      </w:r>
      <w:r>
        <w:rPr>
          <w:i/>
          <w:iCs/>
          <w:sz w:val="22"/>
          <w:szCs w:val="22"/>
          <w:lang w:val="ro-RO" w:eastAsia="ro-RO"/>
        </w:rPr>
        <w:t>In: Proceedings of the 12th International Conference Linguistic Resources and Tools for Processing The Romanian Language</w:t>
      </w:r>
      <w:r>
        <w:rPr>
          <w:iCs/>
          <w:sz w:val="22"/>
          <w:szCs w:val="22"/>
          <w:lang w:val="ro-RO" w:eastAsia="ro-RO"/>
        </w:rPr>
        <w:t xml:space="preserve">, </w:t>
      </w:r>
      <w:hyperlink r:id="rId86">
        <w:r>
          <w:rPr>
            <w:webHidden/>
            <w:rStyle w:val="Style5"/>
            <w:iCs/>
            <w:sz w:val="22"/>
            <w:szCs w:val="22"/>
            <w:lang w:val="ro-RO" w:eastAsia="ro-RO"/>
          </w:rPr>
          <w:t>ConsILR-2016 Program</w:t>
        </w:r>
      </w:hyperlink>
      <w:r>
        <w:rPr>
          <w:rFonts w:cs="Times New Roman CE" w:ascii="Times New Roman CE" w:hAnsi="Times New Roman CE"/>
          <w:iCs/>
          <w:sz w:val="22"/>
          <w:szCs w:val="22"/>
          <w:lang w:val="ro-RO" w:eastAsia="ro-RO"/>
        </w:rPr>
        <w:t>, 27-29 Oct. 2016, Mălini, România, 3-10.</w:t>
      </w:r>
    </w:p>
    <w:p>
      <w:pPr>
        <w:pStyle w:val="ListParagraph"/>
        <w:widowControl/>
        <w:numPr>
          <w:ilvl w:val="0"/>
          <w:numId w:val="36"/>
        </w:numPr>
        <w:tabs>
          <w:tab w:val="left" w:pos="343" w:leader="none"/>
          <w:tab w:val="left" w:pos="851" w:leader="none"/>
        </w:tabs>
        <w:suppressAutoHyphens w:val="true"/>
        <w:bidi w:val="0"/>
        <w:spacing w:lineRule="auto" w:line="276" w:before="0" w:after="0"/>
        <w:ind w:left="343" w:right="0" w:hanging="0"/>
        <w:contextualSpacing/>
        <w:jc w:val="left"/>
        <w:textAlignment w:val="auto"/>
        <w:rPr>
          <w:lang w:val="ro-RO"/>
        </w:rPr>
      </w:pPr>
      <w:r>
        <w:rPr>
          <w:rFonts w:cs="Times New Roman CE" w:ascii="Times New Roman CE" w:hAnsi="Times New Roman CE"/>
          <w:iCs/>
          <w:sz w:val="22"/>
          <w:szCs w:val="22"/>
          <w:lang w:val="ro-RO" w:eastAsia="ro-RO"/>
        </w:rPr>
        <w:t>PETIC, M.; COJOCARU, S.; GÂSCĂ, V. Exploring list of markers in unstructured text automatic processing. In: Proceedings of the 11TH International Conference “Linguistic resources and tools for processing the Romani</w:t>
      </w:r>
      <w:r>
        <w:rPr>
          <w:iCs/>
          <w:sz w:val="22"/>
          <w:szCs w:val="22"/>
          <w:lang w:val="ro-RO" w:eastAsia="ro-RO"/>
        </w:rPr>
        <w:t>an language”, 26-27 November 2015. Iasi, Romania,  125-136.</w:t>
      </w:r>
    </w:p>
    <w:p>
      <w:pPr>
        <w:pStyle w:val="Normal"/>
        <w:widowControl w:val="false"/>
        <w:numPr>
          <w:ilvl w:val="0"/>
          <w:numId w:val="36"/>
        </w:numPr>
        <w:tabs>
          <w:tab w:val="left" w:pos="343" w:leader="none"/>
        </w:tabs>
        <w:suppressAutoHyphens w:val="true"/>
        <w:bidi w:val="0"/>
        <w:ind w:left="343" w:right="0" w:hanging="0"/>
        <w:jc w:val="both"/>
        <w:textAlignment w:val="auto"/>
        <w:rPr>
          <w:lang w:val="ro-RO"/>
        </w:rPr>
      </w:pPr>
      <w:r>
        <w:rPr>
          <w:sz w:val="22"/>
          <w:szCs w:val="22"/>
          <w:lang w:val="ro-RO"/>
        </w:rPr>
        <w:t xml:space="preserve">SCERBACOVA, A.V.; SHCHERBACOV, V.A.. About spectrum of T_2-quasigroups, </w:t>
      </w:r>
      <w:r>
        <w:rPr>
          <w:i/>
          <w:color w:val="333333"/>
          <w:sz w:val="22"/>
          <w:szCs w:val="22"/>
          <w:shd w:fill="FFFFFF" w:val="clear"/>
          <w:lang w:val="ro-RO"/>
        </w:rPr>
        <w:t>In: Proceeding. of the Conference on Mathematical Foundations of Informatics</w:t>
      </w:r>
      <w:r>
        <w:rPr>
          <w:color w:val="333333"/>
          <w:sz w:val="22"/>
          <w:szCs w:val="22"/>
          <w:shd w:fill="FFFFFF" w:val="clear"/>
          <w:lang w:val="ro-RO"/>
        </w:rPr>
        <w:t xml:space="preserve">, </w:t>
      </w:r>
      <w:r>
        <w:rPr>
          <w:sz w:val="22"/>
          <w:szCs w:val="22"/>
          <w:lang w:val="ro-RO"/>
        </w:rPr>
        <w:t>IM &amp;CS, July 25-30, 2016, Chisinau, Moldova,2016, 307-320.</w:t>
      </w:r>
    </w:p>
    <w:p>
      <w:pPr>
        <w:pStyle w:val="Normal"/>
        <w:widowControl/>
        <w:numPr>
          <w:ilvl w:val="0"/>
          <w:numId w:val="36"/>
        </w:numPr>
        <w:tabs>
          <w:tab w:val="left" w:pos="343" w:leader="none"/>
        </w:tabs>
        <w:suppressAutoHyphens w:val="true"/>
        <w:bidi w:val="0"/>
        <w:spacing w:before="0" w:after="60"/>
        <w:ind w:left="343" w:right="0" w:hanging="0"/>
        <w:jc w:val="both"/>
        <w:textAlignment w:val="auto"/>
        <w:rPr>
          <w:lang w:val="en-US"/>
        </w:rPr>
      </w:pPr>
      <w:r>
        <w:rPr>
          <w:color w:val="131413"/>
          <w:sz w:val="22"/>
          <w:szCs w:val="22"/>
          <w:lang w:val="en-US"/>
        </w:rPr>
        <w:t xml:space="preserve">SECRIERU, G.; BOGATENCOV, P.; RUSU, O.; ROSCA, P. RENAM – RoEduNet – GEANT gateway: approaches for connectivity development. </w:t>
      </w:r>
      <w:r>
        <w:rPr>
          <w:i/>
          <w:color w:val="131413"/>
          <w:sz w:val="22"/>
          <w:szCs w:val="22"/>
          <w:lang w:val="en-US"/>
        </w:rPr>
        <w:t>Proceedings of the 15th RoEduNet IEEE International Conference - Networking in Education and Research</w:t>
      </w:r>
      <w:r>
        <w:rPr>
          <w:color w:val="131413"/>
          <w:sz w:val="22"/>
          <w:szCs w:val="22"/>
          <w:lang w:val="en-US"/>
        </w:rPr>
        <w:t xml:space="preserve">, 2016, Bucharest, Romania, 82-88, ISSN 2068-1038. </w:t>
      </w:r>
    </w:p>
    <w:p>
      <w:pPr>
        <w:pStyle w:val="Normal"/>
        <w:widowControl/>
        <w:numPr>
          <w:ilvl w:val="0"/>
          <w:numId w:val="36"/>
        </w:numPr>
        <w:tabs>
          <w:tab w:val="left" w:pos="343" w:leader="none"/>
        </w:tabs>
        <w:bidi w:val="0"/>
        <w:ind w:left="343" w:right="0" w:hanging="0"/>
        <w:jc w:val="both"/>
        <w:textAlignment w:val="auto"/>
        <w:rPr/>
      </w:pPr>
      <w:r>
        <w:rPr>
          <w:sz w:val="22"/>
          <w:szCs w:val="22"/>
          <w:lang w:val="en-US"/>
        </w:rPr>
        <w:t xml:space="preserve">TURUTA S., Darboux first integrals of Lotka-Volterra cubic differential systems with (1:-2)-singularity having invariant straight lines of two directions and total multiplicity six. </w:t>
      </w:r>
      <w:hyperlink r:id="rId87">
        <w:r>
          <w:rPr>
            <w:webHidden/>
            <w:rStyle w:val="Style5"/>
            <w:i/>
            <w:color w:val="000000"/>
            <w:sz w:val="22"/>
            <w:szCs w:val="22"/>
            <w:lang w:val="en-US" w:eastAsia="ru-RU" w:bidi="ar-SA"/>
          </w:rPr>
          <w:t>International Scientific Conference of PhD Students "Trends in the development of contemporary science: visions of young researchers"</w:t>
        </w:r>
        <w:r>
          <w:rPr>
            <w:rStyle w:val="Style5"/>
            <w:color w:val="000000"/>
            <w:sz w:val="22"/>
            <w:szCs w:val="22"/>
            <w:lang w:val="en-US" w:eastAsia="ru-RU" w:bidi="ar-SA"/>
          </w:rPr>
          <w:t>, Fifth Edition</w:t>
        </w:r>
      </w:hyperlink>
      <w:r>
        <w:rPr>
          <w:rStyle w:val="Inline"/>
          <w:rFonts w:cs="Times New Roman CE" w:ascii="Times New Roman CE" w:hAnsi="Times New Roman CE"/>
          <w:color w:val="000000"/>
          <w:sz w:val="22"/>
          <w:szCs w:val="22"/>
          <w:lang w:val="ro-RO" w:eastAsia="ru-RU" w:bidi="ar-SA"/>
        </w:rPr>
        <w:t>. Chişinău, 25 May 2016, pp. 327-330.</w:t>
      </w:r>
    </w:p>
    <w:p>
      <w:pPr>
        <w:pStyle w:val="Normal"/>
        <w:widowControl/>
        <w:numPr>
          <w:ilvl w:val="0"/>
          <w:numId w:val="36"/>
        </w:numPr>
        <w:tabs>
          <w:tab w:val="left" w:pos="343" w:leader="none"/>
        </w:tabs>
        <w:bidi w:val="0"/>
        <w:ind w:left="343" w:right="0" w:hanging="0"/>
        <w:jc w:val="both"/>
        <w:textAlignment w:val="auto"/>
        <w:rPr>
          <w:lang w:val="en-US"/>
        </w:rPr>
      </w:pPr>
      <w:r>
        <w:rPr>
          <w:rStyle w:val="Highlight"/>
          <w:sz w:val="22"/>
          <w:szCs w:val="22"/>
          <w:lang w:val="en-US" w:eastAsia="ru-RU" w:bidi="ar-SA"/>
        </w:rPr>
        <w:t>ZAM</w:t>
      </w:r>
      <w:r>
        <w:rPr>
          <w:sz w:val="22"/>
          <w:szCs w:val="22"/>
          <w:lang w:val="en-US"/>
        </w:rPr>
        <w:t xml:space="preserve">SA, E.  Medical Software User Interfaces, Stroke MD application design.  In: </w:t>
      </w:r>
      <w:r>
        <w:rPr>
          <w:i/>
          <w:sz w:val="22"/>
          <w:szCs w:val="22"/>
          <w:lang w:val="en-US"/>
        </w:rPr>
        <w:t>E-Health and Bioengineering Conference</w:t>
      </w:r>
      <w:r>
        <w:rPr>
          <w:i/>
          <w:sz w:val="22"/>
          <w:szCs w:val="22"/>
          <w:lang w:val="en-US" w:eastAsia="ro-RO"/>
        </w:rPr>
        <w:t>. Proceedings of a meeting held 19-21 November 2015</w:t>
      </w:r>
      <w:r>
        <w:rPr>
          <w:sz w:val="22"/>
          <w:szCs w:val="22"/>
          <w:lang w:val="en-US" w:eastAsia="ro-RO"/>
        </w:rPr>
        <w:t xml:space="preserve">, Iasi, Romania. ISBN 9781467375467, Vol. II IEEE, Curran Associates, Inc, 2016, </w:t>
      </w:r>
      <w:r>
        <w:rPr>
          <w:sz w:val="22"/>
          <w:szCs w:val="22"/>
          <w:lang w:val="en-US"/>
        </w:rPr>
        <w:t>563-567.</w:t>
      </w:r>
    </w:p>
    <w:p>
      <w:pPr>
        <w:pStyle w:val="Normal"/>
        <w:widowControl/>
        <w:numPr>
          <w:ilvl w:val="0"/>
          <w:numId w:val="36"/>
        </w:numPr>
        <w:tabs>
          <w:tab w:val="left" w:pos="343" w:leader="none"/>
        </w:tabs>
        <w:bidi w:val="0"/>
        <w:ind w:left="343" w:right="0" w:hanging="0"/>
        <w:jc w:val="both"/>
        <w:textAlignment w:val="auto"/>
        <w:rPr>
          <w:lang w:val="ro-RO"/>
        </w:rPr>
      </w:pPr>
      <w:r>
        <w:rPr>
          <w:sz w:val="22"/>
          <w:szCs w:val="22"/>
          <w:lang w:val="ro-RO" w:eastAsia="en-US"/>
        </w:rPr>
        <w:t xml:space="preserve">ДАМИАН, Ф.Л.; МАКАРОВ, В.С.; МАКАРОВ, П.В. Гиперболические линзовые 3-многообразия над платоновой поверхностью {5,5} рода 4. </w:t>
      </w:r>
      <w:r>
        <w:rPr>
          <w:i/>
          <w:sz w:val="22"/>
          <w:szCs w:val="22"/>
          <w:lang w:val="ro-RO" w:eastAsia="en-US"/>
        </w:rPr>
        <w:t xml:space="preserve">Материалы 12 Международного семинара “Дискретная математика и её приложения “ имени академика О.Б.Лупанова, </w:t>
      </w:r>
      <w:r>
        <w:rPr>
          <w:sz w:val="22"/>
          <w:szCs w:val="22"/>
          <w:lang w:val="ro-RO" w:eastAsia="en-US"/>
        </w:rPr>
        <w:t>20-25 июня 2016, МГУ, 351-354.</w:t>
      </w:r>
    </w:p>
    <w:p>
      <w:pPr>
        <w:pStyle w:val="Normal"/>
        <w:widowControl/>
        <w:suppressAutoHyphens w:val="true"/>
        <w:bidi w:val="0"/>
        <w:ind w:left="0" w:right="0" w:hanging="0"/>
        <w:jc w:val="both"/>
        <w:textAlignment w:val="auto"/>
        <w:rPr>
          <w:rFonts w:ascii="Times New Roman" w:hAnsi="Times New Roman"/>
          <w:b/>
          <w:b/>
          <w:bCs/>
          <w:i/>
          <w:i/>
          <w:color w:val="000000"/>
          <w:lang w:val="ro-RO"/>
        </w:rPr>
      </w:pPr>
      <w:r>
        <w:rPr>
          <w:b/>
          <w:bCs/>
          <w:i/>
          <w:color w:val="000000"/>
          <w:lang w:val="ro-RO"/>
        </w:rPr>
      </w:r>
    </w:p>
    <w:p>
      <w:pPr>
        <w:pStyle w:val="Normal"/>
        <w:widowControl/>
        <w:suppressAutoHyphens w:val="true"/>
        <w:bidi w:val="0"/>
        <w:ind w:left="0" w:right="0" w:hanging="0"/>
        <w:jc w:val="both"/>
        <w:textAlignment w:val="auto"/>
        <w:rPr>
          <w:rFonts w:ascii="Times New Roman" w:hAnsi="Times New Roman"/>
          <w:b/>
          <w:b/>
          <w:bCs/>
          <w:i/>
          <w:i/>
          <w:color w:val="000000"/>
          <w:lang w:val="ro-RO"/>
        </w:rPr>
      </w:pPr>
      <w:r>
        <w:rPr>
          <w:b/>
          <w:bCs/>
          <w:i/>
          <w:color w:val="000000"/>
          <w:lang w:val="ro-RO"/>
        </w:rPr>
      </w:r>
    </w:p>
    <w:p>
      <w:pPr>
        <w:pStyle w:val="Normal"/>
        <w:widowControl/>
        <w:suppressAutoHyphens w:val="true"/>
        <w:bidi w:val="0"/>
        <w:ind w:left="0" w:right="0" w:hanging="0"/>
        <w:jc w:val="both"/>
        <w:textAlignment w:val="auto"/>
        <w:rPr>
          <w:lang w:val="ro-RO"/>
        </w:rPr>
      </w:pPr>
      <w:r>
        <w:rPr>
          <w:rFonts w:cs="Times New Roman CE" w:ascii="Times New Roman CE" w:hAnsi="Times New Roman CE"/>
          <w:b/>
          <w:bCs/>
          <w:i/>
          <w:color w:val="000000"/>
          <w:lang w:val="ro-RO"/>
        </w:rPr>
        <w:t>Articole în culegeri naţionale</w:t>
      </w:r>
    </w:p>
    <w:p>
      <w:pPr>
        <w:pStyle w:val="Normal"/>
        <w:widowControl/>
        <w:numPr>
          <w:ilvl w:val="0"/>
          <w:numId w:val="46"/>
        </w:numPr>
        <w:tabs>
          <w:tab w:val="left" w:pos="360" w:leader="none"/>
        </w:tabs>
        <w:suppressAutoHyphens w:val="true"/>
        <w:bidi w:val="0"/>
        <w:spacing w:before="0" w:after="60"/>
        <w:ind w:left="360" w:right="0" w:hanging="0"/>
        <w:jc w:val="both"/>
        <w:textAlignment w:val="auto"/>
        <w:rPr>
          <w:lang w:val="it-IT"/>
        </w:rPr>
      </w:pPr>
      <w:r>
        <w:rPr>
          <w:rFonts w:cs="Times New Roman CE" w:ascii="Times New Roman CE" w:hAnsi="Times New Roman CE"/>
          <w:sz w:val="22"/>
          <w:szCs w:val="22"/>
          <w:lang w:val="it-IT"/>
        </w:rPr>
        <w:t>COJOCARU, S.; BURTSEVA, L.; CIUBOTARU, C., COLESNICOV, A., DEMIDOVA, V., MALAHOV, L.; PETIC, M.; BUMBU, T.; UNGUR, Ş. On Technology for Digitization of Romanian Historical Heritage Printed in the Cyrillic Script. In: Proceedings of MFOI2016 - Conference on Mathematical Foundations of Informatics, July 25-31, 2016, Chişinău, Republic of Moldova,160-177.</w:t>
      </w:r>
      <w:r>
        <w:rPr>
          <w:color w:val="131413"/>
          <w:sz w:val="22"/>
          <w:szCs w:val="22"/>
          <w:lang w:val="en-US"/>
        </w:rPr>
        <w:t xml:space="preserve"> ISBN: 978-9975-4237-4-8</w:t>
      </w:r>
    </w:p>
    <w:p>
      <w:pPr>
        <w:pStyle w:val="Normal"/>
        <w:widowControl/>
        <w:numPr>
          <w:ilvl w:val="0"/>
          <w:numId w:val="46"/>
        </w:numPr>
        <w:tabs>
          <w:tab w:val="left" w:pos="360" w:leader="none"/>
        </w:tabs>
        <w:suppressAutoHyphens w:val="true"/>
        <w:bidi w:val="0"/>
        <w:spacing w:before="0" w:after="60"/>
        <w:ind w:left="360" w:right="0" w:hanging="0"/>
        <w:jc w:val="both"/>
        <w:textAlignment w:val="auto"/>
        <w:rPr>
          <w:lang w:val="it-IT"/>
        </w:rPr>
      </w:pPr>
      <w:r>
        <w:rPr>
          <w:sz w:val="22"/>
          <w:szCs w:val="22"/>
          <w:lang w:val="it-IT"/>
        </w:rPr>
        <w:t>COJOCARU, S.; GAINDRIC, C.; SECRIERU, Iu.; PUIU,S.; POPCOVA, O. Re-engineering of SonaRes Knowledge Base for On-Site Triage Task in Mass Casualty Situations. In: Proceedings of MFOI2016 - Conference on Mathematical Foundations of Informatics, July 25-31, 2016, Chi</w:t>
      </w:r>
      <w:r>
        <w:rPr>
          <w:rFonts w:cs="Times New Roman CE" w:ascii="Times New Roman CE" w:hAnsi="Times New Roman CE"/>
          <w:sz w:val="22"/>
          <w:szCs w:val="22"/>
          <w:lang w:val="it-IT"/>
        </w:rPr>
        <w:t>şinău, Republic of Moldova,177-185.</w:t>
      </w:r>
      <w:r>
        <w:rPr>
          <w:color w:val="131413"/>
          <w:sz w:val="22"/>
          <w:szCs w:val="22"/>
          <w:lang w:val="en-US"/>
        </w:rPr>
        <w:t xml:space="preserve"> ISBN: 978-9975-4237-4-8</w:t>
      </w:r>
    </w:p>
    <w:p>
      <w:pPr>
        <w:pStyle w:val="Normal"/>
        <w:widowControl/>
        <w:numPr>
          <w:ilvl w:val="0"/>
          <w:numId w:val="46"/>
        </w:numPr>
        <w:tabs>
          <w:tab w:val="left" w:pos="360" w:leader="none"/>
        </w:tabs>
        <w:suppressAutoHyphens w:val="true"/>
        <w:bidi w:val="0"/>
        <w:spacing w:before="0" w:after="60"/>
        <w:ind w:left="360" w:right="0" w:hanging="0"/>
        <w:jc w:val="both"/>
        <w:textAlignment w:val="auto"/>
        <w:rPr/>
      </w:pPr>
      <w:r>
        <w:rPr>
          <w:sz w:val="22"/>
          <w:szCs w:val="22"/>
          <w:lang w:val="it-IT"/>
        </w:rPr>
        <w:t>MALAHOV, L.; MARANDUC, C.; PEREZ, C-A.; COLESNICOV, A. RoDia project of a regional and historical corpus for Romanian. Proceeding MFOI-2016 Conference on Mathematical Foundations of Informatic, July 23-30, 2016, Chi</w:t>
      </w:r>
      <w:r>
        <w:rPr>
          <w:rFonts w:cs="Times New Roman CE" w:ascii="Times New Roman CE" w:hAnsi="Times New Roman CE"/>
          <w:sz w:val="22"/>
          <w:szCs w:val="22"/>
          <w:lang w:val="it-IT"/>
        </w:rPr>
        <w:t>şinău, Moldova, 268-264.</w:t>
      </w:r>
      <w:r>
        <w:rPr>
          <w:color w:val="131413"/>
          <w:sz w:val="22"/>
          <w:szCs w:val="22"/>
          <w:lang w:val="en-US"/>
        </w:rPr>
        <w:t xml:space="preserve"> ISBN: 978-9975-4237-4-8</w:t>
      </w:r>
    </w:p>
    <w:p>
      <w:pPr>
        <w:pStyle w:val="Normal"/>
        <w:widowControl/>
        <w:numPr>
          <w:ilvl w:val="0"/>
          <w:numId w:val="46"/>
        </w:numPr>
        <w:tabs>
          <w:tab w:val="left" w:pos="360" w:leader="none"/>
        </w:tabs>
        <w:suppressAutoHyphens w:val="true"/>
        <w:bidi w:val="0"/>
        <w:spacing w:before="0" w:after="60"/>
        <w:ind w:left="360" w:right="0" w:hanging="0"/>
        <w:jc w:val="both"/>
        <w:textAlignment w:val="auto"/>
        <w:rPr/>
      </w:pPr>
      <w:r>
        <w:rPr>
          <w:sz w:val="22"/>
          <w:szCs w:val="22"/>
          <w:lang w:val="it-IT"/>
        </w:rPr>
        <w:t>DRUGUS, I. An Extensional Model of Natural Languages. In: Proceedings of MFOI2016 - Conference on Mathematical Foundations of Informatics, July 25-31, 2016, Chi</w:t>
      </w:r>
      <w:r>
        <w:rPr>
          <w:rFonts w:cs="Times New Roman CE" w:ascii="Times New Roman CE" w:hAnsi="Times New Roman CE"/>
          <w:sz w:val="22"/>
          <w:szCs w:val="22"/>
          <w:lang w:val="it-IT"/>
        </w:rPr>
        <w:t>şinău, Republic of Moldova, 191-207.</w:t>
      </w:r>
      <w:r>
        <w:rPr>
          <w:color w:val="131413"/>
          <w:sz w:val="22"/>
          <w:szCs w:val="22"/>
          <w:lang w:val="en-US"/>
        </w:rPr>
        <w:t xml:space="preserve"> ISBN: 978-9975-4237-4-8</w:t>
      </w:r>
    </w:p>
    <w:p>
      <w:pPr>
        <w:pStyle w:val="Normal"/>
        <w:widowControl/>
        <w:numPr>
          <w:ilvl w:val="0"/>
          <w:numId w:val="46"/>
        </w:numPr>
        <w:tabs>
          <w:tab w:val="left" w:pos="360" w:leader="none"/>
        </w:tabs>
        <w:suppressAutoHyphens w:val="true"/>
        <w:bidi w:val="0"/>
        <w:spacing w:before="0" w:after="60"/>
        <w:ind w:left="360" w:right="0" w:hanging="0"/>
        <w:jc w:val="both"/>
        <w:textAlignment w:val="auto"/>
        <w:rPr>
          <w:lang w:val="it-IT"/>
        </w:rPr>
      </w:pPr>
      <w:r>
        <w:rPr>
          <w:sz w:val="22"/>
          <w:szCs w:val="22"/>
          <w:lang w:val="it-IT"/>
        </w:rPr>
        <w:t xml:space="preserve">LOZOVANU, D. </w:t>
      </w:r>
      <w:r>
        <w:rPr>
          <w:sz w:val="22"/>
          <w:szCs w:val="22"/>
          <w:lang w:val="en-US"/>
        </w:rPr>
        <w:t xml:space="preserve">Determining the optimal strategies for multichain average Markov decision peoblems.  </w:t>
      </w:r>
      <w:r>
        <w:rPr>
          <w:color w:val="131413"/>
          <w:sz w:val="22"/>
          <w:szCs w:val="22"/>
          <w:lang w:val="en-US"/>
        </w:rPr>
        <w:t xml:space="preserve">În: </w:t>
      </w:r>
      <w:r>
        <w:rPr>
          <w:i/>
          <w:color w:val="131413"/>
          <w:sz w:val="22"/>
          <w:szCs w:val="22"/>
          <w:lang w:val="en-US"/>
        </w:rPr>
        <w:t>Materialele Conferin</w:t>
      </w:r>
      <w:r>
        <w:rPr>
          <w:rFonts w:cs="Times New Roman CE" w:ascii="Times New Roman CE" w:hAnsi="Times New Roman CE"/>
          <w:i/>
          <w:color w:val="131413"/>
          <w:sz w:val="22"/>
          <w:szCs w:val="22"/>
          <w:lang w:val="en-US"/>
        </w:rPr>
        <w:t>ţ</w:t>
      </w:r>
      <w:r>
        <w:rPr>
          <w:i/>
          <w:color w:val="131413"/>
          <w:sz w:val="22"/>
          <w:szCs w:val="22"/>
          <w:lang w:val="en-US"/>
        </w:rPr>
        <w:t>ei Interna</w:t>
      </w:r>
      <w:r>
        <w:rPr>
          <w:rFonts w:cs="Times New Roman CE" w:ascii="Times New Roman CE" w:hAnsi="Times New Roman CE"/>
          <w:i/>
          <w:color w:val="131413"/>
          <w:sz w:val="22"/>
          <w:szCs w:val="22"/>
          <w:lang w:val="en-US"/>
        </w:rPr>
        <w:t>ţ</w:t>
      </w:r>
      <w:r>
        <w:rPr>
          <w:i/>
          <w:color w:val="131413"/>
          <w:sz w:val="22"/>
          <w:szCs w:val="22"/>
          <w:lang w:val="en-US"/>
        </w:rPr>
        <w:t>ionale “Modelare matematic</w:t>
      </w:r>
      <w:r>
        <w:rPr>
          <w:rFonts w:cs="Times New Roman CE" w:ascii="Times New Roman CE" w:hAnsi="Times New Roman CE"/>
          <w:i/>
          <w:color w:val="131413"/>
          <w:sz w:val="22"/>
          <w:szCs w:val="22"/>
          <w:lang w:val="en-US"/>
        </w:rPr>
        <w:t xml:space="preserve">ă, </w:t>
      </w:r>
      <w:r>
        <w:rPr>
          <w:i/>
          <w:color w:val="131413"/>
          <w:sz w:val="22"/>
          <w:szCs w:val="22"/>
          <w:lang w:val="en-US"/>
        </w:rPr>
        <w:t>optimizare</w:t>
      </w:r>
      <w:r>
        <w:rPr>
          <w:rFonts w:cs="Times New Roman CE" w:ascii="Times New Roman CE" w:hAnsi="Times New Roman CE"/>
          <w:i/>
          <w:color w:val="131413"/>
          <w:sz w:val="22"/>
          <w:szCs w:val="22"/>
          <w:lang w:val="en-US"/>
        </w:rPr>
        <w:t xml:space="preserve"> ş</w:t>
      </w:r>
      <w:r>
        <w:rPr>
          <w:i/>
          <w:color w:val="131413"/>
          <w:sz w:val="22"/>
          <w:szCs w:val="22"/>
          <w:lang w:val="en-US"/>
        </w:rPr>
        <w:t>i tehnologii informa</w:t>
      </w:r>
      <w:r>
        <w:rPr>
          <w:rFonts w:cs="Times New Roman CE" w:ascii="Times New Roman CE" w:hAnsi="Times New Roman CE"/>
          <w:i/>
          <w:color w:val="131413"/>
          <w:sz w:val="22"/>
          <w:szCs w:val="22"/>
          <w:lang w:val="en-US"/>
        </w:rPr>
        <w:t>ţ</w:t>
      </w:r>
      <w:r>
        <w:rPr>
          <w:i/>
          <w:color w:val="131413"/>
          <w:sz w:val="22"/>
          <w:szCs w:val="22"/>
          <w:lang w:val="en-US"/>
        </w:rPr>
        <w:t>ionale”</w:t>
      </w:r>
      <w:r>
        <w:rPr>
          <w:color w:val="131413"/>
          <w:sz w:val="22"/>
          <w:szCs w:val="22"/>
          <w:lang w:val="en-US"/>
        </w:rPr>
        <w:t>, edi</w:t>
      </w:r>
      <w:r>
        <w:rPr>
          <w:rFonts w:cs="Times New Roman CE" w:ascii="Times New Roman CE" w:hAnsi="Times New Roman CE"/>
          <w:color w:val="131413"/>
          <w:sz w:val="22"/>
          <w:szCs w:val="22"/>
          <w:lang w:val="en-US"/>
        </w:rPr>
        <w:t>ţ</w:t>
      </w:r>
      <w:r>
        <w:rPr>
          <w:color w:val="131413"/>
          <w:sz w:val="22"/>
          <w:szCs w:val="22"/>
          <w:lang w:val="en-US"/>
        </w:rPr>
        <w:t>ia a V-a, Chi</w:t>
      </w:r>
      <w:r>
        <w:rPr>
          <w:rFonts w:cs="Times New Roman CE" w:ascii="Times New Roman CE" w:hAnsi="Times New Roman CE"/>
          <w:color w:val="131413"/>
          <w:sz w:val="22"/>
          <w:szCs w:val="22"/>
          <w:lang w:val="en-US"/>
        </w:rPr>
        <w:t>ş</w:t>
      </w:r>
      <w:r>
        <w:rPr>
          <w:color w:val="131413"/>
          <w:sz w:val="22"/>
          <w:szCs w:val="22"/>
          <w:lang w:val="en-US"/>
        </w:rPr>
        <w:t>in</w:t>
      </w:r>
      <w:r>
        <w:rPr>
          <w:rFonts w:cs="Times New Roman CE" w:ascii="Times New Roman CE" w:hAnsi="Times New Roman CE"/>
          <w:color w:val="131413"/>
          <w:sz w:val="22"/>
          <w:szCs w:val="22"/>
          <w:lang w:val="en-US"/>
        </w:rPr>
        <w:t>ă</w:t>
      </w:r>
      <w:r>
        <w:rPr>
          <w:color w:val="131413"/>
          <w:sz w:val="22"/>
          <w:szCs w:val="22"/>
          <w:lang w:val="en-US"/>
        </w:rPr>
        <w:t>u, ATIC, 22-25 martie 2016, vol. I, 217-225. ISBN: 978-9975-3099-9-8</w:t>
      </w:r>
    </w:p>
    <w:p>
      <w:pPr>
        <w:pStyle w:val="Normal"/>
        <w:widowControl/>
        <w:numPr>
          <w:ilvl w:val="0"/>
          <w:numId w:val="46"/>
        </w:numPr>
        <w:tabs>
          <w:tab w:val="left" w:pos="360" w:leader="none"/>
        </w:tabs>
        <w:suppressAutoHyphens w:val="true"/>
        <w:bidi w:val="0"/>
        <w:spacing w:before="0" w:after="60"/>
        <w:ind w:left="360" w:right="0" w:hanging="0"/>
        <w:jc w:val="both"/>
        <w:textAlignment w:val="auto"/>
        <w:rPr>
          <w:lang w:val="ro-RO"/>
        </w:rPr>
      </w:pPr>
      <w:r>
        <w:rPr>
          <w:rFonts w:cs="Times New Roman CE" w:ascii="Times New Roman CE" w:hAnsi="Times New Roman CE"/>
          <w:color w:val="333333"/>
          <w:sz w:val="22"/>
          <w:szCs w:val="22"/>
          <w:lang w:val="ro-RO"/>
        </w:rPr>
        <w:t>MIŞCOI, Gh.; COSTEA</w:t>
      </w:r>
      <w:r>
        <w:rPr>
          <w:color w:val="333333"/>
          <w:sz w:val="22"/>
          <w:szCs w:val="22"/>
          <w:lang w:val="ro-RO"/>
        </w:rPr>
        <w:t>, A</w:t>
      </w:r>
      <w:r>
        <w:rPr>
          <w:rFonts w:cs="Times New Roman CE" w:ascii="Times New Roman CE" w:hAnsi="Times New Roman CE"/>
          <w:color w:val="333333"/>
          <w:sz w:val="22"/>
          <w:szCs w:val="22"/>
          <w:lang w:val="ro-RO"/>
        </w:rPr>
        <w:t>.; ŢICU, I.R.</w:t>
      </w:r>
      <w:r>
        <w:rPr>
          <w:color w:val="333333"/>
          <w:sz w:val="22"/>
          <w:szCs w:val="22"/>
          <w:lang w:val="ro-RO"/>
        </w:rPr>
        <w:t xml:space="preserve"> </w:t>
      </w:r>
      <w:r>
        <w:rPr>
          <w:color w:val="131413"/>
          <w:sz w:val="22"/>
          <w:szCs w:val="22"/>
          <w:lang w:val="es-ES"/>
        </w:rPr>
        <w:t xml:space="preserve">Modelarea </w:t>
      </w:r>
      <w:r>
        <w:rPr>
          <w:rFonts w:cs="Times New Roman CE" w:ascii="Times New Roman CE" w:hAnsi="Times New Roman CE"/>
          <w:sz w:val="22"/>
          <w:szCs w:val="22"/>
          <w:lang w:val="fr-FR"/>
        </w:rPr>
        <w:t xml:space="preserve">activităţii terminalului maritim în baza coeficientului de trafic. </w:t>
      </w:r>
      <w:r>
        <w:rPr>
          <w:color w:val="131413"/>
          <w:sz w:val="22"/>
          <w:szCs w:val="22"/>
          <w:lang w:val="fr-FR"/>
        </w:rPr>
        <w:t xml:space="preserve">În: </w:t>
      </w:r>
      <w:r>
        <w:rPr>
          <w:rFonts w:cs="Times New Roman CE" w:ascii="Times New Roman CE" w:hAnsi="Times New Roman CE"/>
          <w:i/>
          <w:color w:val="131413"/>
          <w:sz w:val="22"/>
          <w:szCs w:val="22"/>
          <w:lang w:val="fr-FR"/>
        </w:rPr>
        <w:t>Materialele Conferinţei Internaţionale “Modelare matematică, optimizare şi tehnologii informaţionale”</w:t>
      </w:r>
      <w:r>
        <w:rPr>
          <w:color w:val="131413"/>
          <w:sz w:val="22"/>
          <w:szCs w:val="22"/>
          <w:lang w:val="fr-FR"/>
        </w:rPr>
        <w:t xml:space="preserve">, </w:t>
      </w:r>
      <w:r>
        <w:rPr>
          <w:rFonts w:cs="Times New Roman CE" w:ascii="Times New Roman CE" w:hAnsi="Times New Roman CE"/>
          <w:color w:val="131413"/>
          <w:sz w:val="22"/>
          <w:szCs w:val="22"/>
          <w:lang w:val="fr-FR"/>
        </w:rPr>
        <w:t xml:space="preserve">ediţia a V-a, Chişinău, ATIC, 22-25 martie 2016, </w:t>
      </w:r>
      <w:r>
        <w:rPr>
          <w:sz w:val="22"/>
          <w:szCs w:val="22"/>
          <w:lang w:val="it-IT"/>
        </w:rPr>
        <w:t xml:space="preserve">v.I, </w:t>
      </w:r>
      <w:r>
        <w:rPr>
          <w:sz w:val="22"/>
          <w:szCs w:val="22"/>
          <w:lang w:val="fr-FR"/>
        </w:rPr>
        <w:t xml:space="preserve">242-252. </w:t>
      </w:r>
      <w:r>
        <w:rPr>
          <w:color w:val="131413"/>
          <w:sz w:val="22"/>
          <w:szCs w:val="22"/>
          <w:lang w:val="fr-FR"/>
        </w:rPr>
        <w:t>ISBN: 978-9975-3099-9-8.</w:t>
      </w:r>
    </w:p>
    <w:p>
      <w:pPr>
        <w:pStyle w:val="Normal"/>
        <w:widowControl w:val="false"/>
        <w:numPr>
          <w:ilvl w:val="0"/>
          <w:numId w:val="46"/>
        </w:numPr>
        <w:tabs>
          <w:tab w:val="left" w:pos="360" w:leader="none"/>
        </w:tabs>
        <w:bidi w:val="0"/>
        <w:spacing w:before="0" w:after="60"/>
        <w:ind w:left="360" w:right="0" w:hanging="0"/>
        <w:jc w:val="both"/>
        <w:textAlignment w:val="auto"/>
        <w:rPr>
          <w:lang w:val="it-IT"/>
        </w:rPr>
      </w:pPr>
      <w:r>
        <w:rPr>
          <w:rFonts w:cs="Times New Roman CE" w:ascii="Times New Roman CE" w:hAnsi="Times New Roman CE"/>
          <w:sz w:val="22"/>
          <w:szCs w:val="22"/>
          <w:lang w:val="it-IT"/>
        </w:rPr>
        <w:t xml:space="preserve">NAVAL, E. Impactul sectoarelor cercetare-dezvoltare, tehnologiilor informaţionale şi comunicaţiilor asupra creşterii economice în Republica Moldova. În: </w:t>
      </w:r>
      <w:r>
        <w:rPr>
          <w:rFonts w:cs="Times New Roman CE" w:ascii="Times New Roman CE" w:hAnsi="Times New Roman CE"/>
          <w:i/>
          <w:sz w:val="22"/>
          <w:szCs w:val="22"/>
          <w:lang w:val="it-IT"/>
        </w:rPr>
        <w:t>Materialele Conferinţei Internaţionale “Modelare matematică, optimizare şi tehnologii informaţionale”</w:t>
      </w:r>
      <w:r>
        <w:rPr>
          <w:rFonts w:cs="Times New Roman CE" w:ascii="Times New Roman CE" w:hAnsi="Times New Roman CE"/>
          <w:sz w:val="22"/>
          <w:szCs w:val="22"/>
          <w:lang w:val="it-IT"/>
        </w:rPr>
        <w:t>, ediţia a V-a, Chişinău, ATIC, 22-25 martie 2016, v.I, 263-273. ISBN: 978-9975-3099-8-1.</w:t>
      </w:r>
    </w:p>
    <w:p>
      <w:pPr>
        <w:pStyle w:val="Normal"/>
        <w:widowControl/>
        <w:numPr>
          <w:ilvl w:val="0"/>
          <w:numId w:val="46"/>
        </w:numPr>
        <w:tabs>
          <w:tab w:val="left" w:pos="360" w:leader="none"/>
        </w:tabs>
        <w:suppressAutoHyphens w:val="true"/>
        <w:bidi w:val="0"/>
        <w:spacing w:before="0" w:after="60"/>
        <w:ind w:left="360" w:right="0" w:hanging="0"/>
        <w:jc w:val="both"/>
        <w:textAlignment w:val="auto"/>
        <w:rPr>
          <w:lang w:val="it-IT"/>
        </w:rPr>
      </w:pPr>
      <w:r>
        <w:rPr>
          <w:rFonts w:cs="Times New Roman CE" w:ascii="Times New Roman CE" w:hAnsi="Times New Roman CE"/>
          <w:color w:val="131413"/>
          <w:sz w:val="22"/>
          <w:szCs w:val="22"/>
          <w:lang w:val="it-IT"/>
        </w:rPr>
        <w:t xml:space="preserve">ŞEREMET, V.; CRETU, I. Reprezentarea grafică a funcţiilor Green pentru tensiunile termice într-un dreptunghi cu aplicarea softului maple 18, Lucrări ştiinţifice. </w:t>
      </w:r>
      <w:r>
        <w:rPr>
          <w:color w:val="131413"/>
          <w:sz w:val="22"/>
          <w:szCs w:val="22"/>
          <w:lang w:val="en-US"/>
        </w:rPr>
        <w:t xml:space="preserve">Vol. 46. </w:t>
      </w:r>
      <w:r>
        <w:rPr>
          <w:rFonts w:cs="Times New Roman CE" w:ascii="Times New Roman CE" w:hAnsi="Times New Roman CE"/>
          <w:i/>
          <w:color w:val="131413"/>
          <w:sz w:val="22"/>
          <w:szCs w:val="22"/>
          <w:lang w:val="en-US"/>
        </w:rPr>
        <w:t>Simpozion internaţional ştiinţific</w:t>
      </w:r>
      <w:r>
        <w:rPr>
          <w:rFonts w:cs="Times New Roman CE" w:ascii="Times New Roman CE" w:hAnsi="Times New Roman CE"/>
          <w:color w:val="131413"/>
          <w:sz w:val="22"/>
          <w:szCs w:val="22"/>
          <w:lang w:val="en-US"/>
        </w:rPr>
        <w:t xml:space="preserve">. UASM, 2016, 220-230. Chişinău.  </w:t>
      </w:r>
    </w:p>
    <w:p>
      <w:pPr>
        <w:pStyle w:val="Normal"/>
        <w:widowControl/>
        <w:numPr>
          <w:ilvl w:val="0"/>
          <w:numId w:val="46"/>
        </w:numPr>
        <w:tabs>
          <w:tab w:val="left" w:pos="360" w:leader="none"/>
        </w:tabs>
        <w:suppressAutoHyphens w:val="true"/>
        <w:bidi w:val="0"/>
        <w:spacing w:before="0" w:after="60"/>
        <w:ind w:left="360" w:right="0" w:hanging="0"/>
        <w:jc w:val="both"/>
        <w:textAlignment w:val="auto"/>
        <w:rPr/>
      </w:pPr>
      <w:r>
        <w:rPr>
          <w:color w:val="131413"/>
          <w:sz w:val="22"/>
          <w:szCs w:val="22"/>
        </w:rPr>
        <w:t>ГУЦУЛЯК</w:t>
      </w:r>
      <w:r>
        <w:rPr>
          <w:color w:val="131413"/>
          <w:sz w:val="22"/>
          <w:szCs w:val="22"/>
          <w:lang w:val="ro-RO"/>
        </w:rPr>
        <w:t>,</w:t>
      </w:r>
      <w:r>
        <w:rPr>
          <w:color w:val="131413"/>
          <w:sz w:val="22"/>
          <w:szCs w:val="22"/>
        </w:rPr>
        <w:t xml:space="preserve">  Е.</w:t>
      </w:r>
      <w:r>
        <w:rPr>
          <w:color w:val="131413"/>
          <w:sz w:val="22"/>
          <w:szCs w:val="22"/>
          <w:lang w:val="ro-RO"/>
        </w:rPr>
        <w:t>;</w:t>
      </w:r>
      <w:r>
        <w:rPr>
          <w:color w:val="131413"/>
          <w:sz w:val="22"/>
          <w:szCs w:val="22"/>
        </w:rPr>
        <w:t xml:space="preserve"> СЕКРИЕРУ</w:t>
      </w:r>
      <w:r>
        <w:rPr>
          <w:color w:val="131413"/>
          <w:sz w:val="22"/>
          <w:szCs w:val="22"/>
          <w:lang w:val="ro-RO"/>
        </w:rPr>
        <w:t>,</w:t>
      </w:r>
      <w:r>
        <w:rPr>
          <w:color w:val="131413"/>
          <w:sz w:val="22"/>
          <w:szCs w:val="22"/>
        </w:rPr>
        <w:t xml:space="preserve"> Г. Компьютерное моделирование динамического нагружения заглубленных в грунт конструкций. </w:t>
      </w:r>
      <w:r>
        <w:rPr>
          <w:color w:val="131413"/>
          <w:sz w:val="22"/>
          <w:szCs w:val="22"/>
          <w:lang w:val="en-US"/>
        </w:rPr>
        <w:t xml:space="preserve">În: </w:t>
      </w:r>
      <w:r>
        <w:rPr>
          <w:i/>
          <w:color w:val="131413"/>
          <w:sz w:val="22"/>
          <w:szCs w:val="22"/>
          <w:lang w:val="en-US"/>
        </w:rPr>
        <w:t>Materialele Conferin</w:t>
      </w:r>
      <w:r>
        <w:rPr>
          <w:rFonts w:cs="Times New Roman CE" w:ascii="Times New Roman CE" w:hAnsi="Times New Roman CE"/>
          <w:i/>
          <w:color w:val="131413"/>
          <w:sz w:val="22"/>
          <w:szCs w:val="22"/>
          <w:lang w:val="en-US"/>
        </w:rPr>
        <w:t>ţ</w:t>
      </w:r>
      <w:r>
        <w:rPr>
          <w:i/>
          <w:color w:val="131413"/>
          <w:sz w:val="22"/>
          <w:szCs w:val="22"/>
          <w:lang w:val="en-US"/>
        </w:rPr>
        <w:t>ei Interna</w:t>
      </w:r>
      <w:r>
        <w:rPr>
          <w:rFonts w:cs="Times New Roman CE" w:ascii="Times New Roman CE" w:hAnsi="Times New Roman CE"/>
          <w:i/>
          <w:color w:val="131413"/>
          <w:sz w:val="22"/>
          <w:szCs w:val="22"/>
          <w:lang w:val="en-US"/>
        </w:rPr>
        <w:t>ţ</w:t>
      </w:r>
      <w:r>
        <w:rPr>
          <w:i/>
          <w:color w:val="131413"/>
          <w:sz w:val="22"/>
          <w:szCs w:val="22"/>
          <w:lang w:val="en-US"/>
        </w:rPr>
        <w:t>ionale “Modelare matematic</w:t>
      </w:r>
      <w:r>
        <w:rPr>
          <w:rFonts w:cs="Times New Roman CE" w:ascii="Times New Roman CE" w:hAnsi="Times New Roman CE"/>
          <w:i/>
          <w:color w:val="131413"/>
          <w:sz w:val="22"/>
          <w:szCs w:val="22"/>
          <w:lang w:val="en-US"/>
        </w:rPr>
        <w:t xml:space="preserve">ă, </w:t>
      </w:r>
      <w:r>
        <w:rPr>
          <w:i/>
          <w:color w:val="131413"/>
          <w:sz w:val="22"/>
          <w:szCs w:val="22"/>
          <w:lang w:val="en-US"/>
        </w:rPr>
        <w:t>optimizare</w:t>
      </w:r>
      <w:r>
        <w:rPr>
          <w:rFonts w:cs="Times New Roman CE" w:ascii="Times New Roman CE" w:hAnsi="Times New Roman CE"/>
          <w:i/>
          <w:color w:val="131413"/>
          <w:sz w:val="22"/>
          <w:szCs w:val="22"/>
          <w:lang w:val="en-US"/>
        </w:rPr>
        <w:t xml:space="preserve"> ş</w:t>
      </w:r>
      <w:r>
        <w:rPr>
          <w:i/>
          <w:color w:val="131413"/>
          <w:sz w:val="22"/>
          <w:szCs w:val="22"/>
          <w:lang w:val="en-US"/>
        </w:rPr>
        <w:t>i tehnologii informa</w:t>
      </w:r>
      <w:r>
        <w:rPr>
          <w:rFonts w:cs="Times New Roman CE" w:ascii="Times New Roman CE" w:hAnsi="Times New Roman CE"/>
          <w:i/>
          <w:color w:val="131413"/>
          <w:sz w:val="22"/>
          <w:szCs w:val="22"/>
          <w:lang w:val="en-US"/>
        </w:rPr>
        <w:t>ţ</w:t>
      </w:r>
      <w:r>
        <w:rPr>
          <w:i/>
          <w:color w:val="131413"/>
          <w:sz w:val="22"/>
          <w:szCs w:val="22"/>
          <w:lang w:val="en-US"/>
        </w:rPr>
        <w:t>ionale”</w:t>
      </w:r>
      <w:r>
        <w:rPr>
          <w:color w:val="131413"/>
          <w:sz w:val="22"/>
          <w:szCs w:val="22"/>
          <w:lang w:val="en-US"/>
        </w:rPr>
        <w:t>, edi</w:t>
      </w:r>
      <w:r>
        <w:rPr>
          <w:rFonts w:cs="Times New Roman CE" w:ascii="Times New Roman CE" w:hAnsi="Times New Roman CE"/>
          <w:color w:val="131413"/>
          <w:sz w:val="22"/>
          <w:szCs w:val="22"/>
          <w:lang w:val="en-US"/>
        </w:rPr>
        <w:t>ţ</w:t>
      </w:r>
      <w:r>
        <w:rPr>
          <w:color w:val="131413"/>
          <w:sz w:val="22"/>
          <w:szCs w:val="22"/>
          <w:lang w:val="en-US"/>
        </w:rPr>
        <w:t>ia a V-a, Chi</w:t>
      </w:r>
      <w:r>
        <w:rPr>
          <w:rFonts w:cs="Times New Roman CE" w:ascii="Times New Roman CE" w:hAnsi="Times New Roman CE"/>
          <w:color w:val="131413"/>
          <w:sz w:val="22"/>
          <w:szCs w:val="22"/>
          <w:lang w:val="en-US"/>
        </w:rPr>
        <w:t>ş</w:t>
      </w:r>
      <w:r>
        <w:rPr>
          <w:color w:val="131413"/>
          <w:sz w:val="22"/>
          <w:szCs w:val="22"/>
          <w:lang w:val="en-US"/>
        </w:rPr>
        <w:t>in</w:t>
      </w:r>
      <w:r>
        <w:rPr>
          <w:rFonts w:cs="Times New Roman CE" w:ascii="Times New Roman CE" w:hAnsi="Times New Roman CE"/>
          <w:color w:val="131413"/>
          <w:sz w:val="22"/>
          <w:szCs w:val="22"/>
          <w:lang w:val="en-US"/>
        </w:rPr>
        <w:t>ă</w:t>
      </w:r>
      <w:r>
        <w:rPr>
          <w:color w:val="131413"/>
          <w:sz w:val="22"/>
          <w:szCs w:val="22"/>
          <w:lang w:val="en-US"/>
        </w:rPr>
        <w:t>u, ATIC, 22-25 martie 2016, vol. II, 122-128. ISBN: 978-9975-3099-9-8.</w:t>
      </w:r>
    </w:p>
    <w:p>
      <w:pPr>
        <w:pStyle w:val="Normal"/>
        <w:widowControl/>
        <w:suppressAutoHyphens w:val="true"/>
        <w:bidi w:val="0"/>
        <w:spacing w:before="120" w:after="0"/>
        <w:ind w:left="0" w:right="0" w:hanging="0"/>
        <w:jc w:val="both"/>
        <w:textAlignment w:val="auto"/>
        <w:rPr>
          <w:lang w:val="ro-RO"/>
        </w:rPr>
      </w:pPr>
      <w:r>
        <w:rPr>
          <w:rFonts w:cs="Times New Roman CE" w:ascii="Times New Roman CE" w:hAnsi="Times New Roman CE"/>
          <w:b/>
          <w:bCs/>
          <w:i/>
          <w:color w:val="000000"/>
          <w:lang w:val="ro-RO"/>
        </w:rPr>
        <w:t>Lista comunicărilor ştiinţifice prezentate la manifestări internaţionale, publicate ca rezumat (1-3 pagini)</w:t>
      </w:r>
    </w:p>
    <w:p>
      <w:pPr>
        <w:pStyle w:val="Normal"/>
        <w:widowControl/>
        <w:numPr>
          <w:ilvl w:val="0"/>
          <w:numId w:val="47"/>
        </w:numPr>
        <w:tabs>
          <w:tab w:val="left" w:pos="340" w:leader="none"/>
        </w:tabs>
        <w:bidi w:val="0"/>
        <w:ind w:left="340" w:right="0" w:hanging="0"/>
        <w:jc w:val="both"/>
        <w:textAlignment w:val="auto"/>
        <w:rPr>
          <w:lang w:val="ro-RO"/>
        </w:rPr>
      </w:pPr>
      <w:r>
        <w:rPr>
          <w:sz w:val="22"/>
          <w:szCs w:val="22"/>
          <w:lang w:val="ro-RO" w:eastAsia="en-US"/>
        </w:rPr>
        <w:t>ARNAUTOV, V.I.; ERMAKOVA, G.N. Lattice of all topologies of countable module over countable rings. In: Abstracts of the  International conference Mathematics &amp; Information Technologies: Research and Education (MITRE-2016), June 23-26, 2016, Chisinau, 4-5.</w:t>
      </w:r>
    </w:p>
    <w:p>
      <w:pPr>
        <w:pStyle w:val="ListParagraph"/>
        <w:widowControl/>
        <w:numPr>
          <w:ilvl w:val="0"/>
          <w:numId w:val="47"/>
        </w:numPr>
        <w:tabs>
          <w:tab w:val="left" w:pos="340" w:leader="none"/>
        </w:tabs>
        <w:bidi w:val="0"/>
        <w:spacing w:before="0" w:after="0"/>
        <w:ind w:left="340" w:right="0" w:hanging="0"/>
        <w:contextualSpacing/>
        <w:jc w:val="left"/>
        <w:textAlignment w:val="auto"/>
        <w:rPr>
          <w:lang w:val="en-US"/>
        </w:rPr>
      </w:pPr>
      <w:r>
        <w:rPr>
          <w:sz w:val="22"/>
          <w:szCs w:val="22"/>
          <w:lang w:val="en-US"/>
        </w:rPr>
        <w:t>BUJAC, C.; VULPE, N.</w:t>
      </w:r>
      <w:r>
        <w:rPr>
          <w:sz w:val="22"/>
          <w:szCs w:val="22"/>
          <w:lang w:val="en-CA"/>
        </w:rPr>
        <w:t xml:space="preserve"> </w:t>
      </w:r>
      <w:r>
        <w:rPr>
          <w:sz w:val="22"/>
          <w:szCs w:val="22"/>
          <w:lang w:val="en-US"/>
        </w:rPr>
        <w:t>First integrals of cubic systems with the maximum number of invariant lines</w:t>
      </w:r>
      <w:r>
        <w:rPr>
          <w:sz w:val="22"/>
          <w:szCs w:val="22"/>
          <w:lang w:val="en-CA"/>
        </w:rPr>
        <w:t xml:space="preserve">.  </w:t>
      </w:r>
      <w:r>
        <w:rPr>
          <w:i/>
          <w:sz w:val="22"/>
          <w:szCs w:val="22"/>
          <w:lang w:val="en-US"/>
        </w:rPr>
        <w:t>International Conference "MITRE-2016",</w:t>
      </w:r>
      <w:r>
        <w:rPr>
          <w:rFonts w:cs="Times New Roman CE" w:ascii="Times New Roman CE" w:hAnsi="Times New Roman CE"/>
          <w:sz w:val="22"/>
          <w:szCs w:val="22"/>
          <w:lang w:val="en-US"/>
        </w:rPr>
        <w:t xml:space="preserve"> Chişinău, June 23-25, 2016, 11-12.</w:t>
      </w:r>
    </w:p>
    <w:p>
      <w:pPr>
        <w:pStyle w:val="Normal"/>
        <w:widowControl/>
        <w:numPr>
          <w:ilvl w:val="0"/>
          <w:numId w:val="47"/>
        </w:numPr>
        <w:tabs>
          <w:tab w:val="left" w:pos="340" w:leader="none"/>
        </w:tabs>
        <w:bidi w:val="0"/>
        <w:ind w:left="340" w:right="0" w:hanging="0"/>
        <w:jc w:val="both"/>
        <w:textAlignment w:val="auto"/>
        <w:rPr>
          <w:lang w:val="en-US"/>
        </w:rPr>
      </w:pPr>
      <w:r>
        <w:rPr>
          <w:sz w:val="22"/>
          <w:szCs w:val="22"/>
          <w:lang w:val="en-US"/>
        </w:rPr>
        <w:t>CALIN, Iu.; CIUBOTARU, S. GL(2, R)-comitants and Lyapunov quantities for bidimensional polynomial systems of differential equations with nonlinearities of the fourth degree.</w:t>
      </w:r>
      <w:r>
        <w:rPr>
          <w:sz w:val="22"/>
          <w:szCs w:val="22"/>
          <w:lang w:val="en-CA"/>
        </w:rPr>
        <w:t xml:space="preserve"> </w:t>
      </w:r>
      <w:r>
        <w:rPr>
          <w:i/>
          <w:sz w:val="22"/>
          <w:szCs w:val="22"/>
          <w:lang w:val="en-US"/>
        </w:rPr>
        <w:t>International Conference "MITRE-2016",</w:t>
      </w:r>
      <w:r>
        <w:rPr>
          <w:rFonts w:cs="Times New Roman CE" w:ascii="Times New Roman CE" w:hAnsi="Times New Roman CE"/>
          <w:sz w:val="22"/>
          <w:szCs w:val="22"/>
          <w:lang w:val="en-US"/>
        </w:rPr>
        <w:t xml:space="preserve"> Chişinău, June 23-25, 2016, 13-15.</w:t>
      </w:r>
    </w:p>
    <w:p>
      <w:pPr>
        <w:pStyle w:val="Normal"/>
        <w:widowControl/>
        <w:numPr>
          <w:ilvl w:val="0"/>
          <w:numId w:val="47"/>
        </w:numPr>
        <w:tabs>
          <w:tab w:val="left" w:pos="340" w:leader="none"/>
        </w:tabs>
        <w:bidi w:val="0"/>
        <w:ind w:left="340" w:right="0" w:hanging="0"/>
        <w:jc w:val="both"/>
        <w:textAlignment w:val="auto"/>
        <w:rPr>
          <w:lang w:val="en-US"/>
        </w:rPr>
      </w:pPr>
      <w:r>
        <w:rPr>
          <w:sz w:val="22"/>
          <w:szCs w:val="22"/>
          <w:lang w:val="en-US"/>
        </w:rPr>
        <w:t>CIUBOTARU, S.; CALIN, Iu.  The center conditions for a class of bidimensional polynomial systems of differential equations with nonlinearities of the fourth degree. International Conference "MITRE-2016", Chisinau, June 23-25, 2016, 22-23.</w:t>
      </w:r>
    </w:p>
    <w:p>
      <w:pPr>
        <w:pStyle w:val="Normal"/>
        <w:widowControl/>
        <w:numPr>
          <w:ilvl w:val="0"/>
          <w:numId w:val="47"/>
        </w:numPr>
        <w:tabs>
          <w:tab w:val="left" w:pos="340" w:leader="none"/>
        </w:tabs>
        <w:bidi w:val="0"/>
        <w:ind w:left="340" w:right="0" w:hanging="0"/>
        <w:jc w:val="both"/>
        <w:textAlignment w:val="auto"/>
        <w:rPr>
          <w:lang w:val="ro-RO"/>
        </w:rPr>
      </w:pPr>
      <w:r>
        <w:rPr>
          <w:sz w:val="22"/>
          <w:szCs w:val="22"/>
          <w:lang w:val="ro-RO"/>
        </w:rPr>
        <w:t>COJOCARU ,S.; PETIC, M.; COMAN , L.; HOROS, Gr. Determining ” controlled vocabulary”  (lexicon of markers) of a text. In: Proceedings. System analysis and information technology: 18-th International conference SAIT 2016, Kyiv, Ukraine, May 30 – June 2, 2016,   28-30.</w:t>
      </w:r>
    </w:p>
    <w:p>
      <w:pPr>
        <w:pStyle w:val="Normal"/>
        <w:widowControl/>
        <w:numPr>
          <w:ilvl w:val="0"/>
          <w:numId w:val="47"/>
        </w:numPr>
        <w:tabs>
          <w:tab w:val="left" w:pos="340" w:leader="none"/>
        </w:tabs>
        <w:bidi w:val="0"/>
        <w:ind w:left="340" w:right="0" w:hanging="0"/>
        <w:jc w:val="both"/>
        <w:textAlignment w:val="auto"/>
        <w:rPr>
          <w:lang w:val="ro-RO"/>
        </w:rPr>
      </w:pPr>
      <w:r>
        <w:rPr>
          <w:sz w:val="22"/>
          <w:szCs w:val="22"/>
          <w:lang w:val="ro-RO" w:eastAsia="en-US"/>
        </w:rPr>
        <w:t>COJUHARI, E.  On generalized monoid</w:t>
      </w:r>
      <w:r>
        <w:rPr>
          <w:rFonts w:cs="Times New Roman CE" w:ascii="Times New Roman CE" w:hAnsi="Times New Roman CE"/>
          <w:sz w:val="22"/>
          <w:szCs w:val="22"/>
          <w:lang w:val="ro-RO" w:eastAsia="en-US"/>
        </w:rPr>
        <w:t xml:space="preserve">  rings. În: Materialele Conferinţei tehnico-stiinţifice a colaboratorilor, doctoranzilor şi studenţilor, noiembrie 2016, Universitatea Tehnică a Moldovei, Chişinău, v.III,208-209. </w:t>
      </w:r>
    </w:p>
    <w:p>
      <w:pPr>
        <w:pStyle w:val="Normal"/>
        <w:widowControl/>
        <w:numPr>
          <w:ilvl w:val="0"/>
          <w:numId w:val="47"/>
        </w:numPr>
        <w:tabs>
          <w:tab w:val="left" w:pos="340" w:leader="none"/>
        </w:tabs>
        <w:bidi w:val="0"/>
        <w:ind w:left="340" w:right="0" w:hanging="0"/>
        <w:jc w:val="both"/>
        <w:textAlignment w:val="auto"/>
        <w:rPr>
          <w:lang w:val="ro-RO"/>
        </w:rPr>
      </w:pPr>
      <w:r>
        <w:rPr>
          <w:sz w:val="22"/>
          <w:szCs w:val="22"/>
          <w:lang w:val="ro-RO" w:eastAsia="en-US"/>
        </w:rPr>
        <w:t>COJUHARI, E. GARDNER, B. A comparison of three types of ring extensions. In: Abstracta of the Thirty-Fourth Annual Victorian Algebra Conference, November 22 - 23, 2016, La Trobe University, Melbourne, Australia, 23.</w:t>
      </w:r>
    </w:p>
    <w:p>
      <w:pPr>
        <w:pStyle w:val="Normal"/>
        <w:widowControl/>
        <w:numPr>
          <w:ilvl w:val="0"/>
          <w:numId w:val="47"/>
        </w:numPr>
        <w:tabs>
          <w:tab w:val="left" w:pos="340" w:leader="none"/>
        </w:tabs>
        <w:bidi w:val="0"/>
        <w:ind w:left="340" w:right="0" w:hanging="0"/>
        <w:jc w:val="both"/>
        <w:textAlignment w:val="auto"/>
        <w:rPr>
          <w:lang w:val="ro-RO"/>
        </w:rPr>
      </w:pPr>
      <w:r>
        <w:rPr>
          <w:rFonts w:cs="Times New Roman CE" w:ascii="Times New Roman CE" w:hAnsi="Times New Roman CE"/>
          <w:sz w:val="22"/>
          <w:szCs w:val="22"/>
          <w:lang w:val="ro-RO" w:eastAsia="en-US"/>
        </w:rPr>
        <w:t xml:space="preserve">CUZNEŢOV E. </w:t>
      </w:r>
      <w:r>
        <w:rPr>
          <w:sz w:val="22"/>
          <w:szCs w:val="22"/>
          <w:lang w:val="ro-RO" w:eastAsia="en-US"/>
        </w:rPr>
        <w:t xml:space="preserve">About group and loop transversals in the infinite sharply 2-transitive permutation group. </w:t>
      </w:r>
      <w:r>
        <w:rPr>
          <w:i/>
          <w:sz w:val="22"/>
          <w:szCs w:val="22"/>
          <w:lang w:val="en-US" w:eastAsia="en-US"/>
        </w:rPr>
        <w:t xml:space="preserve">In:  </w:t>
      </w:r>
      <w:r>
        <w:rPr>
          <w:i/>
          <w:sz w:val="22"/>
          <w:szCs w:val="22"/>
          <w:lang w:val="ro-RO" w:eastAsia="en-US"/>
        </w:rPr>
        <w:t>Book of Abstracts</w:t>
      </w:r>
      <w:r>
        <w:rPr>
          <w:i/>
          <w:sz w:val="22"/>
          <w:szCs w:val="22"/>
          <w:lang w:val="en-US" w:eastAsia="en-US"/>
        </w:rPr>
        <w:t xml:space="preserve"> </w:t>
      </w:r>
      <w:r>
        <w:rPr>
          <w:i/>
          <w:sz w:val="22"/>
          <w:szCs w:val="22"/>
          <w:lang w:val="ro-RO" w:eastAsia="en-US"/>
        </w:rPr>
        <w:t>CAIM 2016</w:t>
      </w:r>
      <w:r>
        <w:rPr>
          <w:sz w:val="22"/>
          <w:szCs w:val="22"/>
          <w:lang w:val="ro-RO" w:eastAsia="en-US"/>
        </w:rPr>
        <w:t>, Craiova, September 15-18, 2016, 68-69.</w:t>
      </w:r>
      <w:r>
        <w:rPr>
          <w:sz w:val="22"/>
          <w:szCs w:val="22"/>
          <w:lang w:val="en-US" w:eastAsia="en-US"/>
        </w:rPr>
        <w:t xml:space="preserve">BUJAC, C.; VULPE N.  First integrals of the family of cubic differential systems with invariant lines of total multiplicity 8. In: </w:t>
      </w:r>
      <w:r>
        <w:rPr>
          <w:i/>
          <w:color w:val="000000"/>
          <w:sz w:val="22"/>
          <w:szCs w:val="22"/>
          <w:lang w:val="en-US"/>
        </w:rPr>
        <w:t xml:space="preserve">Book of Abstracts of the </w:t>
      </w:r>
      <w:r>
        <w:rPr>
          <w:i/>
          <w:sz w:val="22"/>
          <w:szCs w:val="22"/>
          <w:lang w:val="en-US"/>
        </w:rPr>
        <w:t>24th Conf. on Applied and Industrial Mathematics (</w:t>
      </w:r>
      <w:r>
        <w:rPr>
          <w:i/>
          <w:color w:val="000000"/>
          <w:sz w:val="22"/>
          <w:szCs w:val="22"/>
          <w:lang w:val="en-US"/>
        </w:rPr>
        <w:t>CAIM 2016)</w:t>
      </w:r>
      <w:r>
        <w:rPr>
          <w:i/>
          <w:sz w:val="22"/>
          <w:szCs w:val="22"/>
          <w:lang w:val="en-US" w:eastAsia="en-US"/>
        </w:rPr>
        <w:t>. Craiova (România)</w:t>
      </w:r>
      <w:r>
        <w:rPr>
          <w:sz w:val="22"/>
          <w:szCs w:val="22"/>
          <w:lang w:val="en-US" w:eastAsia="en-US"/>
        </w:rPr>
        <w:t>,</w:t>
      </w:r>
      <w:r>
        <w:rPr>
          <w:sz w:val="22"/>
          <w:szCs w:val="22"/>
          <w:lang w:val="en-US"/>
        </w:rPr>
        <w:t xml:space="preserve"> September 15-18,</w:t>
      </w:r>
      <w:r>
        <w:rPr>
          <w:sz w:val="22"/>
          <w:szCs w:val="22"/>
          <w:lang w:val="en-US" w:eastAsia="en-US"/>
        </w:rPr>
        <w:t xml:space="preserve"> 2016, .32-33.</w:t>
      </w:r>
    </w:p>
    <w:p>
      <w:pPr>
        <w:pStyle w:val="Normal"/>
        <w:widowControl/>
        <w:numPr>
          <w:ilvl w:val="0"/>
          <w:numId w:val="47"/>
        </w:numPr>
        <w:tabs>
          <w:tab w:val="left" w:pos="340" w:leader="none"/>
        </w:tabs>
        <w:bidi w:val="0"/>
        <w:ind w:left="340" w:right="0" w:hanging="0"/>
        <w:jc w:val="both"/>
        <w:textAlignment w:val="auto"/>
        <w:rPr>
          <w:lang w:val="ro-RO"/>
        </w:rPr>
      </w:pPr>
      <w:r>
        <w:rPr>
          <w:sz w:val="22"/>
          <w:szCs w:val="22"/>
          <w:lang w:val="ro-RO" w:eastAsia="en-US"/>
        </w:rPr>
        <w:t>DAMIAN, F. Involutions without fixed points on manifolds.  In: Abstracts of the  International conference Mathematics &amp; Information Technologies: Research and Education (MITRE-2016), June 23-26, 2016, Chisinau, 27.</w:t>
      </w:r>
    </w:p>
    <w:p>
      <w:pPr>
        <w:pStyle w:val="Normal"/>
        <w:widowControl/>
        <w:numPr>
          <w:ilvl w:val="0"/>
          <w:numId w:val="47"/>
        </w:numPr>
        <w:tabs>
          <w:tab w:val="left" w:pos="340" w:leader="none"/>
        </w:tabs>
        <w:bidi w:val="0"/>
        <w:ind w:left="340" w:right="0" w:hanging="0"/>
        <w:jc w:val="both"/>
        <w:textAlignment w:val="auto"/>
        <w:rPr>
          <w:lang w:val="ro-RO"/>
        </w:rPr>
      </w:pPr>
      <w:r>
        <w:rPr>
          <w:sz w:val="22"/>
          <w:szCs w:val="22"/>
          <w:lang w:val="ro-RO" w:eastAsia="en-US"/>
        </w:rPr>
        <w:t xml:space="preserve">DAMIAN, F.; MAKAROV, V.; MAKAROV, P. Hyperbolic manifold given by equidistant polyhedron over compact basis. </w:t>
      </w:r>
      <w:r>
        <w:rPr>
          <w:i/>
          <w:sz w:val="22"/>
          <w:szCs w:val="22"/>
          <w:lang w:val="ro-RO" w:eastAsia="en-US"/>
        </w:rPr>
        <w:t>In: Book of Abstracts of the 7Th European Congress of Mathematics,</w:t>
      </w:r>
      <w:r>
        <w:rPr>
          <w:sz w:val="22"/>
          <w:szCs w:val="22"/>
          <w:lang w:val="ro-RO" w:eastAsia="en-US"/>
        </w:rPr>
        <w:t xml:space="preserve"> Juli 18-22, 2016, Technische Universitet Berlin, 374.</w:t>
      </w:r>
    </w:p>
    <w:p>
      <w:pPr>
        <w:pStyle w:val="Normal"/>
        <w:widowControl/>
        <w:numPr>
          <w:ilvl w:val="0"/>
          <w:numId w:val="47"/>
        </w:numPr>
        <w:tabs>
          <w:tab w:val="left" w:pos="340" w:leader="none"/>
        </w:tabs>
        <w:bidi w:val="0"/>
        <w:ind w:left="340" w:right="0" w:hanging="0"/>
        <w:jc w:val="both"/>
        <w:textAlignment w:val="auto"/>
        <w:rPr/>
      </w:pPr>
      <w:r>
        <w:rPr>
          <w:sz w:val="22"/>
          <w:szCs w:val="22"/>
          <w:lang w:val="ro-RO"/>
        </w:rPr>
        <w:t xml:space="preserve"> </w:t>
      </w:r>
      <w:r>
        <w:rPr>
          <w:color w:val="000000"/>
          <w:sz w:val="22"/>
          <w:szCs w:val="22"/>
          <w:lang w:val="ro-RO"/>
        </w:rPr>
        <w:t>D</w:t>
      </w:r>
      <w:r>
        <w:rPr>
          <w:sz w:val="22"/>
          <w:szCs w:val="22"/>
          <w:lang w:val="en-US"/>
        </w:rPr>
        <w:t xml:space="preserve">RYUMA, V.  “On integration of the equations of flows of   incompressible liquids, </w:t>
      </w:r>
      <w:r>
        <w:rPr>
          <w:i/>
          <w:sz w:val="22"/>
          <w:szCs w:val="22"/>
          <w:lang w:val="en-US"/>
        </w:rPr>
        <w:t>International Conference “Quasilinear equations, inverse problems and their applications”, In: Abstracts of the Eurasian Association on Inverse Problems (EAIP),</w:t>
      </w:r>
      <w:r>
        <w:rPr>
          <w:sz w:val="22"/>
          <w:szCs w:val="22"/>
          <w:lang w:val="en-US"/>
        </w:rPr>
        <w:t xml:space="preserve">  Moscow Institute of Physics and Technology, Dolgoprudny,  12 Sept. 2016 - 15 Sept. 2016,1-3. Slides : </w:t>
      </w:r>
      <w:hyperlink r:id="rId88">
        <w:r>
          <w:rPr>
            <w:webHidden/>
            <w:rStyle w:val="Style5"/>
            <w:sz w:val="22"/>
            <w:szCs w:val="22"/>
            <w:lang w:val="en-US" w:eastAsia="ru-RU" w:bidi="ar-SA"/>
          </w:rPr>
          <w:t>http://www.cmap.polytechnique.fr/~novikov/miptip16/index.htm</w:t>
        </w:r>
      </w:hyperlink>
    </w:p>
    <w:p>
      <w:pPr>
        <w:pStyle w:val="Normal"/>
        <w:widowControl/>
        <w:numPr>
          <w:ilvl w:val="0"/>
          <w:numId w:val="47"/>
        </w:numPr>
        <w:tabs>
          <w:tab w:val="left" w:pos="340" w:leader="none"/>
        </w:tabs>
        <w:bidi w:val="0"/>
        <w:ind w:left="340" w:right="0" w:hanging="0"/>
        <w:jc w:val="both"/>
        <w:textAlignment w:val="auto"/>
        <w:rPr>
          <w:lang w:val="en-US"/>
        </w:rPr>
      </w:pPr>
      <w:r>
        <w:rPr>
          <w:color w:val="000000"/>
          <w:sz w:val="22"/>
          <w:szCs w:val="22"/>
          <w:lang w:val="en-US"/>
        </w:rPr>
        <w:t xml:space="preserve"> </w:t>
      </w:r>
      <w:r>
        <w:rPr>
          <w:color w:val="000000"/>
          <w:sz w:val="22"/>
          <w:szCs w:val="22"/>
          <w:lang w:val="en-US"/>
        </w:rPr>
        <w:t>DRYUMA, V</w:t>
      </w:r>
      <w:r>
        <w:rPr>
          <w:sz w:val="22"/>
          <w:szCs w:val="22"/>
          <w:lang w:val="en-US"/>
        </w:rPr>
        <w:t xml:space="preserve">. Limit cycles and Attractors in  flows of incompressible fluid. In: </w:t>
      </w:r>
      <w:r>
        <w:rPr>
          <w:i/>
          <w:sz w:val="22"/>
          <w:szCs w:val="22"/>
          <w:lang w:val="en-US"/>
        </w:rPr>
        <w:t>Abstracts of the</w:t>
      </w:r>
      <w:r>
        <w:rPr>
          <w:sz w:val="22"/>
          <w:szCs w:val="22"/>
          <w:lang w:val="en-US"/>
        </w:rPr>
        <w:t xml:space="preserve"> </w:t>
      </w:r>
      <w:r>
        <w:rPr>
          <w:i/>
          <w:sz w:val="22"/>
          <w:szCs w:val="22"/>
          <w:lang w:val="en-US"/>
        </w:rPr>
        <w:t>International Conference on  Differential Equations and Dynamical Systems</w:t>
      </w:r>
      <w:r>
        <w:rPr>
          <w:sz w:val="22"/>
          <w:szCs w:val="22"/>
          <w:lang w:val="en-US"/>
        </w:rPr>
        <w:t>, Russia, Suzdal, 8-12  July,2016. 250-251.</w:t>
      </w:r>
    </w:p>
    <w:p>
      <w:pPr>
        <w:pStyle w:val="Normal"/>
        <w:widowControl/>
        <w:numPr>
          <w:ilvl w:val="0"/>
          <w:numId w:val="47"/>
        </w:numPr>
        <w:tabs>
          <w:tab w:val="left" w:pos="340" w:leader="none"/>
        </w:tabs>
        <w:bidi w:val="0"/>
        <w:ind w:left="340" w:right="0" w:hanging="0"/>
        <w:jc w:val="left"/>
        <w:textAlignment w:val="auto"/>
        <w:rPr>
          <w:lang w:val="en-US"/>
        </w:rPr>
      </w:pPr>
      <w:r>
        <w:rPr>
          <w:sz w:val="22"/>
          <w:szCs w:val="22"/>
          <w:lang w:val="en-US"/>
        </w:rPr>
        <w:t xml:space="preserve">DRYUMA, V. On solving equations of flows of incompressible liquids. </w:t>
      </w:r>
      <w:r>
        <w:rPr>
          <w:i/>
          <w:sz w:val="22"/>
          <w:szCs w:val="22"/>
          <w:lang w:val="en-US"/>
        </w:rPr>
        <w:t>International Conference "MITRE-2016",</w:t>
      </w:r>
      <w:r>
        <w:rPr>
          <w:sz w:val="22"/>
          <w:szCs w:val="22"/>
          <w:lang w:val="en-US"/>
        </w:rPr>
        <w:t xml:space="preserve"> Chisinau, June 23-25, 2016, 28-29.</w:t>
      </w:r>
    </w:p>
    <w:p>
      <w:pPr>
        <w:pStyle w:val="Normal"/>
        <w:widowControl/>
        <w:numPr>
          <w:ilvl w:val="0"/>
          <w:numId w:val="47"/>
        </w:numPr>
        <w:tabs>
          <w:tab w:val="left" w:pos="340" w:leader="none"/>
        </w:tabs>
        <w:bidi w:val="0"/>
        <w:ind w:left="340" w:right="0" w:hanging="0"/>
        <w:jc w:val="both"/>
        <w:textAlignment w:val="auto"/>
        <w:rPr/>
      </w:pPr>
      <w:r>
        <w:rPr>
          <w:color w:val="000000"/>
          <w:sz w:val="22"/>
          <w:szCs w:val="22"/>
        </w:rPr>
        <w:t xml:space="preserve"> </w:t>
      </w:r>
      <w:r>
        <w:rPr>
          <w:color w:val="000000"/>
          <w:sz w:val="22"/>
          <w:szCs w:val="22"/>
          <w:lang w:val="en-US"/>
        </w:rPr>
        <w:t>DRYUMA</w:t>
      </w:r>
      <w:r>
        <w:rPr>
          <w:color w:val="000000"/>
          <w:sz w:val="22"/>
          <w:szCs w:val="22"/>
        </w:rPr>
        <w:t xml:space="preserve">, </w:t>
      </w:r>
      <w:r>
        <w:rPr>
          <w:color w:val="000000"/>
          <w:sz w:val="22"/>
          <w:szCs w:val="22"/>
          <w:lang w:val="en-US"/>
        </w:rPr>
        <w:t>V</w:t>
      </w:r>
      <w:r>
        <w:rPr>
          <w:color w:val="000000"/>
          <w:sz w:val="22"/>
          <w:szCs w:val="22"/>
        </w:rPr>
        <w:t>.</w:t>
      </w:r>
      <w:r>
        <w:rPr>
          <w:sz w:val="22"/>
          <w:szCs w:val="22"/>
        </w:rPr>
        <w:t xml:space="preserve"> О локализованных решениях уравнений течения жидкости “. </w:t>
      </w:r>
      <w:r>
        <w:rPr>
          <w:i/>
          <w:sz w:val="22"/>
          <w:szCs w:val="22"/>
        </w:rPr>
        <w:t>Юбилейная XXV научная сессии Совета по нелинейной динамике  Института океанологии им. П.П. Ширшова</w:t>
      </w:r>
      <w:r>
        <w:rPr>
          <w:sz w:val="22"/>
          <w:szCs w:val="22"/>
        </w:rPr>
        <w:t>, РАН, г. Москва, 19-20  декабря 2016 г.   Тезисы докладов, 3 стр.</w:t>
      </w:r>
    </w:p>
    <w:p>
      <w:pPr>
        <w:pStyle w:val="Normal"/>
        <w:widowControl/>
        <w:numPr>
          <w:ilvl w:val="0"/>
          <w:numId w:val="47"/>
        </w:numPr>
        <w:tabs>
          <w:tab w:val="left" w:pos="340" w:leader="none"/>
        </w:tabs>
        <w:bidi w:val="0"/>
        <w:ind w:left="340" w:right="0" w:hanging="0"/>
        <w:jc w:val="both"/>
        <w:textAlignment w:val="auto"/>
        <w:rPr/>
      </w:pPr>
      <w:r>
        <w:rPr>
          <w:sz w:val="22"/>
          <w:szCs w:val="22"/>
        </w:rPr>
        <w:t xml:space="preserve"> </w:t>
      </w:r>
      <w:r>
        <w:rPr>
          <w:color w:val="000000"/>
          <w:sz w:val="22"/>
          <w:szCs w:val="22"/>
          <w:lang w:val="en-US"/>
        </w:rPr>
        <w:t>DRYUMA</w:t>
      </w:r>
      <w:r>
        <w:rPr>
          <w:color w:val="000000"/>
          <w:sz w:val="22"/>
          <w:szCs w:val="22"/>
        </w:rPr>
        <w:t xml:space="preserve">, </w:t>
      </w:r>
      <w:r>
        <w:rPr>
          <w:color w:val="000000"/>
          <w:sz w:val="22"/>
          <w:szCs w:val="22"/>
          <w:lang w:val="en-US"/>
        </w:rPr>
        <w:t>V</w:t>
      </w:r>
      <w:r>
        <w:rPr>
          <w:color w:val="000000"/>
          <w:sz w:val="22"/>
          <w:szCs w:val="22"/>
        </w:rPr>
        <w:t>.</w:t>
      </w:r>
      <w:r>
        <w:rPr>
          <w:sz w:val="22"/>
          <w:szCs w:val="22"/>
        </w:rPr>
        <w:t xml:space="preserve"> О решениях уравнений течения жидкости, </w:t>
      </w:r>
      <w:r>
        <w:rPr>
          <w:i/>
          <w:sz w:val="22"/>
          <w:szCs w:val="22"/>
        </w:rPr>
        <w:t>Международная конференция «Системы Аносова и современная динамика»</w:t>
      </w:r>
      <w:r>
        <w:rPr>
          <w:sz w:val="22"/>
          <w:szCs w:val="22"/>
        </w:rPr>
        <w:t xml:space="preserve">, посвященная 80-летию со дня рождения Дмитрия Викторовича Аносова, г. Москва, Россия, 19–23 декабря 2016 г. ,МИ РАН им.  Стеклова,   Тезисы докладов   </w:t>
      </w:r>
      <w:r>
        <w:rPr>
          <w:sz w:val="22"/>
          <w:szCs w:val="22"/>
          <w:lang w:val="en-US"/>
        </w:rPr>
        <w:t>p</w:t>
      </w:r>
      <w:r>
        <w:rPr>
          <w:sz w:val="22"/>
          <w:szCs w:val="22"/>
        </w:rPr>
        <w:t>.1-3.</w:t>
      </w:r>
    </w:p>
    <w:p>
      <w:pPr>
        <w:pStyle w:val="ListParagraph"/>
        <w:widowControl/>
        <w:numPr>
          <w:ilvl w:val="0"/>
          <w:numId w:val="47"/>
        </w:numPr>
        <w:tabs>
          <w:tab w:val="left" w:pos="340" w:leader="none"/>
          <w:tab w:val="left" w:pos="851" w:leader="none"/>
        </w:tabs>
        <w:suppressAutoHyphens w:val="true"/>
        <w:bidi w:val="0"/>
        <w:spacing w:before="0" w:after="0"/>
        <w:ind w:left="340" w:right="0" w:hanging="0"/>
        <w:contextualSpacing/>
        <w:jc w:val="left"/>
        <w:textAlignment w:val="auto"/>
        <w:rPr>
          <w:lang w:val="ro-RO"/>
        </w:rPr>
      </w:pPr>
      <w:r>
        <w:rPr>
          <w:rFonts w:cs="Times New Roman CE" w:ascii="Times New Roman CE" w:hAnsi="Times New Roman CE"/>
          <w:iCs/>
          <w:sz w:val="22"/>
          <w:szCs w:val="22"/>
          <w:lang w:val="ro-RO" w:eastAsia="ro-RO"/>
        </w:rPr>
        <w:t xml:space="preserve">DUMBRĂVEANU, R.; PETIC, M.; MELNIC, S. A system for processing unstructured text data by means of lexicon of keywords. </w:t>
      </w:r>
      <w:r>
        <w:rPr>
          <w:i/>
          <w:iCs/>
          <w:sz w:val="22"/>
          <w:szCs w:val="22"/>
          <w:lang w:val="ro-RO" w:eastAsia="ro-RO"/>
        </w:rPr>
        <w:t>In: Book of Abstract CAIM 2016</w:t>
      </w:r>
      <w:r>
        <w:rPr>
          <w:iCs/>
          <w:sz w:val="22"/>
          <w:szCs w:val="22"/>
          <w:lang w:val="ro-RO" w:eastAsia="ro-RO"/>
        </w:rPr>
        <w:t>, 15th-18th September, 2016, Craiova, Romania,  82-82.</w:t>
      </w:r>
    </w:p>
    <w:p>
      <w:pPr>
        <w:pStyle w:val="Normal"/>
        <w:widowControl w:val="false"/>
        <w:numPr>
          <w:ilvl w:val="0"/>
          <w:numId w:val="47"/>
        </w:numPr>
        <w:tabs>
          <w:tab w:val="left" w:pos="340" w:leader="none"/>
        </w:tabs>
        <w:bidi w:val="0"/>
        <w:spacing w:before="0" w:after="60"/>
        <w:ind w:left="340" w:right="0" w:hanging="0"/>
        <w:jc w:val="both"/>
        <w:textAlignment w:val="auto"/>
        <w:rPr>
          <w:lang w:val="it-IT"/>
        </w:rPr>
      </w:pPr>
      <w:r>
        <w:rPr>
          <w:sz w:val="22"/>
          <w:szCs w:val="22"/>
          <w:lang w:val="it-IT"/>
        </w:rPr>
        <w:t>GHEREG, V. Aplicarea Modelului Ramsey la evaluarea cre</w:t>
      </w:r>
      <w:r>
        <w:rPr>
          <w:rFonts w:cs="Times New Roman CE" w:ascii="Times New Roman CE" w:hAnsi="Times New Roman CE"/>
          <w:sz w:val="22"/>
          <w:szCs w:val="22"/>
          <w:lang w:val="ro-RO"/>
        </w:rPr>
        <w:t>ş</w:t>
      </w:r>
      <w:r>
        <w:rPr>
          <w:rFonts w:cs="Times New Roman CE" w:ascii="Times New Roman CE" w:hAnsi="Times New Roman CE"/>
          <w:sz w:val="22"/>
          <w:szCs w:val="22"/>
          <w:lang w:val="it-IT"/>
        </w:rPr>
        <w:t>terii economice a Republicii Moldova. Atelierul Matematică şi Şti</w:t>
      </w:r>
      <w:r>
        <w:rPr>
          <w:sz w:val="22"/>
          <w:szCs w:val="22"/>
          <w:lang w:val="it-IT"/>
        </w:rPr>
        <w:t>i</w:t>
      </w:r>
      <w:r>
        <w:rPr>
          <w:rFonts w:cs="Times New Roman CE" w:ascii="Times New Roman CE" w:hAnsi="Times New Roman CE"/>
          <w:sz w:val="22"/>
          <w:szCs w:val="22"/>
          <w:lang w:val="it-IT"/>
        </w:rPr>
        <w:t xml:space="preserve">nţa Informaţiei, </w:t>
      </w:r>
      <w:r>
        <w:rPr>
          <w:rFonts w:cs="Times New Roman CE" w:ascii="Times New Roman CE" w:hAnsi="Times New Roman CE"/>
          <w:i/>
          <w:sz w:val="22"/>
          <w:szCs w:val="22"/>
          <w:lang w:val="it-IT"/>
        </w:rPr>
        <w:t>Conferinţa Ştiinţifică Internaţională a studenţilor şi masteranzilor “Viitorul ne aparţine”</w:t>
      </w:r>
      <w:r>
        <w:rPr>
          <w:sz w:val="22"/>
          <w:szCs w:val="22"/>
          <w:lang w:val="it-IT"/>
        </w:rPr>
        <w:t>, E</w:t>
      </w:r>
      <w:r>
        <w:rPr>
          <w:rFonts w:cs="Times New Roman CE" w:ascii="Times New Roman CE" w:hAnsi="Times New Roman CE"/>
          <w:sz w:val="22"/>
          <w:szCs w:val="22"/>
          <w:lang w:val="it-IT"/>
        </w:rPr>
        <w:t>diţia a VI-a dedicată aniversării a 70-a de la crearea primelor instituţii de cercetare şi a 55-a de la fondarea Academiei de Ştiinţe a Moldovei, Culegere de teze. Chişinău 2016, 78.</w:t>
      </w:r>
    </w:p>
    <w:p>
      <w:pPr>
        <w:pStyle w:val="Normal"/>
        <w:widowControl/>
        <w:numPr>
          <w:ilvl w:val="0"/>
          <w:numId w:val="47"/>
        </w:numPr>
        <w:tabs>
          <w:tab w:val="left" w:pos="340" w:leader="none"/>
        </w:tabs>
        <w:bidi w:val="0"/>
        <w:ind w:left="340" w:right="0" w:hanging="0"/>
        <w:jc w:val="both"/>
        <w:textAlignment w:val="auto"/>
        <w:rPr>
          <w:lang w:val="ro-RO"/>
        </w:rPr>
      </w:pPr>
      <w:r>
        <w:rPr>
          <w:sz w:val="22"/>
          <w:szCs w:val="22"/>
          <w:lang w:val="ro-RO" w:eastAsia="en-US"/>
        </w:rPr>
        <w:t>GUTSUL, I. On octahedral manifolds and their completions</w:t>
      </w:r>
      <w:r>
        <w:rPr>
          <w:i/>
          <w:sz w:val="22"/>
          <w:szCs w:val="22"/>
          <w:lang w:val="ro-RO" w:eastAsia="en-US"/>
        </w:rPr>
        <w:t>. In: Abstracts of the  International conference Mathematics &amp; Information Technologies: Research and Education</w:t>
      </w:r>
      <w:r>
        <w:rPr>
          <w:sz w:val="22"/>
          <w:szCs w:val="22"/>
          <w:lang w:val="ro-RO" w:eastAsia="en-US"/>
        </w:rPr>
        <w:t xml:space="preserve"> (MITRE-2016), June 23-26, 2016, Chisinau, 32-33.</w:t>
      </w:r>
    </w:p>
    <w:p>
      <w:pPr>
        <w:pStyle w:val="ListParagraph"/>
        <w:widowControl/>
        <w:tabs>
          <w:tab w:val="left" w:pos="851" w:leader="none"/>
        </w:tabs>
        <w:suppressAutoHyphens w:val="true"/>
        <w:bidi w:val="0"/>
        <w:spacing w:before="0" w:after="0"/>
        <w:ind w:left="360" w:right="0" w:hanging="0"/>
        <w:contextualSpacing/>
        <w:jc w:val="left"/>
        <w:textAlignment w:val="auto"/>
        <w:rPr/>
      </w:pPr>
      <w:hyperlink r:id="rId89">
        <w:r>
          <w:rPr>
            <w:webHidden/>
            <w:rStyle w:val="Style5"/>
            <w:iCs/>
            <w:sz w:val="22"/>
            <w:szCs w:val="22"/>
            <w:lang w:val="ro-RO" w:eastAsia="ro-RO"/>
          </w:rPr>
          <w:t>http://www.romai.ro/documente_poze/Conferinte/Caim16/book_abs.pdf</w:t>
        </w:r>
      </w:hyperlink>
    </w:p>
    <w:p>
      <w:pPr>
        <w:pStyle w:val="Normal"/>
        <w:widowControl/>
        <w:numPr>
          <w:ilvl w:val="0"/>
          <w:numId w:val="47"/>
        </w:numPr>
        <w:tabs>
          <w:tab w:val="left" w:pos="340" w:leader="none"/>
        </w:tabs>
        <w:bidi w:val="0"/>
        <w:ind w:left="340" w:right="0" w:hanging="0"/>
        <w:jc w:val="both"/>
        <w:textAlignment w:val="auto"/>
        <w:rPr>
          <w:lang w:val="ro-RO"/>
        </w:rPr>
      </w:pPr>
      <w:r>
        <w:rPr>
          <w:sz w:val="22"/>
          <w:szCs w:val="22"/>
          <w:lang w:val="ro-RO" w:eastAsia="en-US"/>
        </w:rPr>
        <w:t xml:space="preserve">IZBASH, V.; LUCHIAN M. Generalizing Sierpinski’s theorem to multisorted operations. </w:t>
      </w:r>
      <w:r>
        <w:rPr>
          <w:i/>
          <w:sz w:val="22"/>
          <w:szCs w:val="22"/>
          <w:lang w:val="ro-RO" w:eastAsia="en-US"/>
        </w:rPr>
        <w:t>In: Abstracts of the International conference Mathematics &amp; Information Technologies: Research and Education</w:t>
      </w:r>
      <w:r>
        <w:rPr>
          <w:sz w:val="22"/>
          <w:szCs w:val="22"/>
          <w:lang w:val="ro-RO" w:eastAsia="en-US"/>
        </w:rPr>
        <w:t xml:space="preserve"> (MITRE-2016), June 23-26, 2016, Chisinau37-38.</w:t>
      </w:r>
    </w:p>
    <w:p>
      <w:pPr>
        <w:pStyle w:val="Normal"/>
        <w:widowControl/>
        <w:numPr>
          <w:ilvl w:val="0"/>
          <w:numId w:val="47"/>
        </w:numPr>
        <w:tabs>
          <w:tab w:val="left" w:pos="340" w:leader="none"/>
        </w:tabs>
        <w:bidi w:val="0"/>
        <w:ind w:left="340" w:right="0" w:hanging="0"/>
        <w:jc w:val="both"/>
        <w:textAlignment w:val="auto"/>
        <w:rPr/>
      </w:pPr>
      <w:r>
        <w:rPr>
          <w:sz w:val="22"/>
          <w:szCs w:val="22"/>
          <w:lang w:val="ro-RO" w:eastAsia="en-US"/>
        </w:rPr>
        <w:t>JARDAN, I. On a new operation in the class of preradicals of modules. In: Abstracts of the  International conference Mathematics &amp; Information Technologies: Research and Education (MITRE-2016), June 23-26, 2016, Chisinau,38-39.</w:t>
      </w:r>
    </w:p>
    <w:p>
      <w:pPr>
        <w:pStyle w:val="Normal"/>
        <w:widowControl/>
        <w:numPr>
          <w:ilvl w:val="0"/>
          <w:numId w:val="47"/>
        </w:numPr>
        <w:tabs>
          <w:tab w:val="left" w:pos="340" w:leader="none"/>
        </w:tabs>
        <w:bidi w:val="0"/>
        <w:ind w:left="340" w:right="0" w:hanging="0"/>
        <w:jc w:val="both"/>
        <w:textAlignment w:val="auto"/>
        <w:rPr/>
      </w:pPr>
      <w:r>
        <w:rPr>
          <w:sz w:val="22"/>
          <w:szCs w:val="22"/>
          <w:lang w:val="ro-RO" w:eastAsia="en-US"/>
        </w:rPr>
        <w:t xml:space="preserve">KASHU, A.I. On closure operators in categories of modules ( an overview ). </w:t>
      </w:r>
      <w:r>
        <w:rPr>
          <w:i/>
          <w:sz w:val="22"/>
          <w:szCs w:val="22"/>
          <w:lang w:val="ro-RO" w:eastAsia="en-US"/>
        </w:rPr>
        <w:t>In: Abstracts of the  International conference Mathematics &amp; Information Technologies: Research and Education</w:t>
      </w:r>
      <w:r>
        <w:rPr>
          <w:sz w:val="22"/>
          <w:szCs w:val="22"/>
          <w:lang w:val="ro-RO" w:eastAsia="en-US"/>
        </w:rPr>
        <w:t xml:space="preserve"> (MITRE-2016), June 23-26, 2016, Chisinau, 39-40.</w:t>
      </w:r>
    </w:p>
    <w:p>
      <w:pPr>
        <w:pStyle w:val="Normal"/>
        <w:widowControl/>
        <w:numPr>
          <w:ilvl w:val="0"/>
          <w:numId w:val="47"/>
        </w:numPr>
        <w:tabs>
          <w:tab w:val="left" w:pos="340" w:leader="none"/>
        </w:tabs>
        <w:suppressAutoHyphens w:val="true"/>
        <w:bidi w:val="0"/>
        <w:spacing w:before="0" w:after="60"/>
        <w:ind w:left="340" w:right="0" w:hanging="0"/>
        <w:jc w:val="both"/>
        <w:textAlignment w:val="auto"/>
        <w:rPr>
          <w:lang w:val="en-US"/>
        </w:rPr>
      </w:pPr>
      <w:r>
        <w:rPr>
          <w:color w:val="131413"/>
          <w:sz w:val="22"/>
          <w:szCs w:val="22"/>
          <w:lang w:val="en-US"/>
        </w:rPr>
        <w:t xml:space="preserve">LOZOVANU, D.; PICKL, St. An approach for determining the optimal strategies in average antagonistic stochastic games. În: </w:t>
      </w:r>
      <w:r>
        <w:rPr>
          <w:i/>
          <w:color w:val="131413"/>
          <w:sz w:val="22"/>
          <w:szCs w:val="22"/>
          <w:lang w:val="en-US"/>
        </w:rPr>
        <w:t>Abstracts of</w:t>
      </w:r>
      <w:r>
        <w:rPr>
          <w:color w:val="131413"/>
          <w:sz w:val="22"/>
          <w:szCs w:val="22"/>
          <w:lang w:val="en-US"/>
        </w:rPr>
        <w:t xml:space="preserve"> </w:t>
      </w:r>
      <w:r>
        <w:rPr>
          <w:i/>
          <w:color w:val="131413"/>
          <w:sz w:val="22"/>
          <w:szCs w:val="22"/>
          <w:lang w:val="en-US"/>
        </w:rPr>
        <w:t>the 10th international conference GTM2016</w:t>
      </w:r>
      <w:r>
        <w:rPr>
          <w:color w:val="131413"/>
          <w:sz w:val="22"/>
          <w:szCs w:val="22"/>
          <w:lang w:val="en-US"/>
        </w:rPr>
        <w:t>, Saint Petersburg, July 7-9 2016, 95-97.</w:t>
      </w:r>
    </w:p>
    <w:p>
      <w:pPr>
        <w:pStyle w:val="Normal"/>
        <w:widowControl/>
        <w:numPr>
          <w:ilvl w:val="0"/>
          <w:numId w:val="47"/>
        </w:numPr>
        <w:tabs>
          <w:tab w:val="left" w:pos="340" w:leader="none"/>
        </w:tabs>
        <w:bidi w:val="0"/>
        <w:ind w:left="340" w:right="0" w:hanging="0"/>
        <w:jc w:val="both"/>
        <w:textAlignment w:val="auto"/>
        <w:rPr>
          <w:lang w:val="ro-RO"/>
        </w:rPr>
      </w:pPr>
      <w:r>
        <w:rPr>
          <w:sz w:val="22"/>
          <w:szCs w:val="22"/>
          <w:lang w:val="ro-RO" w:eastAsia="en-US"/>
        </w:rPr>
        <w:t xml:space="preserve">LUCHIAN, M. Sigma Algebre S-ordonat sortate. </w:t>
      </w:r>
      <w:r>
        <w:rPr>
          <w:rFonts w:cs="Times New Roman CE" w:ascii="Times New Roman CE" w:hAnsi="Times New Roman CE"/>
          <w:i/>
          <w:sz w:val="22"/>
          <w:szCs w:val="22"/>
          <w:lang w:val="ro-RO" w:eastAsia="en-US"/>
        </w:rPr>
        <w:t>În: Materialele Atelierului Matematică şi Ştinţa Informaţiei, Conferinţa Ştiinţifică Internaţională a studenţilor şi masteranzilor “Viitorul ne aparţine”,</w:t>
      </w:r>
      <w:r>
        <w:rPr>
          <w:rFonts w:cs="Times New Roman CE" w:ascii="Times New Roman CE" w:hAnsi="Times New Roman CE"/>
          <w:sz w:val="22"/>
          <w:szCs w:val="22"/>
          <w:lang w:val="ro-RO" w:eastAsia="en-US"/>
        </w:rPr>
        <w:t xml:space="preserve"> Ediţia a VI-a dedicată aniversării a 70-a de la crearea primelor instituţii de cercetare şi a 55-a de la fondarea Academiei de Ştiinţe a Moldovei, Culegere de teze. Chişinău 2016, 78.</w:t>
      </w:r>
    </w:p>
    <w:p>
      <w:pPr>
        <w:pStyle w:val="ListParagraph"/>
        <w:widowControl/>
        <w:numPr>
          <w:ilvl w:val="0"/>
          <w:numId w:val="47"/>
        </w:numPr>
        <w:tabs>
          <w:tab w:val="left" w:pos="340" w:leader="none"/>
        </w:tabs>
        <w:suppressAutoHyphens w:val="true"/>
        <w:bidi w:val="0"/>
        <w:spacing w:before="0" w:after="0"/>
        <w:ind w:left="340" w:right="0" w:hanging="0"/>
        <w:contextualSpacing/>
        <w:jc w:val="both"/>
        <w:textAlignment w:val="auto"/>
        <w:rPr>
          <w:lang w:val="ro-RO"/>
        </w:rPr>
      </w:pPr>
      <w:r>
        <w:rPr>
          <w:rFonts w:cs="Times New Roman CE" w:ascii="Times New Roman CE" w:hAnsi="Times New Roman CE"/>
          <w:iCs/>
          <w:sz w:val="22"/>
          <w:szCs w:val="22"/>
          <w:lang w:val="ro-RO" w:eastAsia="ro-RO"/>
        </w:rPr>
        <w:t xml:space="preserve">MALAHOV, L.; COJOCARU, S.; COLESNICOV, A.;  BUMBU, T.; UNGUR, Ş. Tools for free access to the old Romanian printed texts. </w:t>
      </w:r>
      <w:r>
        <w:rPr>
          <w:i/>
          <w:iCs/>
          <w:sz w:val="22"/>
          <w:szCs w:val="22"/>
          <w:lang w:val="ro-RO" w:eastAsia="ro-RO"/>
        </w:rPr>
        <w:t>CATALOGUE BringITon 2016</w:t>
      </w:r>
      <w:r>
        <w:rPr>
          <w:rFonts w:cs="Times New Roman CE" w:ascii="Times New Roman CE" w:hAnsi="Times New Roman CE"/>
          <w:iCs/>
          <w:sz w:val="22"/>
          <w:szCs w:val="22"/>
          <w:lang w:val="ro-RO" w:eastAsia="ro-RO"/>
        </w:rPr>
        <w:t>, Workshop de promovare şi valorificare a interacţiunii între cercetarea informatică universitară şi mediul de afaceri, 18-19 november 2016, 30-31.</w:t>
      </w:r>
    </w:p>
    <w:p>
      <w:pPr>
        <w:pStyle w:val="Normal"/>
        <w:widowControl/>
        <w:numPr>
          <w:ilvl w:val="0"/>
          <w:numId w:val="47"/>
        </w:numPr>
        <w:tabs>
          <w:tab w:val="left" w:pos="340" w:leader="none"/>
        </w:tabs>
        <w:suppressAutoHyphens w:val="true"/>
        <w:bidi w:val="0"/>
        <w:spacing w:before="0" w:after="60"/>
        <w:ind w:left="340" w:right="0" w:hanging="0"/>
        <w:jc w:val="both"/>
        <w:textAlignment w:val="auto"/>
        <w:rPr/>
      </w:pPr>
      <w:r>
        <w:rPr>
          <w:rFonts w:cs="Times New Roman CE" w:ascii="Times New Roman CE" w:hAnsi="Times New Roman CE"/>
          <w:color w:val="333333"/>
          <w:sz w:val="22"/>
          <w:szCs w:val="22"/>
          <w:lang w:val="ro-RO"/>
        </w:rPr>
        <w:t xml:space="preserve">MIŞCOI, Gh.; </w:t>
      </w:r>
      <w:r>
        <w:rPr>
          <w:rFonts w:cs="Times New Roman CE" w:ascii="Times New Roman CE" w:hAnsi="Times New Roman CE"/>
          <w:color w:val="333333"/>
          <w:sz w:val="22"/>
          <w:szCs w:val="22"/>
          <w:lang w:val="en-US"/>
        </w:rPr>
        <w:t xml:space="preserve">ŢICU, I.R.; COSTEA, A.; POMAZAN, C. </w:t>
      </w:r>
      <w:r>
        <w:rPr>
          <w:sz w:val="22"/>
          <w:szCs w:val="22"/>
          <w:lang w:val="en-US"/>
        </w:rPr>
        <w:t xml:space="preserve">Evalution algorithms of the waiting time of ships in a seaport. </w:t>
      </w:r>
      <w:r>
        <w:rPr>
          <w:color w:val="131413"/>
          <w:sz w:val="22"/>
          <w:szCs w:val="22"/>
          <w:lang w:val="en-US"/>
        </w:rPr>
        <w:t>În:</w:t>
      </w:r>
      <w:hyperlink r:id="rId90">
        <w:r>
          <w:rPr>
            <w:webHidden/>
            <w:rStyle w:val="Style5"/>
            <w:i/>
            <w:color w:val="131413"/>
            <w:sz w:val="22"/>
            <w:szCs w:val="22"/>
            <w:lang w:val="en-US"/>
          </w:rPr>
          <w:t xml:space="preserve"> Abstracts of the International Conference Mathematicals &amp; Information Technologies: research&amp;</w:t>
        </w:r>
      </w:hyperlink>
      <w:r>
        <w:rPr>
          <w:i/>
          <w:color w:val="131413"/>
          <w:sz w:val="22"/>
          <w:szCs w:val="22"/>
          <w:lang w:val="en-US"/>
        </w:rPr>
        <w:t>education (MITRE-2016)</w:t>
      </w:r>
      <w:r>
        <w:rPr>
          <w:rFonts w:cs="Times New Roman CE" w:ascii="Times New Roman CE" w:hAnsi="Times New Roman CE"/>
          <w:color w:val="131413"/>
          <w:sz w:val="22"/>
          <w:szCs w:val="22"/>
          <w:lang w:val="en-US"/>
        </w:rPr>
        <w:t xml:space="preserve">, Chişinău, Republica Moldova, 23–26 iunie 2016, </w:t>
      </w:r>
      <w:r>
        <w:rPr>
          <w:color w:val="131413"/>
          <w:sz w:val="22"/>
          <w:szCs w:val="22"/>
          <w:lang w:val="en-US"/>
        </w:rPr>
        <w:t xml:space="preserve">45-46, ISSN 978-9975-71-784-6. </w:t>
      </w:r>
    </w:p>
    <w:p>
      <w:pPr>
        <w:pStyle w:val="Normal"/>
        <w:widowControl/>
        <w:numPr>
          <w:ilvl w:val="0"/>
          <w:numId w:val="47"/>
        </w:numPr>
        <w:tabs>
          <w:tab w:val="left" w:pos="340" w:leader="none"/>
        </w:tabs>
        <w:bidi w:val="0"/>
        <w:ind w:left="340" w:right="0" w:hanging="0"/>
        <w:jc w:val="both"/>
        <w:textAlignment w:val="auto"/>
        <w:rPr>
          <w:lang w:val="en-US"/>
        </w:rPr>
      </w:pPr>
      <w:r>
        <w:rPr>
          <w:sz w:val="22"/>
          <w:szCs w:val="22"/>
          <w:lang w:val="en-US"/>
        </w:rPr>
        <w:t xml:space="preserve"> </w:t>
      </w:r>
      <w:r>
        <w:rPr>
          <w:sz w:val="22"/>
          <w:szCs w:val="22"/>
          <w:lang w:val="en-US"/>
        </w:rPr>
        <w:t xml:space="preserve">NEAGU, N.; COZMA, D.; POPA, M. </w:t>
      </w:r>
      <w:r>
        <w:rPr>
          <w:sz w:val="22"/>
          <w:szCs w:val="22"/>
          <w:lang w:val="en-US" w:eastAsia="en-US"/>
        </w:rPr>
        <w:t xml:space="preserve">Centro-affin invariants and stability of unperturbed motion in ternary polynomial differential systems, </w:t>
      </w:r>
      <w:r>
        <w:rPr>
          <w:i/>
          <w:sz w:val="22"/>
          <w:szCs w:val="22"/>
          <w:lang w:val="en-US" w:eastAsia="en-US"/>
        </w:rPr>
        <w:t>In: Proceeding of the</w:t>
      </w:r>
      <w:r>
        <w:rPr>
          <w:sz w:val="22"/>
          <w:szCs w:val="22"/>
          <w:lang w:val="en-US" w:eastAsia="en-US"/>
        </w:rPr>
        <w:t xml:space="preserve"> </w:t>
      </w:r>
      <w:r>
        <w:rPr>
          <w:i/>
          <w:sz w:val="22"/>
          <w:szCs w:val="22"/>
          <w:lang w:val="en-US" w:eastAsia="en-US"/>
        </w:rPr>
        <w:t>International Scientific Conference Differential-Functional Equations and their Application</w:t>
      </w:r>
      <w:r>
        <w:rPr>
          <w:sz w:val="22"/>
          <w:szCs w:val="22"/>
          <w:lang w:val="en-US" w:eastAsia="en-US"/>
        </w:rPr>
        <w:t>, September 28-30, 2016, Chernivtsi, Ukraine, 124-125.</w:t>
      </w:r>
    </w:p>
    <w:p>
      <w:pPr>
        <w:pStyle w:val="Normal"/>
        <w:widowControl/>
        <w:numPr>
          <w:ilvl w:val="0"/>
          <w:numId w:val="47"/>
        </w:numPr>
        <w:tabs>
          <w:tab w:val="left" w:pos="340" w:leader="none"/>
        </w:tabs>
        <w:suppressAutoHyphens w:val="true"/>
        <w:bidi w:val="0"/>
        <w:ind w:left="340" w:right="0" w:hanging="0"/>
        <w:jc w:val="both"/>
        <w:textAlignment w:val="auto"/>
        <w:rPr>
          <w:lang w:val="en-US"/>
        </w:rPr>
      </w:pPr>
      <w:r>
        <w:rPr>
          <w:sz w:val="22"/>
          <w:szCs w:val="22"/>
          <w:lang w:val="en-US"/>
        </w:rPr>
        <w:t xml:space="preserve">NEAGU, N.;POPA, M. Lie algebras of ternary differential systems with quadratic nonlinearities of the Darboux form and applications. </w:t>
      </w:r>
      <w:r>
        <w:rPr>
          <w:i/>
          <w:sz w:val="22"/>
          <w:szCs w:val="22"/>
          <w:lang w:val="en-US"/>
        </w:rPr>
        <w:t>In: Abstracts of the</w:t>
      </w:r>
      <w:r>
        <w:rPr>
          <w:sz w:val="22"/>
          <w:szCs w:val="22"/>
          <w:lang w:val="en-US"/>
        </w:rPr>
        <w:t xml:space="preserve"> </w:t>
      </w:r>
      <w:r>
        <w:rPr>
          <w:i/>
          <w:sz w:val="22"/>
          <w:szCs w:val="22"/>
          <w:lang w:val="en-US"/>
        </w:rPr>
        <w:t xml:space="preserve">International Conference "MITRE-2016", </w:t>
      </w:r>
      <w:r>
        <w:rPr>
          <w:rFonts w:cs="Times New Roman CE" w:ascii="Times New Roman CE" w:hAnsi="Times New Roman CE"/>
          <w:sz w:val="22"/>
          <w:szCs w:val="22"/>
          <w:lang w:val="en-US"/>
        </w:rPr>
        <w:t xml:space="preserve"> Chişinău, June 23-25, 2016, 46-47. </w:t>
      </w:r>
      <w:r>
        <w:rPr>
          <w:color w:val="131413"/>
          <w:sz w:val="22"/>
          <w:szCs w:val="22"/>
          <w:lang w:val="en-US"/>
        </w:rPr>
        <w:t xml:space="preserve">ISSN 978-9975-71-784-6. </w:t>
      </w:r>
    </w:p>
    <w:p>
      <w:pPr>
        <w:pStyle w:val="Normal"/>
        <w:widowControl/>
        <w:numPr>
          <w:ilvl w:val="0"/>
          <w:numId w:val="47"/>
        </w:numPr>
        <w:tabs>
          <w:tab w:val="left" w:pos="340" w:leader="none"/>
        </w:tabs>
        <w:suppressAutoHyphens w:val="true"/>
        <w:bidi w:val="0"/>
        <w:ind w:left="340" w:right="0" w:hanging="0"/>
        <w:jc w:val="both"/>
        <w:textAlignment w:val="auto"/>
        <w:rPr>
          <w:lang w:val="en-US"/>
        </w:rPr>
      </w:pPr>
      <w:r>
        <w:rPr>
          <w:sz w:val="22"/>
          <w:szCs w:val="22"/>
          <w:lang w:val="en-US"/>
        </w:rPr>
        <w:t xml:space="preserve"> </w:t>
      </w:r>
      <w:r>
        <w:rPr>
          <w:sz w:val="22"/>
          <w:szCs w:val="22"/>
          <w:lang w:val="en-US"/>
        </w:rPr>
        <w:t xml:space="preserve">ORLOV, V.; POPA, M. Canonical forms of the four-dimensional Lyapunov-Darboux differential system with quadratic nonlinearities. </w:t>
      </w:r>
      <w:r>
        <w:rPr>
          <w:i/>
          <w:sz w:val="22"/>
          <w:szCs w:val="22"/>
          <w:lang w:val="en-US"/>
        </w:rPr>
        <w:t>In: Abstracts of the</w:t>
      </w:r>
      <w:r>
        <w:rPr>
          <w:sz w:val="22"/>
          <w:szCs w:val="22"/>
          <w:lang w:val="en-US"/>
        </w:rPr>
        <w:t xml:space="preserve"> </w:t>
      </w:r>
      <w:r>
        <w:rPr>
          <w:i/>
          <w:sz w:val="22"/>
          <w:szCs w:val="22"/>
          <w:lang w:val="en-US"/>
        </w:rPr>
        <w:t>International Conference "MITRE-2016",</w:t>
      </w:r>
      <w:r>
        <w:rPr>
          <w:rFonts w:cs="Times New Roman CE" w:ascii="Times New Roman CE" w:hAnsi="Times New Roman CE"/>
          <w:sz w:val="22"/>
          <w:szCs w:val="22"/>
          <w:lang w:val="en-US"/>
        </w:rPr>
        <w:t xml:space="preserve"> Chişinău, June 23-25, 2016, 49-50.</w:t>
      </w:r>
      <w:r>
        <w:rPr>
          <w:color w:val="131413"/>
          <w:sz w:val="22"/>
          <w:szCs w:val="22"/>
          <w:lang w:val="en-US"/>
        </w:rPr>
        <w:t xml:space="preserve"> ISSN 978-9975-71-784-6. </w:t>
      </w:r>
    </w:p>
    <w:p>
      <w:pPr>
        <w:pStyle w:val="Normal"/>
        <w:widowControl/>
        <w:numPr>
          <w:ilvl w:val="0"/>
          <w:numId w:val="47"/>
        </w:numPr>
        <w:tabs>
          <w:tab w:val="left" w:pos="340" w:leader="none"/>
        </w:tabs>
        <w:bidi w:val="0"/>
        <w:ind w:left="340" w:right="0" w:hanging="0"/>
        <w:jc w:val="both"/>
        <w:textAlignment w:val="auto"/>
        <w:rPr>
          <w:lang w:val="en-US"/>
        </w:rPr>
      </w:pPr>
      <w:r>
        <w:rPr>
          <w:sz w:val="22"/>
          <w:szCs w:val="22"/>
          <w:lang w:val="en-US"/>
        </w:rPr>
        <w:t xml:space="preserve"> </w:t>
      </w:r>
      <w:r>
        <w:rPr>
          <w:sz w:val="22"/>
          <w:szCs w:val="22"/>
          <w:lang w:val="en-US"/>
        </w:rPr>
        <w:t xml:space="preserve">ORLOV, V.; POPA, M. Invariant conditions for the stability of the unperturbed motion for the four-dimensional nonlinear polynomial differential system. </w:t>
      </w:r>
      <w:r>
        <w:rPr>
          <w:i/>
          <w:sz w:val="22"/>
          <w:szCs w:val="22"/>
          <w:lang w:val="en-US"/>
        </w:rPr>
        <w:t>In: Abstracts of the</w:t>
      </w:r>
      <w:r>
        <w:rPr>
          <w:sz w:val="22"/>
          <w:szCs w:val="22"/>
          <w:lang w:val="en-US"/>
        </w:rPr>
        <w:t xml:space="preserve"> </w:t>
      </w:r>
      <w:r>
        <w:rPr>
          <w:i/>
          <w:sz w:val="22"/>
          <w:szCs w:val="22"/>
          <w:lang w:val="en-US"/>
        </w:rPr>
        <w:t>24</w:t>
      </w:r>
      <w:r>
        <w:rPr>
          <w:i/>
          <w:sz w:val="22"/>
          <w:szCs w:val="22"/>
          <w:vertAlign w:val="superscript"/>
          <w:lang w:val="en-US"/>
        </w:rPr>
        <w:t>th</w:t>
      </w:r>
      <w:r>
        <w:rPr>
          <w:i/>
          <w:sz w:val="22"/>
          <w:szCs w:val="22"/>
          <w:lang w:val="en-US"/>
        </w:rPr>
        <w:t xml:space="preserve"> conference on Applied and Industrial Mathematics"CAIM-2016",</w:t>
      </w:r>
      <w:r>
        <w:rPr>
          <w:sz w:val="22"/>
          <w:szCs w:val="22"/>
          <w:lang w:val="en-US"/>
        </w:rPr>
        <w:t xml:space="preserve"> Craiova, September 15-18, 2016, 38-39.</w:t>
      </w:r>
    </w:p>
    <w:p>
      <w:pPr>
        <w:pStyle w:val="Normal"/>
        <w:widowControl/>
        <w:numPr>
          <w:ilvl w:val="0"/>
          <w:numId w:val="47"/>
        </w:numPr>
        <w:tabs>
          <w:tab w:val="left" w:pos="340" w:leader="none"/>
        </w:tabs>
        <w:suppressAutoHyphens w:val="true"/>
        <w:bidi w:val="0"/>
        <w:ind w:left="340" w:right="0" w:hanging="0"/>
        <w:jc w:val="both"/>
        <w:textAlignment w:val="auto"/>
        <w:rPr>
          <w:lang w:val="en-US"/>
        </w:rPr>
      </w:pPr>
      <w:r>
        <w:rPr>
          <w:sz w:val="22"/>
          <w:szCs w:val="22"/>
          <w:lang w:val="en-US"/>
        </w:rPr>
        <w:t xml:space="preserve"> </w:t>
      </w:r>
      <w:r>
        <w:rPr>
          <w:sz w:val="22"/>
          <w:szCs w:val="22"/>
          <w:lang w:val="en-US"/>
        </w:rPr>
        <w:t xml:space="preserve">PORT, S.; PRICOP, V.;TRIFAN, V. The mathematical model of emotion impact. </w:t>
      </w:r>
      <w:r>
        <w:rPr>
          <w:i/>
          <w:sz w:val="22"/>
          <w:szCs w:val="22"/>
          <w:lang w:val="en-US"/>
        </w:rPr>
        <w:t>In: Abstracts of the</w:t>
      </w:r>
      <w:r>
        <w:rPr>
          <w:sz w:val="22"/>
          <w:szCs w:val="22"/>
          <w:lang w:val="en-US"/>
        </w:rPr>
        <w:t xml:space="preserve"> </w:t>
      </w:r>
      <w:r>
        <w:rPr>
          <w:i/>
          <w:sz w:val="22"/>
          <w:szCs w:val="22"/>
          <w:lang w:val="en-US"/>
        </w:rPr>
        <w:t>International Conference "MITRE-2016",</w:t>
      </w:r>
      <w:r>
        <w:rPr>
          <w:rFonts w:cs="Times New Roman CE" w:ascii="Times New Roman CE" w:hAnsi="Times New Roman CE"/>
          <w:sz w:val="22"/>
          <w:szCs w:val="22"/>
          <w:lang w:val="en-US"/>
        </w:rPr>
        <w:t xml:space="preserve"> Chişinău, June 23-25, 2016, 55-56.</w:t>
      </w:r>
      <w:r>
        <w:rPr>
          <w:color w:val="131413"/>
          <w:sz w:val="22"/>
          <w:szCs w:val="22"/>
          <w:lang w:val="en-US"/>
        </w:rPr>
        <w:t xml:space="preserve"> ISSN 978-9975-71-784-6. </w:t>
      </w:r>
    </w:p>
    <w:p>
      <w:pPr>
        <w:pStyle w:val="Normal"/>
        <w:widowControl/>
        <w:numPr>
          <w:ilvl w:val="0"/>
          <w:numId w:val="47"/>
        </w:numPr>
        <w:tabs>
          <w:tab w:val="left" w:pos="340" w:leader="none"/>
        </w:tabs>
        <w:bidi w:val="0"/>
        <w:ind w:left="340" w:right="0" w:hanging="0"/>
        <w:jc w:val="left"/>
        <w:textAlignment w:val="auto"/>
        <w:rPr>
          <w:lang w:val="ro-RO"/>
        </w:rPr>
      </w:pPr>
      <w:r>
        <w:rPr>
          <w:sz w:val="22"/>
          <w:szCs w:val="22"/>
          <w:lang w:val="ro-RO"/>
        </w:rPr>
        <w:t xml:space="preserve"> </w:t>
      </w:r>
      <w:r>
        <w:rPr>
          <w:sz w:val="22"/>
          <w:szCs w:val="22"/>
          <w:lang w:val="ro-RO"/>
        </w:rPr>
        <w:t xml:space="preserve">PRICOP, V. </w:t>
      </w:r>
      <w:r>
        <w:rPr>
          <w:sz w:val="22"/>
          <w:szCs w:val="22"/>
          <w:lang w:val="ro-MD"/>
        </w:rPr>
        <w:t xml:space="preserve">The common Hilbert series of the differential system s(1,3,7) and the Krull dimensions of Sibirsky algebras, </w:t>
      </w:r>
      <w:r>
        <w:rPr>
          <w:i/>
          <w:sz w:val="22"/>
          <w:szCs w:val="22"/>
          <w:lang w:val="en-US"/>
        </w:rPr>
        <w:t>In: Abstracts of the</w:t>
      </w:r>
      <w:r>
        <w:rPr>
          <w:sz w:val="22"/>
          <w:szCs w:val="22"/>
          <w:lang w:val="en-US"/>
        </w:rPr>
        <w:t xml:space="preserve"> </w:t>
      </w:r>
      <w:r>
        <w:rPr>
          <w:i/>
          <w:sz w:val="22"/>
          <w:szCs w:val="22"/>
          <w:lang w:val="en-US"/>
        </w:rPr>
        <w:t>24</w:t>
      </w:r>
      <w:r>
        <w:rPr>
          <w:i/>
          <w:sz w:val="22"/>
          <w:szCs w:val="22"/>
          <w:vertAlign w:val="superscript"/>
          <w:lang w:val="en-US"/>
        </w:rPr>
        <w:t>th</w:t>
      </w:r>
      <w:r>
        <w:rPr>
          <w:i/>
          <w:sz w:val="22"/>
          <w:szCs w:val="22"/>
          <w:lang w:val="en-US"/>
        </w:rPr>
        <w:t xml:space="preserve"> conference on Applied and Industrial Mathematics"CAIM-2016",</w:t>
      </w:r>
      <w:r>
        <w:rPr>
          <w:sz w:val="22"/>
          <w:szCs w:val="22"/>
          <w:lang w:val="en-US"/>
        </w:rPr>
        <w:t xml:space="preserve"> Craiova, September 15-18, 2016, </w:t>
      </w:r>
      <w:r>
        <w:rPr>
          <w:sz w:val="22"/>
          <w:szCs w:val="22"/>
          <w:lang w:val="ro-MD"/>
        </w:rPr>
        <w:t xml:space="preserve"> 39-40. </w:t>
      </w:r>
    </w:p>
    <w:p>
      <w:pPr>
        <w:pStyle w:val="Normal"/>
        <w:widowControl/>
        <w:numPr>
          <w:ilvl w:val="0"/>
          <w:numId w:val="47"/>
        </w:numPr>
        <w:tabs>
          <w:tab w:val="left" w:pos="340" w:leader="none"/>
        </w:tabs>
        <w:suppressAutoHyphens w:val="true"/>
        <w:bidi w:val="0"/>
        <w:spacing w:before="0" w:after="60"/>
        <w:ind w:left="340" w:right="0" w:hanging="0"/>
        <w:jc w:val="both"/>
        <w:textAlignment w:val="auto"/>
        <w:rPr>
          <w:lang w:val="en-US"/>
        </w:rPr>
      </w:pPr>
      <w:r>
        <w:rPr>
          <w:sz w:val="22"/>
          <w:szCs w:val="22"/>
          <w:lang w:val="en-US"/>
        </w:rPr>
        <w:t xml:space="preserve"> </w:t>
      </w:r>
      <w:r>
        <w:rPr>
          <w:sz w:val="22"/>
          <w:szCs w:val="22"/>
          <w:lang w:val="en-US"/>
        </w:rPr>
        <w:t xml:space="preserve">PRICOP, V. The differential system s(1,3,5) and corresponding common Hilbert series. </w:t>
      </w:r>
      <w:r>
        <w:rPr>
          <w:i/>
          <w:sz w:val="22"/>
          <w:szCs w:val="22"/>
          <w:lang w:val="en-US"/>
        </w:rPr>
        <w:t>In: Abstracts of the</w:t>
      </w:r>
      <w:r>
        <w:rPr>
          <w:sz w:val="22"/>
          <w:szCs w:val="22"/>
          <w:lang w:val="en-US"/>
        </w:rPr>
        <w:t xml:space="preserve"> </w:t>
      </w:r>
      <w:r>
        <w:rPr>
          <w:i/>
          <w:sz w:val="22"/>
          <w:szCs w:val="22"/>
          <w:lang w:val="en-US"/>
        </w:rPr>
        <w:t xml:space="preserve">International Conference "MITRE-2016", </w:t>
      </w:r>
      <w:r>
        <w:rPr>
          <w:sz w:val="22"/>
          <w:szCs w:val="22"/>
          <w:lang w:val="en-US"/>
        </w:rPr>
        <w:t>Chisinau, June 23-25, 2016, 57-58.</w:t>
      </w:r>
      <w:r>
        <w:rPr>
          <w:color w:val="131413"/>
          <w:sz w:val="22"/>
          <w:szCs w:val="22"/>
          <w:lang w:val="en-US"/>
        </w:rPr>
        <w:t xml:space="preserve"> ISSN 978-9975-71-784-6. </w:t>
      </w:r>
    </w:p>
    <w:p>
      <w:pPr>
        <w:pStyle w:val="Normal"/>
        <w:widowControl/>
        <w:numPr>
          <w:ilvl w:val="0"/>
          <w:numId w:val="47"/>
        </w:numPr>
        <w:tabs>
          <w:tab w:val="left" w:pos="340" w:leader="none"/>
        </w:tabs>
        <w:bidi w:val="0"/>
        <w:ind w:left="340" w:right="0" w:hanging="0"/>
        <w:jc w:val="both"/>
        <w:textAlignment w:val="auto"/>
        <w:rPr>
          <w:lang w:val="en-US"/>
        </w:rPr>
      </w:pPr>
      <w:r>
        <w:rPr>
          <w:sz w:val="22"/>
          <w:szCs w:val="22"/>
          <w:lang w:val="en-US" w:eastAsia="en-US"/>
        </w:rPr>
        <w:t xml:space="preserve"> </w:t>
      </w:r>
      <w:r>
        <w:rPr>
          <w:rFonts w:cs="Times New Roman CE" w:ascii="Times New Roman CE" w:hAnsi="Times New Roman CE"/>
          <w:sz w:val="22"/>
          <w:szCs w:val="22"/>
          <w:lang w:val="en-US"/>
        </w:rPr>
        <w:t xml:space="preserve">ROUDENOK, A.E.; ŞUBĂ, A.S., Necessary and sufficient center conditions for differential systems of non-linear oscillations. </w:t>
      </w:r>
      <w:r>
        <w:rPr>
          <w:i/>
          <w:sz w:val="22"/>
          <w:szCs w:val="22"/>
        </w:rPr>
        <w:t>В: материалах</w:t>
      </w:r>
      <w:r>
        <w:rPr>
          <w:sz w:val="22"/>
          <w:szCs w:val="22"/>
        </w:rPr>
        <w:t xml:space="preserve"> </w:t>
      </w:r>
      <w:r>
        <w:rPr>
          <w:i/>
          <w:sz w:val="22"/>
          <w:szCs w:val="22"/>
          <w:lang w:val="en-US"/>
        </w:rPr>
        <w:t>XII </w:t>
      </w:r>
      <w:r>
        <w:rPr>
          <w:i/>
          <w:sz w:val="22"/>
          <w:szCs w:val="22"/>
        </w:rPr>
        <w:t>Белорусской</w:t>
      </w:r>
      <w:r>
        <w:rPr>
          <w:i/>
          <w:sz w:val="22"/>
          <w:szCs w:val="22"/>
          <w:lang w:val="en-US"/>
        </w:rPr>
        <w:t> </w:t>
      </w:r>
      <w:r>
        <w:rPr>
          <w:i/>
          <w:sz w:val="22"/>
          <w:szCs w:val="22"/>
        </w:rPr>
        <w:t>математической</w:t>
      </w:r>
      <w:r>
        <w:rPr>
          <w:i/>
          <w:sz w:val="22"/>
          <w:szCs w:val="22"/>
          <w:lang w:val="en-US"/>
        </w:rPr>
        <w:t>  </w:t>
      </w:r>
      <w:r>
        <w:rPr>
          <w:i/>
          <w:sz w:val="22"/>
          <w:szCs w:val="22"/>
        </w:rPr>
        <w:t>конференции</w:t>
      </w:r>
      <w:r>
        <w:rPr>
          <w:sz w:val="22"/>
          <w:szCs w:val="22"/>
        </w:rPr>
        <w:t>(</w:t>
      </w:r>
      <w:r>
        <w:rPr/>
        <w:t xml:space="preserve">БМК-2016), </w:t>
      </w:r>
      <w:r>
        <w:rPr>
          <w:sz w:val="22"/>
          <w:szCs w:val="22"/>
        </w:rPr>
        <w:t>5–10</w:t>
      </w:r>
      <w:r>
        <w:rPr>
          <w:sz w:val="22"/>
          <w:szCs w:val="22"/>
          <w:lang w:val="en-US"/>
        </w:rPr>
        <w:t> </w:t>
      </w:r>
      <w:r>
        <w:rPr>
          <w:sz w:val="22"/>
          <w:szCs w:val="22"/>
        </w:rPr>
        <w:t>сентября 2016 года, Минск, 58.</w:t>
      </w:r>
    </w:p>
    <w:p>
      <w:pPr>
        <w:pStyle w:val="Normal"/>
        <w:widowControl/>
        <w:numPr>
          <w:ilvl w:val="0"/>
          <w:numId w:val="47"/>
        </w:numPr>
        <w:tabs>
          <w:tab w:val="left" w:pos="340" w:leader="none"/>
        </w:tabs>
        <w:bidi w:val="0"/>
        <w:ind w:left="340" w:right="0" w:hanging="0"/>
        <w:jc w:val="both"/>
        <w:textAlignment w:val="auto"/>
        <w:rPr/>
      </w:pPr>
      <w:r>
        <w:rPr>
          <w:sz w:val="22"/>
          <w:szCs w:val="22"/>
          <w:lang w:eastAsia="en-US"/>
        </w:rPr>
        <w:t xml:space="preserve"> </w:t>
      </w:r>
      <w:r>
        <w:rPr>
          <w:sz w:val="22"/>
          <w:szCs w:val="22"/>
          <w:lang w:val="en-US" w:eastAsia="en-US"/>
        </w:rPr>
        <w:t>ROUDENOK,A.E.;</w:t>
      </w:r>
      <w:r>
        <w:rPr>
          <w:rFonts w:cs="Times New Roman CE" w:ascii="Times New Roman CE" w:hAnsi="Times New Roman CE"/>
          <w:sz w:val="22"/>
          <w:szCs w:val="22"/>
          <w:lang w:val="en-US" w:eastAsia="en-US"/>
        </w:rPr>
        <w:t xml:space="preserve"> ŞUBĂ </w:t>
      </w:r>
      <w:r>
        <w:rPr>
          <w:sz w:val="22"/>
          <w:szCs w:val="22"/>
          <w:lang w:val="en-US" w:eastAsia="en-US"/>
        </w:rPr>
        <w:t xml:space="preserve">, A.S., </w:t>
      </w:r>
      <w:r>
        <w:rPr>
          <w:sz w:val="22"/>
          <w:szCs w:val="22"/>
          <w:lang w:val="ro-RO"/>
        </w:rPr>
        <w:t xml:space="preserve">Center conditions for non-linear differential systems, </w:t>
      </w:r>
      <w:r>
        <w:rPr>
          <w:i/>
          <w:sz w:val="22"/>
          <w:szCs w:val="22"/>
          <w:lang w:val="en-US"/>
        </w:rPr>
        <w:t>In: Abstracts of the</w:t>
      </w:r>
      <w:r>
        <w:rPr>
          <w:sz w:val="22"/>
          <w:szCs w:val="22"/>
          <w:lang w:val="en-US"/>
        </w:rPr>
        <w:t xml:space="preserve"> </w:t>
      </w:r>
      <w:r>
        <w:rPr>
          <w:i/>
          <w:sz w:val="22"/>
          <w:szCs w:val="22"/>
          <w:lang w:val="en-US" w:eastAsia="en-US"/>
        </w:rPr>
        <w:t xml:space="preserve"> International Scientific Conference Differential-Functional Equations and their Application</w:t>
      </w:r>
      <w:r>
        <w:rPr>
          <w:sz w:val="22"/>
          <w:szCs w:val="22"/>
          <w:lang w:val="en-US" w:eastAsia="en-US"/>
        </w:rPr>
        <w:t>, September 28-30, 2016, Chernivtsi, Ukraine, 130-131.</w:t>
      </w:r>
    </w:p>
    <w:p>
      <w:pPr>
        <w:pStyle w:val="Normal"/>
        <w:widowControl/>
        <w:numPr>
          <w:ilvl w:val="0"/>
          <w:numId w:val="47"/>
        </w:numPr>
        <w:tabs>
          <w:tab w:val="left" w:pos="340" w:leader="none"/>
        </w:tabs>
        <w:suppressAutoHyphens w:val="true"/>
        <w:bidi w:val="0"/>
        <w:spacing w:before="0" w:after="60"/>
        <w:ind w:left="340" w:right="0" w:hanging="0"/>
        <w:jc w:val="both"/>
        <w:textAlignment w:val="auto"/>
        <w:rPr/>
      </w:pPr>
      <w:r>
        <w:rPr>
          <w:color w:val="131413"/>
          <w:sz w:val="22"/>
          <w:szCs w:val="22"/>
          <w:lang w:val="en-US"/>
        </w:rPr>
        <w:t xml:space="preserve">SECRIERU, G.; GUTULEAC, E. Numerical vulnerability assessment of hazardous materials storage under dynamic load. </w:t>
      </w:r>
      <w:hyperlink r:id="rId91">
        <w:r>
          <w:rPr>
            <w:webHidden/>
            <w:rStyle w:val="Style5"/>
            <w:i/>
            <w:color w:val="131413"/>
            <w:sz w:val="22"/>
            <w:szCs w:val="22"/>
            <w:lang w:val="en-US"/>
          </w:rPr>
          <w:t>In: Abstracts of the International Conference Mathematicals &amp; Information Technologies: research&amp;</w:t>
        </w:r>
      </w:hyperlink>
      <w:r>
        <w:rPr>
          <w:i/>
          <w:color w:val="131413"/>
          <w:sz w:val="22"/>
          <w:szCs w:val="22"/>
          <w:lang w:val="en-US"/>
        </w:rPr>
        <w:t>education (MITRE-2016)</w:t>
      </w:r>
      <w:r>
        <w:rPr>
          <w:rFonts w:cs="Times New Roman CE" w:ascii="Times New Roman CE" w:hAnsi="Times New Roman CE"/>
          <w:color w:val="131413"/>
          <w:sz w:val="22"/>
          <w:szCs w:val="22"/>
          <w:lang w:val="en-US"/>
        </w:rPr>
        <w:t xml:space="preserve">, Chişinău, Republica Moldova, 23–26 iunie 2016, 35-36, ISSN 978-9975-71-784-6. </w:t>
      </w:r>
    </w:p>
    <w:p>
      <w:pPr>
        <w:pStyle w:val="Normal"/>
        <w:widowControl/>
        <w:numPr>
          <w:ilvl w:val="0"/>
          <w:numId w:val="47"/>
        </w:numPr>
        <w:tabs>
          <w:tab w:val="left" w:pos="340" w:leader="none"/>
        </w:tabs>
        <w:suppressAutoHyphens w:val="true"/>
        <w:bidi w:val="0"/>
        <w:spacing w:before="0" w:after="60"/>
        <w:ind w:left="340" w:right="0" w:hanging="0"/>
        <w:jc w:val="both"/>
        <w:textAlignment w:val="auto"/>
        <w:rPr>
          <w:lang w:val="ro-RO"/>
        </w:rPr>
      </w:pPr>
      <w:r>
        <w:rPr>
          <w:sz w:val="22"/>
          <w:szCs w:val="22"/>
          <w:lang w:val="ro-RO" w:eastAsia="en-US"/>
        </w:rPr>
        <w:t xml:space="preserve">SHCERBACOVA,  A.; SHCHERBACOV, V. About spectrum of T2-quasigroups. </w:t>
      </w:r>
      <w:r>
        <w:rPr>
          <w:i/>
          <w:sz w:val="22"/>
          <w:szCs w:val="22"/>
          <w:lang w:val="ro-RO" w:eastAsia="en-US"/>
        </w:rPr>
        <w:t>In: Abstracts of the  International conference Mathematics &amp; Information Technologies: Research and Education</w:t>
      </w:r>
      <w:r>
        <w:rPr>
          <w:sz w:val="22"/>
          <w:szCs w:val="22"/>
          <w:lang w:val="ro-RO" w:eastAsia="en-US"/>
        </w:rPr>
        <w:t xml:space="preserve"> (MITRE-2016), June 23-26, 2016, Chisinau, 64.</w:t>
      </w:r>
      <w:r>
        <w:rPr>
          <w:color w:val="131413"/>
          <w:sz w:val="22"/>
          <w:szCs w:val="22"/>
          <w:lang w:val="en-US"/>
        </w:rPr>
        <w:t xml:space="preserve"> ISSN 978-9975-71-784-6. </w:t>
      </w:r>
    </w:p>
    <w:p>
      <w:pPr>
        <w:pStyle w:val="Normal"/>
        <w:widowControl/>
        <w:numPr>
          <w:ilvl w:val="0"/>
          <w:numId w:val="47"/>
        </w:numPr>
        <w:tabs>
          <w:tab w:val="left" w:pos="340" w:leader="none"/>
        </w:tabs>
        <w:suppressAutoHyphens w:val="true"/>
        <w:bidi w:val="0"/>
        <w:spacing w:before="0" w:after="60"/>
        <w:ind w:left="340" w:right="0" w:hanging="0"/>
        <w:jc w:val="both"/>
        <w:textAlignment w:val="auto"/>
        <w:rPr>
          <w:lang w:val="ro-RO"/>
        </w:rPr>
      </w:pPr>
      <w:r>
        <w:rPr>
          <w:sz w:val="22"/>
          <w:szCs w:val="22"/>
          <w:lang w:val="ro-RO" w:eastAsia="en-US"/>
        </w:rPr>
        <w:t xml:space="preserve">SHCHERBACOV, V.; TCACENCO, A. On prolongations of a quasigroup. </w:t>
      </w:r>
      <w:r>
        <w:rPr>
          <w:i/>
          <w:sz w:val="22"/>
          <w:szCs w:val="22"/>
          <w:lang w:val="ro-RO" w:eastAsia="en-US"/>
        </w:rPr>
        <w:t>In: Abstracts of the  International conference Mathematics &amp; Information Technologies: Research and Education</w:t>
      </w:r>
      <w:r>
        <w:rPr>
          <w:sz w:val="22"/>
          <w:szCs w:val="22"/>
          <w:lang w:val="ro-RO" w:eastAsia="en-US"/>
        </w:rPr>
        <w:t xml:space="preserve"> (MITRE-2016), June 23-26, 2016, Chisinau, 61. </w:t>
      </w:r>
      <w:r>
        <w:rPr>
          <w:color w:val="131413"/>
          <w:sz w:val="22"/>
          <w:szCs w:val="22"/>
          <w:lang w:val="en-US"/>
        </w:rPr>
        <w:t xml:space="preserve">ISSN 978-9975-71-784-6. </w:t>
      </w:r>
    </w:p>
    <w:p>
      <w:pPr>
        <w:pStyle w:val="Normal"/>
        <w:widowControl/>
        <w:numPr>
          <w:ilvl w:val="0"/>
          <w:numId w:val="47"/>
        </w:numPr>
        <w:tabs>
          <w:tab w:val="left" w:pos="340" w:leader="none"/>
        </w:tabs>
        <w:bidi w:val="0"/>
        <w:ind w:left="340" w:right="0" w:hanging="0"/>
        <w:jc w:val="both"/>
        <w:textAlignment w:val="auto"/>
        <w:rPr>
          <w:lang w:val="en-US"/>
        </w:rPr>
      </w:pPr>
      <w:r>
        <w:rPr>
          <w:rFonts w:cs="Times New Roman CE" w:ascii="Times New Roman CE" w:hAnsi="Times New Roman CE"/>
          <w:sz w:val="22"/>
          <w:szCs w:val="22"/>
          <w:lang w:val="en-US" w:eastAsia="en-US"/>
        </w:rPr>
        <w:t xml:space="preserve"> </w:t>
      </w:r>
      <w:r>
        <w:rPr>
          <w:rFonts w:cs="Times New Roman CE" w:ascii="Times New Roman CE" w:hAnsi="Times New Roman CE"/>
          <w:sz w:val="22"/>
          <w:szCs w:val="22"/>
          <w:lang w:val="en-US" w:eastAsia="en-US"/>
        </w:rPr>
        <w:t>ŞUBĂ</w:t>
      </w:r>
      <w:r>
        <w:rPr>
          <w:sz w:val="22"/>
          <w:szCs w:val="22"/>
          <w:lang w:val="en-US" w:eastAsia="en-US"/>
        </w:rPr>
        <w:t>, A.;</w:t>
      </w:r>
      <w:r>
        <w:rPr>
          <w:rFonts w:cs="Times New Roman CE" w:ascii="Times New Roman CE" w:hAnsi="Times New Roman CE"/>
          <w:sz w:val="22"/>
          <w:szCs w:val="22"/>
          <w:lang w:val="en-US" w:eastAsia="en-US"/>
        </w:rPr>
        <w:t xml:space="preserve"> VACARAŞ</w:t>
      </w:r>
      <w:r>
        <w:rPr>
          <w:sz w:val="22"/>
          <w:szCs w:val="22"/>
          <w:lang w:val="en-US" w:eastAsia="en-US"/>
        </w:rPr>
        <w:t xml:space="preserve">, O. Cubic differential systems with two parallel complex invariant straight lines of multiplicity m(2;2;3), </w:t>
      </w:r>
      <w:r>
        <w:rPr>
          <w:i/>
          <w:sz w:val="22"/>
          <w:szCs w:val="22"/>
          <w:lang w:val="en-US" w:eastAsia="en-US"/>
        </w:rPr>
        <w:t>The 24</w:t>
      </w:r>
      <w:r>
        <w:rPr>
          <w:i/>
          <w:sz w:val="22"/>
          <w:szCs w:val="22"/>
          <w:vertAlign w:val="superscript"/>
          <w:lang w:val="en-US" w:eastAsia="en-US"/>
        </w:rPr>
        <w:t>th</w:t>
      </w:r>
      <w:r>
        <w:rPr>
          <w:i/>
          <w:sz w:val="22"/>
          <w:szCs w:val="22"/>
          <w:lang w:val="en-US" w:eastAsia="en-US"/>
        </w:rPr>
        <w:t xml:space="preserve"> Conference on Applied and Industrial Mathematics (CAIM-2016),</w:t>
      </w:r>
      <w:r>
        <w:rPr>
          <w:sz w:val="22"/>
          <w:szCs w:val="22"/>
          <w:lang w:val="en-US" w:eastAsia="en-US"/>
        </w:rPr>
        <w:t xml:space="preserve"> September 15-18, 2016, Craiova, România, 42-43.</w:t>
      </w:r>
    </w:p>
    <w:p>
      <w:pPr>
        <w:pStyle w:val="Normal"/>
        <w:widowControl/>
        <w:numPr>
          <w:ilvl w:val="0"/>
          <w:numId w:val="47"/>
        </w:numPr>
        <w:tabs>
          <w:tab w:val="left" w:pos="340" w:leader="none"/>
        </w:tabs>
        <w:bidi w:val="0"/>
        <w:ind w:left="340" w:right="0" w:hanging="0"/>
        <w:jc w:val="both"/>
        <w:textAlignment w:val="auto"/>
        <w:rPr>
          <w:lang w:val="en-US"/>
        </w:rPr>
      </w:pPr>
      <w:r>
        <w:rPr>
          <w:rFonts w:cs="Times New Roman CE" w:ascii="Times New Roman CE" w:hAnsi="Times New Roman CE"/>
          <w:sz w:val="22"/>
          <w:szCs w:val="22"/>
          <w:lang w:val="en-US" w:eastAsia="en-US"/>
        </w:rPr>
        <w:t xml:space="preserve"> </w:t>
      </w:r>
      <w:r>
        <w:rPr>
          <w:rFonts w:cs="Times New Roman CE" w:ascii="Times New Roman CE" w:hAnsi="Times New Roman CE"/>
          <w:sz w:val="22"/>
          <w:szCs w:val="22"/>
          <w:lang w:val="en-US" w:eastAsia="en-US"/>
        </w:rPr>
        <w:t>ŞUBĂ</w:t>
      </w:r>
      <w:r>
        <w:rPr>
          <w:sz w:val="22"/>
          <w:szCs w:val="22"/>
          <w:lang w:val="en-US" w:eastAsia="en-US"/>
        </w:rPr>
        <w:t>, A.;</w:t>
      </w:r>
      <w:r>
        <w:rPr>
          <w:rFonts w:cs="Times New Roman CE" w:ascii="Times New Roman CE" w:hAnsi="Times New Roman CE"/>
          <w:sz w:val="22"/>
          <w:szCs w:val="22"/>
          <w:lang w:val="en-US" w:eastAsia="en-US"/>
        </w:rPr>
        <w:t xml:space="preserve"> VACARAŞ</w:t>
      </w:r>
      <w:r>
        <w:rPr>
          <w:sz w:val="22"/>
          <w:szCs w:val="22"/>
          <w:lang w:val="en-US" w:eastAsia="en-US"/>
        </w:rPr>
        <w:t>, O. Maximal multiplicity of the line at infinity for cubic differential systems with two real non-parallel invariant straight lines, The International Scientific Conference Differential-Functional Equations and their Application, September 28-30, 2016, Chernivtsi, Ukraine, 135.</w:t>
      </w:r>
    </w:p>
    <w:p>
      <w:pPr>
        <w:pStyle w:val="Normal"/>
        <w:widowControl/>
        <w:numPr>
          <w:ilvl w:val="0"/>
          <w:numId w:val="47"/>
        </w:numPr>
        <w:tabs>
          <w:tab w:val="left" w:pos="340" w:leader="none"/>
        </w:tabs>
        <w:bidi w:val="0"/>
        <w:ind w:left="340" w:right="0" w:hanging="0"/>
        <w:jc w:val="both"/>
        <w:textAlignment w:val="auto"/>
        <w:rPr/>
      </w:pPr>
      <w:r>
        <w:rPr>
          <w:sz w:val="22"/>
          <w:szCs w:val="22"/>
          <w:lang w:val="en-US" w:eastAsia="en-US"/>
        </w:rPr>
        <w:t xml:space="preserve"> </w:t>
      </w:r>
      <w:r>
        <w:rPr>
          <w:sz w:val="22"/>
          <w:szCs w:val="22"/>
          <w:lang w:val="en-US" w:eastAsia="en-US"/>
        </w:rPr>
        <w:t xml:space="preserve">TURUTA, S., </w:t>
      </w:r>
      <w:r>
        <w:rPr>
          <w:sz w:val="22"/>
          <w:szCs w:val="22"/>
          <w:lang w:val="en-US"/>
        </w:rPr>
        <w:t>Daboux integrability of Lotka-Volterra cubic di</w:t>
      </w:r>
      <w:r>
        <w:rPr>
          <w:rFonts w:ascii="Cambria Math" w:hAnsi="Cambria Math"/>
          <w:sz w:val="22"/>
          <w:szCs w:val="22"/>
        </w:rPr>
        <w:t>ﬀ</w:t>
      </w:r>
      <w:r>
        <w:rPr>
          <w:sz w:val="22"/>
          <w:szCs w:val="22"/>
          <w:lang w:val="en-US"/>
        </w:rPr>
        <w:t xml:space="preserve">erential systems with 1:-2 resonant singularity and six straight lines of three directions. </w:t>
      </w:r>
      <w:r>
        <w:rPr>
          <w:i/>
          <w:sz w:val="22"/>
          <w:szCs w:val="22"/>
          <w:lang w:val="en-US"/>
        </w:rPr>
        <w:t>In: Abstracts of</w:t>
      </w:r>
      <w:r>
        <w:rPr>
          <w:sz w:val="22"/>
          <w:szCs w:val="22"/>
          <w:lang w:val="en-US"/>
        </w:rPr>
        <w:t xml:space="preserve"> t</w:t>
      </w:r>
      <w:r>
        <w:rPr>
          <w:i/>
          <w:sz w:val="22"/>
          <w:szCs w:val="22"/>
          <w:lang w:val="en-US" w:eastAsia="en-US"/>
        </w:rPr>
        <w:t>he 24</w:t>
      </w:r>
      <w:r>
        <w:rPr>
          <w:i/>
          <w:sz w:val="22"/>
          <w:szCs w:val="22"/>
          <w:vertAlign w:val="superscript"/>
          <w:lang w:val="en-US" w:eastAsia="en-US"/>
        </w:rPr>
        <w:t>th</w:t>
      </w:r>
      <w:r>
        <w:rPr>
          <w:i/>
          <w:sz w:val="22"/>
          <w:szCs w:val="22"/>
          <w:lang w:val="en-US" w:eastAsia="en-US"/>
        </w:rPr>
        <w:t xml:space="preserve"> Conference on Applied and Industrial Mathematics (CAIM-2016)</w:t>
      </w:r>
      <w:r>
        <w:rPr>
          <w:sz w:val="22"/>
          <w:szCs w:val="22"/>
          <w:lang w:val="en-US" w:eastAsia="en-US"/>
        </w:rPr>
        <w:t xml:space="preserve">, September 15-18, 2016, Craiova, România, 43-44. </w:t>
      </w:r>
    </w:p>
    <w:p>
      <w:pPr>
        <w:pStyle w:val="Normal"/>
        <w:widowControl/>
        <w:numPr>
          <w:ilvl w:val="0"/>
          <w:numId w:val="47"/>
        </w:numPr>
        <w:tabs>
          <w:tab w:val="left" w:pos="340" w:leader="none"/>
        </w:tabs>
        <w:bidi w:val="0"/>
        <w:ind w:left="340" w:right="0" w:hanging="0"/>
        <w:jc w:val="both"/>
        <w:textAlignment w:val="auto"/>
        <w:rPr>
          <w:lang w:val="en-US"/>
        </w:rPr>
      </w:pPr>
      <w:r>
        <w:rPr>
          <w:sz w:val="22"/>
          <w:szCs w:val="22"/>
          <w:lang w:val="en-US" w:eastAsia="en-US"/>
        </w:rPr>
        <w:t xml:space="preserve"> </w:t>
      </w:r>
      <w:r>
        <w:rPr>
          <w:sz w:val="22"/>
          <w:szCs w:val="22"/>
          <w:lang w:val="en-US" w:eastAsia="en-US"/>
        </w:rPr>
        <w:t xml:space="preserve">TURUTA,S. </w:t>
      </w:r>
      <w:r>
        <w:rPr>
          <w:sz w:val="22"/>
          <w:szCs w:val="22"/>
          <w:lang w:val="en-US"/>
        </w:rPr>
        <w:t>Classi</w:t>
      </w:r>
      <w:r>
        <w:rPr>
          <w:sz w:val="22"/>
          <w:szCs w:val="22"/>
        </w:rPr>
        <w:t>ﬁ</w:t>
      </w:r>
      <w:r>
        <w:rPr>
          <w:sz w:val="22"/>
          <w:szCs w:val="22"/>
          <w:lang w:val="en-US"/>
        </w:rPr>
        <w:t xml:space="preserve">cation of Lotka-Volterra cubic systems with 1:-2 singularity and straight lines of three directions and total multiplicity six, </w:t>
      </w:r>
      <w:r>
        <w:rPr>
          <w:i/>
          <w:sz w:val="22"/>
          <w:szCs w:val="22"/>
          <w:lang w:val="en-US"/>
        </w:rPr>
        <w:t>In: Abstracts of t</w:t>
      </w:r>
      <w:r>
        <w:rPr>
          <w:i/>
          <w:sz w:val="22"/>
          <w:szCs w:val="22"/>
          <w:lang w:val="en-US" w:eastAsia="en-US"/>
        </w:rPr>
        <w:t>he International Scientific Conference Differential-Functional Equations and their Application</w:t>
      </w:r>
      <w:r>
        <w:rPr>
          <w:sz w:val="22"/>
          <w:szCs w:val="22"/>
          <w:lang w:val="en-US" w:eastAsia="en-US"/>
        </w:rPr>
        <w:t>, September 28-30, 2016, Chernivtsi, Ukraine, 138.</w:t>
      </w:r>
    </w:p>
    <w:p>
      <w:pPr>
        <w:pStyle w:val="Normal"/>
        <w:widowControl/>
        <w:numPr>
          <w:ilvl w:val="0"/>
          <w:numId w:val="47"/>
        </w:numPr>
        <w:tabs>
          <w:tab w:val="left" w:pos="340" w:leader="none"/>
        </w:tabs>
        <w:bidi w:val="0"/>
        <w:ind w:left="340" w:right="0" w:hanging="0"/>
        <w:jc w:val="both"/>
        <w:textAlignment w:val="auto"/>
        <w:rPr>
          <w:lang w:val="ro-RO"/>
        </w:rPr>
      </w:pPr>
      <w:r>
        <w:rPr>
          <w:rFonts w:cs="Times New Roman CE" w:ascii="Times New Roman CE" w:hAnsi="Times New Roman CE"/>
          <w:sz w:val="22"/>
          <w:szCs w:val="22"/>
          <w:lang w:val="ro-RO" w:eastAsia="en-US"/>
        </w:rPr>
        <w:t xml:space="preserve">ŢĂRNĂ T. Problema de completitudine relativ la expresibilitate în logica modală EM4. </w:t>
      </w:r>
      <w:r>
        <w:rPr>
          <w:rFonts w:cs="Times New Roman CE" w:ascii="Times New Roman CE" w:hAnsi="Times New Roman CE"/>
          <w:i/>
          <w:sz w:val="22"/>
          <w:szCs w:val="22"/>
          <w:lang w:val="ro-RO" w:eastAsia="en-US"/>
        </w:rPr>
        <w:t>În: Materialele Atelierului Matematică şi Ştinţa Informaţiei, Conferinţa Ştiinţifică Internaţională a studenţilor şi masteranzilor “Viitorul ne aparţine”,</w:t>
      </w:r>
      <w:r>
        <w:rPr>
          <w:rFonts w:cs="Times New Roman CE" w:ascii="Times New Roman CE" w:hAnsi="Times New Roman CE"/>
          <w:sz w:val="22"/>
          <w:szCs w:val="22"/>
          <w:lang w:val="ro-RO" w:eastAsia="en-US"/>
        </w:rPr>
        <w:t xml:space="preserve"> Ediţia a VI-a dedicată aniversării a 70-a de la crearea primelor instituţii de cercetare şi a 55-a de la fondarea Academiei de Ştiinţe a Moldovei, Culegere de teze. Chişinău 2016,82.</w:t>
      </w:r>
    </w:p>
    <w:p>
      <w:pPr>
        <w:pStyle w:val="Normal"/>
        <w:widowControl/>
        <w:numPr>
          <w:ilvl w:val="0"/>
          <w:numId w:val="47"/>
        </w:numPr>
        <w:tabs>
          <w:tab w:val="left" w:pos="340" w:leader="none"/>
        </w:tabs>
        <w:bidi w:val="0"/>
        <w:ind w:left="340" w:right="0" w:hanging="0"/>
        <w:jc w:val="left"/>
        <w:textAlignment w:val="auto"/>
        <w:rPr>
          <w:lang w:val="en-US"/>
        </w:rPr>
      </w:pPr>
      <w:r>
        <w:rPr>
          <w:sz w:val="22"/>
          <w:szCs w:val="22"/>
          <w:lang w:val="en-US"/>
        </w:rPr>
        <w:t xml:space="preserve"> </w:t>
      </w:r>
      <w:r>
        <w:rPr>
          <w:rFonts w:ascii="Cambria Math" w:hAnsi="Cambria Math"/>
          <w:sz w:val="22"/>
          <w:szCs w:val="22"/>
          <w:lang w:val="en-US"/>
        </w:rPr>
        <w:t>Ș</w:t>
      </w:r>
      <w:r>
        <w:rPr>
          <w:rFonts w:cs="Times New Roman CE" w:ascii="Times New Roman CE" w:hAnsi="Times New Roman CE"/>
          <w:sz w:val="22"/>
          <w:szCs w:val="22"/>
          <w:lang w:val="en-US"/>
        </w:rPr>
        <w:t>UBĂ, A.</w:t>
      </w:r>
      <w:r>
        <w:rPr>
          <w:sz w:val="22"/>
          <w:szCs w:val="22"/>
          <w:lang w:val="en-US"/>
        </w:rPr>
        <w:t>; TURUTA, S. Integrability of Lotka-Volterra cubic systems with (1:-2)-singularity having six invariant straight lines of two directions.</w:t>
      </w:r>
      <w:r>
        <w:rPr>
          <w:i/>
          <w:sz w:val="22"/>
          <w:szCs w:val="22"/>
          <w:lang w:val="en-US"/>
        </w:rPr>
        <w:t xml:space="preserve"> In: Abstracts of t</w:t>
      </w:r>
      <w:r>
        <w:rPr>
          <w:i/>
          <w:sz w:val="22"/>
          <w:szCs w:val="22"/>
          <w:lang w:val="en-US" w:eastAsia="en-US"/>
        </w:rPr>
        <w:t xml:space="preserve">he </w:t>
      </w:r>
      <w:r>
        <w:rPr>
          <w:i/>
          <w:sz w:val="22"/>
          <w:szCs w:val="22"/>
          <w:lang w:val="en-US"/>
        </w:rPr>
        <w:t xml:space="preserve">International Conference "MITRE-2016", </w:t>
      </w:r>
      <w:r>
        <w:rPr>
          <w:rFonts w:cs="Times New Roman CE" w:ascii="Times New Roman CE" w:hAnsi="Times New Roman CE"/>
          <w:sz w:val="22"/>
          <w:szCs w:val="22"/>
          <w:lang w:val="en-US"/>
        </w:rPr>
        <w:t>Chişinău, June 23-2</w:t>
      </w:r>
      <w:r>
        <w:rPr>
          <w:sz w:val="22"/>
          <w:szCs w:val="22"/>
          <w:lang w:val="en-US"/>
        </w:rPr>
        <w:t xml:space="preserve">5, 2016, 65-66.  </w:t>
      </w:r>
      <w:r>
        <w:rPr>
          <w:color w:val="131413"/>
          <w:sz w:val="22"/>
          <w:szCs w:val="22"/>
          <w:lang w:val="en-US"/>
        </w:rPr>
        <w:t>ISSN 978-9975-71-784-6.</w:t>
      </w:r>
    </w:p>
    <w:p>
      <w:pPr>
        <w:pStyle w:val="Normal"/>
        <w:widowControl/>
        <w:numPr>
          <w:ilvl w:val="0"/>
          <w:numId w:val="47"/>
        </w:numPr>
        <w:tabs>
          <w:tab w:val="left" w:pos="340" w:leader="none"/>
        </w:tabs>
        <w:bidi w:val="0"/>
        <w:ind w:left="340" w:right="0" w:hanging="0"/>
        <w:jc w:val="left"/>
        <w:textAlignment w:val="auto"/>
        <w:rPr/>
      </w:pPr>
      <w:r>
        <w:rPr>
          <w:sz w:val="22"/>
          <w:szCs w:val="22"/>
          <w:lang w:val="en-US"/>
        </w:rPr>
        <w:t xml:space="preserve"> </w:t>
      </w:r>
      <w:r>
        <w:rPr>
          <w:sz w:val="22"/>
          <w:szCs w:val="22"/>
          <w:lang w:val="en-US"/>
        </w:rPr>
        <w:t>VACARA</w:t>
      </w:r>
      <w:r>
        <w:rPr>
          <w:rFonts w:ascii="Cambria Math" w:hAnsi="Cambria Math"/>
          <w:sz w:val="22"/>
          <w:szCs w:val="22"/>
          <w:lang w:val="en-US"/>
        </w:rPr>
        <w:t>Ș</w:t>
      </w:r>
      <w:r>
        <w:rPr>
          <w:sz w:val="22"/>
          <w:szCs w:val="22"/>
          <w:lang w:val="en-US"/>
        </w:rPr>
        <w:t xml:space="preserve">, O. Maximal multiplicity of the line at infinity for cubic differential systems with two real parallel invariant straight lines. </w:t>
      </w:r>
      <w:r>
        <w:rPr>
          <w:i/>
          <w:sz w:val="22"/>
          <w:szCs w:val="22"/>
          <w:lang w:val="en-US"/>
        </w:rPr>
        <w:t>In: Abstracts of t</w:t>
      </w:r>
      <w:r>
        <w:rPr>
          <w:i/>
          <w:sz w:val="22"/>
          <w:szCs w:val="22"/>
          <w:lang w:val="en-US" w:eastAsia="en-US"/>
        </w:rPr>
        <w:t xml:space="preserve">he </w:t>
      </w:r>
      <w:r>
        <w:rPr>
          <w:i/>
          <w:sz w:val="22"/>
          <w:szCs w:val="22"/>
          <w:lang w:val="en-US"/>
        </w:rPr>
        <w:t xml:space="preserve">International Conference "MITRE-2016", </w:t>
      </w:r>
      <w:r>
        <w:rPr>
          <w:rFonts w:cs="Times New Roman CE" w:ascii="Times New Roman CE" w:hAnsi="Times New Roman CE"/>
          <w:sz w:val="22"/>
          <w:szCs w:val="22"/>
          <w:lang w:val="en-US"/>
        </w:rPr>
        <w:t>Chişinău, June 23</w:t>
      </w:r>
      <w:r>
        <w:rPr>
          <w:sz w:val="22"/>
          <w:szCs w:val="22"/>
          <w:lang w:val="en-US"/>
        </w:rPr>
        <w:t>-25, 2016, 70.</w:t>
      </w:r>
      <w:r>
        <w:rPr>
          <w:color w:val="131413"/>
          <w:sz w:val="22"/>
          <w:szCs w:val="22"/>
          <w:lang w:val="en-US"/>
        </w:rPr>
        <w:t xml:space="preserve"> ISSN 978-9975-71-784-6.</w:t>
      </w:r>
    </w:p>
    <w:p>
      <w:pPr>
        <w:pStyle w:val="Normal"/>
        <w:widowControl/>
        <w:numPr>
          <w:ilvl w:val="0"/>
          <w:numId w:val="47"/>
        </w:numPr>
        <w:tabs>
          <w:tab w:val="left" w:pos="340" w:leader="none"/>
        </w:tabs>
        <w:bidi w:val="0"/>
        <w:ind w:left="340" w:right="0" w:hanging="0"/>
        <w:jc w:val="both"/>
        <w:textAlignment w:val="auto"/>
        <w:rPr>
          <w:lang w:val="ro-RO"/>
        </w:rPr>
      </w:pPr>
      <w:r>
        <w:rPr>
          <w:sz w:val="22"/>
          <w:szCs w:val="22"/>
          <w:lang w:val="ro-RO" w:eastAsia="en-US"/>
        </w:rPr>
        <w:t xml:space="preserve">ZAMORZAEVA, E.  On tilings of hyperbolic plane by 14-gons and 16-gons for translation group of genus 2. </w:t>
      </w:r>
      <w:r>
        <w:rPr>
          <w:i/>
          <w:sz w:val="22"/>
          <w:szCs w:val="22"/>
          <w:lang w:val="ro-RO" w:eastAsia="en-US"/>
        </w:rPr>
        <w:t>In: Abstracts of the  International conference Mathematics &amp; Information Technologies: Research and Education (MITRE-2016),</w:t>
      </w:r>
      <w:r>
        <w:rPr>
          <w:sz w:val="22"/>
          <w:szCs w:val="22"/>
          <w:lang w:val="ro-RO" w:eastAsia="en-US"/>
        </w:rPr>
        <w:t xml:space="preserve"> June 23-26, 2016, Chisinau, 72.</w:t>
      </w:r>
      <w:r>
        <w:rPr>
          <w:color w:val="131413"/>
          <w:sz w:val="22"/>
          <w:szCs w:val="22"/>
          <w:lang w:val="en-US"/>
        </w:rPr>
        <w:t xml:space="preserve"> ISSN 978-9975-71-784-6.</w:t>
      </w:r>
    </w:p>
    <w:p>
      <w:pPr>
        <w:pStyle w:val="Normal"/>
        <w:widowControl/>
        <w:numPr>
          <w:ilvl w:val="0"/>
          <w:numId w:val="47"/>
        </w:numPr>
        <w:tabs>
          <w:tab w:val="left" w:pos="340" w:leader="none"/>
        </w:tabs>
        <w:bidi w:val="0"/>
        <w:ind w:left="340" w:right="0" w:hanging="0"/>
        <w:jc w:val="both"/>
        <w:textAlignment w:val="auto"/>
        <w:rPr/>
      </w:pPr>
      <w:r>
        <w:rPr>
          <w:sz w:val="22"/>
          <w:szCs w:val="22"/>
          <w:lang w:val="ro-RO" w:eastAsia="en-US"/>
        </w:rPr>
        <w:t>АРНАУТОВ, В.И.; ЕРМАКОВА, Г.Н. Совершенствование математического образования – 2016: состояние и перспективы развития. In: Материалы  международной научно- методической конференции, 29-30 сентября, 2016, Тирасполь, 41-42.</w:t>
      </w:r>
    </w:p>
    <w:p>
      <w:pPr>
        <w:pStyle w:val="Normal"/>
        <w:widowControl/>
        <w:numPr>
          <w:ilvl w:val="0"/>
          <w:numId w:val="47"/>
        </w:numPr>
        <w:tabs>
          <w:tab w:val="left" w:pos="340" w:leader="none"/>
        </w:tabs>
        <w:bidi w:val="0"/>
        <w:ind w:left="340" w:right="0" w:hanging="0"/>
        <w:jc w:val="both"/>
        <w:textAlignment w:val="auto"/>
        <w:rPr/>
      </w:pPr>
      <w:r>
        <w:rPr>
          <w:sz w:val="22"/>
          <w:szCs w:val="22"/>
        </w:rPr>
        <w:t xml:space="preserve">ДРЮМА, В. Об интегрировании уравнений течения несжимаемой жидкости. </w:t>
      </w:r>
      <w:r>
        <w:rPr>
          <w:i/>
          <w:sz w:val="22"/>
          <w:szCs w:val="22"/>
        </w:rPr>
        <w:t xml:space="preserve">5-я Международная </w:t>
      </w:r>
      <w:r>
        <w:rPr>
          <w:i/>
          <w:sz w:val="22"/>
          <w:szCs w:val="22"/>
          <w:lang w:val="en-US"/>
        </w:rPr>
        <w:t>K</w:t>
      </w:r>
      <w:r>
        <w:rPr>
          <w:i/>
          <w:sz w:val="22"/>
          <w:szCs w:val="22"/>
        </w:rPr>
        <w:t>онференция “Проблемы математической и теоретической физики и математическое моделирование”</w:t>
      </w:r>
      <w:r>
        <w:rPr>
          <w:b/>
          <w:sz w:val="22"/>
          <w:szCs w:val="22"/>
        </w:rPr>
        <w:t xml:space="preserve">, </w:t>
      </w:r>
      <w:r>
        <w:rPr>
          <w:sz w:val="22"/>
          <w:szCs w:val="22"/>
        </w:rPr>
        <w:t xml:space="preserve">Сборник докладов, Москва, НИЯУ МИФИ, 5-7 </w:t>
      </w:r>
      <w:r>
        <w:rPr>
          <w:sz w:val="22"/>
          <w:szCs w:val="22"/>
          <w:lang w:val="ro-RO"/>
        </w:rPr>
        <w:t>a</w:t>
      </w:r>
      <w:r>
        <w:rPr>
          <w:sz w:val="22"/>
          <w:szCs w:val="22"/>
        </w:rPr>
        <w:t>преля, 2016,</w:t>
      </w:r>
      <w:r>
        <w:rPr>
          <w:sz w:val="22"/>
          <w:szCs w:val="22"/>
          <w:lang w:val="ro-RO"/>
        </w:rPr>
        <w:t xml:space="preserve"> </w:t>
      </w:r>
      <w:r>
        <w:rPr>
          <w:color w:val="000000"/>
          <w:sz w:val="22"/>
          <w:szCs w:val="22"/>
        </w:rPr>
        <w:t>49-52.</w:t>
      </w:r>
    </w:p>
    <w:p>
      <w:pPr>
        <w:pStyle w:val="Normal"/>
        <w:widowControl/>
        <w:numPr>
          <w:ilvl w:val="0"/>
          <w:numId w:val="47"/>
        </w:numPr>
        <w:tabs>
          <w:tab w:val="left" w:pos="340" w:leader="none"/>
        </w:tabs>
        <w:bidi w:val="0"/>
        <w:ind w:left="340" w:right="0" w:hanging="0"/>
        <w:jc w:val="both"/>
        <w:textAlignment w:val="auto"/>
        <w:rPr/>
      </w:pPr>
      <w:r>
        <w:rPr>
          <w:sz w:val="22"/>
          <w:szCs w:val="22"/>
        </w:rPr>
        <w:t xml:space="preserve"> </w:t>
      </w:r>
      <w:r>
        <w:rPr>
          <w:sz w:val="22"/>
          <w:szCs w:val="22"/>
        </w:rPr>
        <w:t>РУДЕНОК, А.Е.</w:t>
      </w:r>
      <w:r>
        <w:rPr>
          <w:sz w:val="22"/>
          <w:szCs w:val="22"/>
          <w:lang w:val="ro-RO"/>
        </w:rPr>
        <w:t>;</w:t>
      </w:r>
      <w:r>
        <w:rPr>
          <w:sz w:val="22"/>
          <w:szCs w:val="22"/>
        </w:rPr>
        <w:t xml:space="preserve"> ШУБЭ, А.С. Базис Гребнера идеала ляпуновских</w:t>
      </w:r>
      <w:r>
        <w:rPr>
          <w:sz w:val="22"/>
          <w:szCs w:val="22"/>
          <w:lang w:val="ro-RO"/>
        </w:rPr>
        <w:t xml:space="preserve"> </w:t>
      </w:r>
      <w:r>
        <w:rPr>
          <w:sz w:val="22"/>
          <w:szCs w:val="22"/>
        </w:rPr>
        <w:t xml:space="preserve">величин </w:t>
      </w:r>
      <w:r>
        <w:rPr>
          <w:sz w:val="22"/>
          <w:szCs w:val="22"/>
          <w:lang w:val="ro-RO"/>
        </w:rPr>
        <w:t>c</w:t>
      </w:r>
      <w:r>
        <w:rPr>
          <w:sz w:val="22"/>
          <w:szCs w:val="22"/>
        </w:rPr>
        <w:t>истемы</w:t>
      </w:r>
      <w:r>
        <w:rPr>
          <w:sz w:val="22"/>
          <w:szCs w:val="22"/>
          <w:lang w:val="ro-RO"/>
        </w:rPr>
        <w:t xml:space="preserve"> </w:t>
      </w:r>
      <w:r>
        <w:rPr>
          <w:sz w:val="22"/>
          <w:szCs w:val="22"/>
        </w:rPr>
        <w:t>Куклеса. </w:t>
      </w:r>
      <w:r>
        <w:rPr>
          <w:i/>
          <w:sz w:val="22"/>
          <w:szCs w:val="22"/>
        </w:rPr>
        <w:t>Шестые Богдановские чтения по обыкновенным дифференциальным уравнениям.</w:t>
      </w:r>
      <w:r>
        <w:rPr>
          <w:sz w:val="22"/>
          <w:szCs w:val="22"/>
        </w:rPr>
        <w:t xml:space="preserve"> Международная математическая конференция. Минск, 7-10 декабря 2015. Материалы конференции. Часть I. С. 86-87.</w:t>
      </w:r>
    </w:p>
    <w:p>
      <w:pPr>
        <w:pStyle w:val="Normal"/>
        <w:widowControl/>
        <w:bidi w:val="0"/>
        <w:ind w:left="343" w:right="0" w:hanging="0"/>
        <w:jc w:val="both"/>
        <w:textAlignment w:val="auto"/>
        <w:rPr>
          <w:rFonts w:ascii="Times New Roman" w:hAnsi="Times New Roman"/>
          <w:sz w:val="22"/>
          <w:szCs w:val="22"/>
          <w:lang w:val="en-US"/>
        </w:rPr>
      </w:pPr>
      <w:r>
        <w:rPr>
          <w:sz w:val="22"/>
          <w:szCs w:val="22"/>
          <w:lang w:val="en-US"/>
        </w:rPr>
      </w:r>
    </w:p>
    <w:p>
      <w:pPr>
        <w:pStyle w:val="Normal"/>
        <w:widowControl/>
        <w:suppressAutoHyphens w:val="true"/>
        <w:bidi w:val="0"/>
        <w:spacing w:before="0" w:after="80"/>
        <w:ind w:left="0" w:right="0" w:hanging="0"/>
        <w:jc w:val="both"/>
        <w:textAlignment w:val="auto"/>
        <w:rPr>
          <w:lang w:val="fr-FR"/>
        </w:rPr>
      </w:pPr>
      <w:r>
        <w:rPr>
          <w:rFonts w:cs="Times New Roman CE" w:ascii="Times New Roman CE" w:hAnsi="Times New Roman CE"/>
          <w:b/>
          <w:i/>
          <w:color w:val="131413"/>
          <w:lang w:val="fr-FR"/>
        </w:rPr>
        <w:t>Teze ale comunicărilor la congrese, conferinţe, simpozioane, culegeri ( internaţionale)</w:t>
      </w:r>
    </w:p>
    <w:p>
      <w:pPr>
        <w:pStyle w:val="Normal"/>
        <w:widowControl/>
        <w:numPr>
          <w:ilvl w:val="0"/>
          <w:numId w:val="37"/>
        </w:numPr>
        <w:tabs>
          <w:tab w:val="left" w:pos="343" w:leader="none"/>
        </w:tabs>
        <w:bidi w:val="0"/>
        <w:ind w:left="343" w:right="0" w:hanging="0"/>
        <w:jc w:val="both"/>
        <w:textAlignment w:val="auto"/>
        <w:rPr>
          <w:lang w:val="ro-RO"/>
        </w:rPr>
      </w:pPr>
      <w:r>
        <w:rPr>
          <w:sz w:val="22"/>
          <w:szCs w:val="22"/>
          <w:lang w:val="ro-RO"/>
        </w:rPr>
        <w:t>DRIUMA, V. “On the integration of incompressible fluid flows equations”, (</w:t>
      </w:r>
      <w:r>
        <w:rPr>
          <w:i/>
          <w:sz w:val="22"/>
          <w:szCs w:val="22"/>
          <w:lang w:val="ro-RO"/>
        </w:rPr>
        <w:t>Материалы XXII Международной конференции «Нелинейные задачи теории гидродинамической устойчивости и турбулентность»</w:t>
      </w:r>
      <w:r>
        <w:rPr>
          <w:sz w:val="22"/>
          <w:szCs w:val="22"/>
          <w:lang w:val="ro-RO"/>
        </w:rPr>
        <w:t xml:space="preserve">  14 −21 февраля  2016 г., Изд.-во Московского университета, 2016. 1 стр. (Электронное издание). ISBN 978-5-19-011132-3</w:t>
      </w:r>
    </w:p>
    <w:p>
      <w:pPr>
        <w:pStyle w:val="Normal"/>
        <w:widowControl/>
        <w:numPr>
          <w:ilvl w:val="0"/>
          <w:numId w:val="37"/>
        </w:numPr>
        <w:tabs>
          <w:tab w:val="left" w:pos="343" w:leader="none"/>
        </w:tabs>
        <w:suppressAutoHyphens w:val="true"/>
        <w:bidi w:val="0"/>
        <w:spacing w:before="0" w:after="60"/>
        <w:ind w:left="343" w:right="0" w:hanging="0"/>
        <w:jc w:val="both"/>
        <w:textAlignment w:val="auto"/>
        <w:rPr>
          <w:lang w:val="it-IT"/>
        </w:rPr>
      </w:pPr>
      <w:r>
        <w:rPr>
          <w:sz w:val="22"/>
          <w:szCs w:val="22"/>
          <w:lang w:val="it-IT"/>
        </w:rPr>
        <w:t xml:space="preserve">LOZOVANU, D. </w:t>
      </w:r>
      <w:r>
        <w:rPr>
          <w:sz w:val="22"/>
          <w:szCs w:val="22"/>
          <w:lang w:val="en-US"/>
        </w:rPr>
        <w:t xml:space="preserve">Determining stationary Nash equilibria for average stochastic games. </w:t>
      </w:r>
      <w:r>
        <w:rPr>
          <w:i/>
          <w:color w:val="131413"/>
          <w:sz w:val="22"/>
          <w:szCs w:val="22"/>
          <w:lang w:val="en-US"/>
        </w:rPr>
        <w:t>education (MITRE-2016)</w:t>
      </w:r>
      <w:r>
        <w:rPr>
          <w:rFonts w:cs="Times New Roman CE" w:ascii="Times New Roman CE" w:hAnsi="Times New Roman CE"/>
          <w:color w:val="131413"/>
          <w:sz w:val="22"/>
          <w:szCs w:val="22"/>
          <w:lang w:val="en-US"/>
        </w:rPr>
        <w:t>, Chişinău, Republica Moldova, 23–26 iunie 2016</w:t>
      </w:r>
      <w:r>
        <w:rPr>
          <w:color w:val="131413"/>
          <w:sz w:val="22"/>
          <w:szCs w:val="22"/>
          <w:lang w:val="en-US"/>
        </w:rPr>
        <w:t xml:space="preserve">, 93, ISSN 978-9975-71-784-6. </w:t>
      </w:r>
    </w:p>
    <w:p>
      <w:pPr>
        <w:pStyle w:val="Normal"/>
        <w:widowControl/>
        <w:numPr>
          <w:ilvl w:val="0"/>
          <w:numId w:val="37"/>
        </w:numPr>
        <w:tabs>
          <w:tab w:val="left" w:pos="343" w:leader="none"/>
        </w:tabs>
        <w:bidi w:val="0"/>
        <w:ind w:left="343" w:right="0" w:hanging="0"/>
        <w:jc w:val="both"/>
        <w:textAlignment w:val="auto"/>
        <w:rPr>
          <w:lang w:val="ro-RO"/>
        </w:rPr>
      </w:pPr>
      <w:r>
        <w:rPr>
          <w:sz w:val="22"/>
          <w:szCs w:val="22"/>
          <w:lang w:val="ro-RO"/>
        </w:rPr>
        <w:t>TITCHIEV, I. Modelling and verification of evacuation system using Time Petri nets in case of disaster, Proceedings of the 18-th International Conference System Analysis and Information Technology (SAIT 2016),  May 30 – June 2, 2016, Kyiv, Ukraine, 46-47.</w:t>
      </w:r>
    </w:p>
    <w:p>
      <w:pPr>
        <w:pStyle w:val="Normal"/>
        <w:widowControl/>
        <w:numPr>
          <w:ilvl w:val="0"/>
          <w:numId w:val="37"/>
        </w:numPr>
        <w:tabs>
          <w:tab w:val="left" w:pos="343" w:leader="none"/>
        </w:tabs>
        <w:bidi w:val="0"/>
        <w:ind w:left="343" w:right="0" w:hanging="0"/>
        <w:jc w:val="both"/>
        <w:textAlignment w:val="auto"/>
        <w:rPr/>
      </w:pPr>
      <w:r>
        <w:rPr>
          <w:sz w:val="22"/>
          <w:szCs w:val="22"/>
          <w:lang w:val="ro-RO"/>
        </w:rPr>
        <w:t>ПОПУКАЙЛО, В.С.; КОЖОКАРУ, С.К. Методы принятия решений в условиях малой выборки. Научный обозреватель, N3 (63), Уфа, Digital-Print, 2016, 79-80.</w:t>
      </w:r>
    </w:p>
    <w:p>
      <w:pPr>
        <w:pStyle w:val="Normal"/>
        <w:widowControl/>
        <w:numPr>
          <w:ilvl w:val="0"/>
          <w:numId w:val="37"/>
        </w:numPr>
        <w:tabs>
          <w:tab w:val="left" w:pos="343" w:leader="none"/>
        </w:tabs>
        <w:bidi w:val="0"/>
        <w:ind w:left="343" w:right="0" w:hanging="0"/>
        <w:jc w:val="both"/>
        <w:textAlignment w:val="auto"/>
        <w:rPr/>
      </w:pPr>
      <w:r>
        <w:rPr>
          <w:sz w:val="22"/>
          <w:szCs w:val="22"/>
          <w:lang w:val="ro-RO"/>
        </w:rPr>
        <w:t xml:space="preserve"> </w:t>
      </w:r>
      <w:r>
        <w:rPr>
          <w:sz w:val="22"/>
          <w:szCs w:val="22"/>
        </w:rPr>
        <w:t>РУДЕНОК, А.Е.</w:t>
      </w:r>
      <w:r>
        <w:rPr>
          <w:sz w:val="22"/>
          <w:szCs w:val="22"/>
          <w:lang w:val="ro-RO"/>
        </w:rPr>
        <w:t>;</w:t>
      </w:r>
      <w:r>
        <w:rPr>
          <w:sz w:val="22"/>
          <w:szCs w:val="22"/>
        </w:rPr>
        <w:t xml:space="preserve"> ШУБЭ, А.С. Базис Гребнера идеала ляпуновских</w:t>
      </w:r>
      <w:r>
        <w:rPr>
          <w:sz w:val="22"/>
          <w:szCs w:val="22"/>
          <w:lang w:val="ro-RO"/>
        </w:rPr>
        <w:t xml:space="preserve"> </w:t>
      </w:r>
      <w:r>
        <w:rPr>
          <w:sz w:val="22"/>
          <w:szCs w:val="22"/>
        </w:rPr>
        <w:t xml:space="preserve">величин </w:t>
      </w:r>
      <w:r>
        <w:rPr>
          <w:sz w:val="22"/>
          <w:szCs w:val="22"/>
          <w:lang w:val="ro-RO"/>
        </w:rPr>
        <w:t>c</w:t>
      </w:r>
      <w:r>
        <w:rPr>
          <w:sz w:val="22"/>
          <w:szCs w:val="22"/>
        </w:rPr>
        <w:t>истемы</w:t>
      </w:r>
      <w:r>
        <w:rPr>
          <w:sz w:val="22"/>
          <w:szCs w:val="22"/>
          <w:lang w:val="ro-RO"/>
        </w:rPr>
        <w:t xml:space="preserve"> </w:t>
      </w:r>
      <w:r>
        <w:rPr>
          <w:sz w:val="22"/>
          <w:szCs w:val="22"/>
        </w:rPr>
        <w:t>Куклеса. </w:t>
      </w:r>
      <w:r>
        <w:rPr>
          <w:i/>
          <w:sz w:val="22"/>
          <w:szCs w:val="22"/>
        </w:rPr>
        <w:t>Шестые Богдановские чтения по обыкновенным дифференциальным уравнениям.</w:t>
      </w:r>
      <w:r>
        <w:rPr>
          <w:sz w:val="22"/>
          <w:szCs w:val="22"/>
        </w:rPr>
        <w:t xml:space="preserve"> Международная математическая конференция. Минск, 7-10 декабря 2015. Материалы конференции. Часть I. 86-87.</w:t>
      </w:r>
    </w:p>
    <w:p>
      <w:pPr>
        <w:pStyle w:val="Normal"/>
        <w:widowControl/>
        <w:bidi w:val="0"/>
        <w:ind w:left="343" w:right="0" w:hanging="0"/>
        <w:jc w:val="both"/>
        <w:textAlignment w:val="auto"/>
        <w:rPr>
          <w:rFonts w:ascii="Times New Roman" w:hAnsi="Times New Roman"/>
          <w:lang w:val="ro-RO"/>
        </w:rPr>
      </w:pPr>
      <w:r>
        <w:rPr>
          <w:lang w:val="ro-RO"/>
        </w:rPr>
      </w:r>
    </w:p>
    <w:p>
      <w:pPr>
        <w:pStyle w:val="Normal"/>
        <w:widowControl/>
        <w:suppressAutoHyphens w:val="true"/>
        <w:bidi w:val="0"/>
        <w:spacing w:before="0" w:after="80"/>
        <w:ind w:left="0" w:right="0" w:hanging="0"/>
        <w:jc w:val="both"/>
        <w:textAlignment w:val="auto"/>
        <w:rPr>
          <w:lang w:val="fr-FR"/>
        </w:rPr>
      </w:pPr>
      <w:r>
        <w:rPr>
          <w:rFonts w:cs="Times New Roman CE" w:ascii="Times New Roman CE" w:hAnsi="Times New Roman CE"/>
          <w:b/>
          <w:i/>
          <w:color w:val="131413"/>
          <w:lang w:val="fr-FR"/>
        </w:rPr>
        <w:t>Teze ale comunicărilor la congrese, conferinţe, simpozioane, culegeri (naţionale cu participare  internaţională)</w:t>
      </w:r>
    </w:p>
    <w:p>
      <w:pPr>
        <w:pStyle w:val="ListParagraph"/>
        <w:widowControl/>
        <w:numPr>
          <w:ilvl w:val="0"/>
          <w:numId w:val="38"/>
        </w:numPr>
        <w:tabs>
          <w:tab w:val="left" w:pos="343" w:leader="none"/>
        </w:tabs>
        <w:bidi w:val="0"/>
        <w:spacing w:before="0" w:after="0"/>
        <w:ind w:left="343" w:right="0" w:hanging="0"/>
        <w:contextualSpacing/>
        <w:jc w:val="both"/>
        <w:textAlignment w:val="auto"/>
        <w:rPr>
          <w:lang w:val="en-US"/>
        </w:rPr>
      </w:pPr>
      <w:r>
        <w:rPr>
          <w:sz w:val="22"/>
          <w:szCs w:val="22"/>
          <w:lang w:val="en-US"/>
        </w:rPr>
        <w:t>ARNAUTOV, V.I.; ERMAKOVA, G.N. Lattice of all topologies of countable module over countable rings. International conference Mathematics &amp; Information Technologies: Research and Education (MITRE-2016), June 23-26, 2016, Chisinau, Abstracts, 4.</w:t>
      </w:r>
    </w:p>
    <w:p>
      <w:pPr>
        <w:pStyle w:val="ListParagraph"/>
        <w:widowControl/>
        <w:numPr>
          <w:ilvl w:val="0"/>
          <w:numId w:val="38"/>
        </w:numPr>
        <w:tabs>
          <w:tab w:val="left" w:pos="343" w:leader="none"/>
        </w:tabs>
        <w:bidi w:val="0"/>
        <w:spacing w:before="0" w:after="0"/>
        <w:ind w:left="343" w:right="0" w:hanging="0"/>
        <w:contextualSpacing/>
        <w:jc w:val="both"/>
        <w:textAlignment w:val="auto"/>
        <w:rPr>
          <w:lang w:val="en-US"/>
        </w:rPr>
      </w:pPr>
      <w:r>
        <w:rPr>
          <w:rFonts w:cs="Times New Roman CE" w:ascii="Times New Roman CE" w:hAnsi="Times New Roman CE"/>
          <w:sz w:val="22"/>
          <w:szCs w:val="22"/>
          <w:lang w:val="en-US"/>
        </w:rPr>
        <w:t>BUJAC, C.; VULPE, N. First integrals of cubic systems with the maximum number of invariant lines.International Conference "MITRE-2016", Chişinău,June 23-25, 2016 , 11.</w:t>
      </w:r>
    </w:p>
    <w:p>
      <w:pPr>
        <w:pStyle w:val="ListParagraph"/>
        <w:widowControl/>
        <w:numPr>
          <w:ilvl w:val="0"/>
          <w:numId w:val="38"/>
        </w:numPr>
        <w:tabs>
          <w:tab w:val="left" w:pos="343" w:leader="none"/>
        </w:tabs>
        <w:bidi w:val="0"/>
        <w:spacing w:before="0" w:after="0"/>
        <w:ind w:left="343" w:right="0" w:hanging="0"/>
        <w:contextualSpacing/>
        <w:jc w:val="both"/>
        <w:textAlignment w:val="auto"/>
        <w:rPr>
          <w:lang w:val="en-US"/>
        </w:rPr>
      </w:pPr>
      <w:r>
        <w:rPr>
          <w:sz w:val="22"/>
          <w:szCs w:val="22"/>
          <w:lang w:val="en-US"/>
        </w:rPr>
        <w:t>CALIN, Iu.; CIUBOTARU, S. GL(2, R)-comitants and Lyapunov quantities for bidimensional p</w:t>
      </w:r>
      <w:r>
        <w:rPr>
          <w:rFonts w:cs="Times New Roman CE" w:ascii="Times New Roman CE" w:hAnsi="Times New Roman CE"/>
          <w:sz w:val="22"/>
          <w:szCs w:val="22"/>
          <w:lang w:val="en-US"/>
        </w:rPr>
        <w:t>olynomial systems of differential equations with nonlinearities of the fourth degree. International Conference "MITRE-2016", Chişinău,  June 23-25, 2016, 22.</w:t>
      </w:r>
    </w:p>
    <w:p>
      <w:pPr>
        <w:pStyle w:val="ListParagraph"/>
        <w:widowControl/>
        <w:numPr>
          <w:ilvl w:val="0"/>
          <w:numId w:val="38"/>
        </w:numPr>
        <w:tabs>
          <w:tab w:val="left" w:pos="343" w:leader="none"/>
        </w:tabs>
        <w:bidi w:val="0"/>
        <w:spacing w:before="0" w:after="0"/>
        <w:ind w:left="343" w:right="0" w:hanging="0"/>
        <w:contextualSpacing/>
        <w:jc w:val="both"/>
        <w:textAlignment w:val="auto"/>
        <w:rPr>
          <w:lang w:val="fr-FR"/>
        </w:rPr>
      </w:pPr>
      <w:r>
        <w:rPr>
          <w:rFonts w:cs="Times New Roman CE" w:ascii="Times New Roman CE" w:hAnsi="Times New Roman CE"/>
          <w:sz w:val="22"/>
          <w:szCs w:val="22"/>
          <w:lang w:val="fr-FR"/>
        </w:rPr>
        <w:t xml:space="preserve">CIUBOTARU, C.; COJOCARU, S. ; DEMIDOVA, V. ; COLESNICOV, A. ; MALAHOV, L. ; UNGUR, Ş.  </w:t>
      </w:r>
      <w:r>
        <w:rPr>
          <w:sz w:val="22"/>
          <w:szCs w:val="22"/>
          <w:lang w:val="en-US"/>
        </w:rPr>
        <w:t>Converter for Romanian printed texts of the 18th-20th centuries. , In:  International Scientific Conference Mathematics &amp; IT: Research and Education MITRE-2016, Chisinau, 24-25 June 2016, 79.</w:t>
      </w:r>
    </w:p>
    <w:p>
      <w:pPr>
        <w:pStyle w:val="ListParagraph"/>
        <w:widowControl/>
        <w:numPr>
          <w:ilvl w:val="0"/>
          <w:numId w:val="38"/>
        </w:numPr>
        <w:tabs>
          <w:tab w:val="left" w:pos="343" w:leader="none"/>
        </w:tabs>
        <w:bidi w:val="0"/>
        <w:spacing w:before="0" w:after="0"/>
        <w:ind w:left="343" w:right="0" w:hanging="0"/>
        <w:contextualSpacing/>
        <w:jc w:val="both"/>
        <w:textAlignment w:val="auto"/>
        <w:rPr/>
      </w:pPr>
      <w:r>
        <w:rPr>
          <w:sz w:val="22"/>
          <w:szCs w:val="22"/>
          <w:lang w:val="en-US"/>
        </w:rPr>
        <w:t>CIUBOTARU, S.; CALIN, Iu.  The center conditions for a class of bidimensional polynomial systems of differential equations with nonlinearities of the fourth degree. In:  International Scientific Conference Mathematics &amp; IT: Research and Education MITRE-2016, Chisinau, 24-25 June 2016, 84.</w:t>
      </w:r>
    </w:p>
    <w:p>
      <w:pPr>
        <w:pStyle w:val="ListParagraph"/>
        <w:widowControl/>
        <w:numPr>
          <w:ilvl w:val="0"/>
          <w:numId w:val="38"/>
        </w:numPr>
        <w:tabs>
          <w:tab w:val="left" w:pos="343" w:leader="none"/>
        </w:tabs>
        <w:bidi w:val="0"/>
        <w:spacing w:before="0" w:after="0"/>
        <w:ind w:left="343" w:right="0" w:hanging="0"/>
        <w:contextualSpacing/>
        <w:jc w:val="both"/>
        <w:textAlignment w:val="auto"/>
        <w:rPr/>
      </w:pPr>
      <w:r>
        <w:rPr>
          <w:sz w:val="22"/>
          <w:szCs w:val="22"/>
          <w:lang w:val="en-US"/>
        </w:rPr>
        <w:t>COJUHARI, E.  On generalized monoid  ring</w:t>
      </w:r>
      <w:r>
        <w:rPr>
          <w:rFonts w:cs="Times New Roman CE" w:ascii="Times New Roman CE" w:hAnsi="Times New Roman CE"/>
          <w:sz w:val="22"/>
          <w:szCs w:val="22"/>
          <w:lang w:val="en-US"/>
        </w:rPr>
        <w:t xml:space="preserve">s. Conferinţa tehnico-stiinţifică a colaboratorilor, doctoranzilor şi studenţilor, noiembrie 2015, Universitatea Tehnică a Moldovei, Chişinău, v.III, pp.208-209. </w:t>
      </w:r>
    </w:p>
    <w:p>
      <w:pPr>
        <w:pStyle w:val="ListParagraph"/>
        <w:widowControl/>
        <w:numPr>
          <w:ilvl w:val="0"/>
          <w:numId w:val="38"/>
        </w:numPr>
        <w:tabs>
          <w:tab w:val="left" w:pos="343" w:leader="none"/>
        </w:tabs>
        <w:bidi w:val="0"/>
        <w:spacing w:before="0" w:after="0"/>
        <w:ind w:left="343" w:right="0" w:hanging="0"/>
        <w:contextualSpacing/>
        <w:jc w:val="both"/>
        <w:textAlignment w:val="auto"/>
        <w:rPr/>
      </w:pPr>
      <w:r>
        <w:rPr>
          <w:rFonts w:cs="Times New Roman CE" w:ascii="Times New Roman CE" w:hAnsi="Times New Roman CE"/>
          <w:sz w:val="22"/>
          <w:szCs w:val="22"/>
          <w:lang w:val="en-US"/>
        </w:rPr>
        <w:t>CORLAT, A. Pregătirea viitorilor matematicieni. In:  International Scientific Conference Math</w:t>
      </w:r>
      <w:r>
        <w:rPr>
          <w:sz w:val="22"/>
          <w:szCs w:val="22"/>
          <w:lang w:val="en-US"/>
        </w:rPr>
        <w:t>ematics&amp;IT:Research and Education MITRE-2016, Chisinau, 24-25 June 2016, 98.</w:t>
      </w:r>
    </w:p>
    <w:p>
      <w:pPr>
        <w:pStyle w:val="ListParagraph"/>
        <w:widowControl/>
        <w:numPr>
          <w:ilvl w:val="0"/>
          <w:numId w:val="38"/>
        </w:numPr>
        <w:tabs>
          <w:tab w:val="left" w:pos="343" w:leader="none"/>
        </w:tabs>
        <w:bidi w:val="0"/>
        <w:spacing w:before="0" w:after="0"/>
        <w:ind w:left="343" w:right="0" w:hanging="0"/>
        <w:contextualSpacing/>
        <w:jc w:val="both"/>
        <w:textAlignment w:val="auto"/>
        <w:rPr/>
      </w:pPr>
      <w:r>
        <w:rPr>
          <w:sz w:val="22"/>
          <w:szCs w:val="22"/>
          <w:lang w:val="en-US"/>
        </w:rPr>
        <w:t>DAMIAN, F. Involutions without fixed points on manifolds.  International conference Mathematics &amp; Information Technologies: Research and Education (MITRE-2016), June , 2016, Chisinau, Abstracts, 27.</w:t>
      </w:r>
    </w:p>
    <w:p>
      <w:pPr>
        <w:pStyle w:val="ListParagraph"/>
        <w:widowControl/>
        <w:numPr>
          <w:ilvl w:val="0"/>
          <w:numId w:val="38"/>
        </w:numPr>
        <w:tabs>
          <w:tab w:val="left" w:pos="343" w:leader="none"/>
        </w:tabs>
        <w:bidi w:val="0"/>
        <w:spacing w:before="0" w:after="0"/>
        <w:ind w:left="343" w:right="0" w:hanging="0"/>
        <w:contextualSpacing/>
        <w:jc w:val="both"/>
        <w:textAlignment w:val="auto"/>
        <w:rPr/>
      </w:pPr>
      <w:r>
        <w:rPr>
          <w:sz w:val="22"/>
          <w:szCs w:val="22"/>
          <w:lang w:val="en-US"/>
        </w:rPr>
        <w:t>DEMIDOVA, V. ; BURTSEVA, L. On digitalization of cultural heritage of historical Romanian Cyrillic texts, In:  International Scientific Conference Mathematics &amp; IT: Research and Education MITRE-2016, Chisinau, 24-25 June 2016, 82.</w:t>
      </w:r>
    </w:p>
    <w:p>
      <w:pPr>
        <w:pStyle w:val="ListParagraph"/>
        <w:widowControl/>
        <w:numPr>
          <w:ilvl w:val="0"/>
          <w:numId w:val="38"/>
        </w:numPr>
        <w:tabs>
          <w:tab w:val="left" w:pos="343" w:leader="none"/>
        </w:tabs>
        <w:bidi w:val="0"/>
        <w:spacing w:before="0" w:after="0"/>
        <w:ind w:left="343" w:right="0" w:hanging="0"/>
        <w:contextualSpacing/>
        <w:jc w:val="both"/>
        <w:textAlignment w:val="auto"/>
        <w:rPr/>
      </w:pPr>
      <w:r>
        <w:rPr>
          <w:sz w:val="22"/>
          <w:szCs w:val="22"/>
          <w:lang w:val="en-US"/>
        </w:rPr>
        <w:t>DRIUMA, V. On solving equations of flows of incompressible liquids. International Conference "MITRE-2016",  Chisinau,  June 23-25, 2016, 28.</w:t>
      </w:r>
    </w:p>
    <w:p>
      <w:pPr>
        <w:pStyle w:val="ListParagraph"/>
        <w:widowControl/>
        <w:numPr>
          <w:ilvl w:val="0"/>
          <w:numId w:val="38"/>
        </w:numPr>
        <w:tabs>
          <w:tab w:val="left" w:pos="343" w:leader="none"/>
        </w:tabs>
        <w:suppressAutoHyphens w:val="true"/>
        <w:bidi w:val="0"/>
        <w:spacing w:lineRule="auto" w:line="276" w:before="0" w:after="0"/>
        <w:ind w:left="343" w:right="0" w:hanging="0"/>
        <w:contextualSpacing/>
        <w:jc w:val="both"/>
        <w:textAlignment w:val="auto"/>
        <w:rPr>
          <w:lang w:val="ro-RO"/>
        </w:rPr>
      </w:pPr>
      <w:r>
        <w:rPr>
          <w:iCs/>
          <w:sz w:val="22"/>
          <w:szCs w:val="22"/>
          <w:lang w:val="ro-RO" w:eastAsia="ro-RO"/>
        </w:rPr>
        <w:t>DUMBRAVEANU, R.; PETIC, M. Softcrates application and its mathematical aspects, In: Book of Abstract International Scien</w:t>
      </w:r>
      <w:r>
        <w:rPr>
          <w:rFonts w:cs="Times New Roman CE" w:ascii="Times New Roman CE" w:hAnsi="Times New Roman CE"/>
          <w:iCs/>
          <w:sz w:val="22"/>
          <w:szCs w:val="22"/>
          <w:lang w:val="ro-RO" w:eastAsia="ro-RO"/>
        </w:rPr>
        <w:t>tific Conference Mathematics &amp; IT: Research and Education MITRE-2016, Chişinău, 24-25 June 2016, 29-30.</w:t>
      </w:r>
    </w:p>
    <w:p>
      <w:pPr>
        <w:pStyle w:val="ListParagraph"/>
        <w:widowControl/>
        <w:numPr>
          <w:ilvl w:val="0"/>
          <w:numId w:val="38"/>
        </w:numPr>
        <w:tabs>
          <w:tab w:val="left" w:pos="343" w:leader="none"/>
        </w:tabs>
        <w:bidi w:val="0"/>
        <w:spacing w:before="0" w:after="0"/>
        <w:ind w:left="343" w:right="0" w:hanging="0"/>
        <w:contextualSpacing/>
        <w:jc w:val="both"/>
        <w:textAlignment w:val="auto"/>
        <w:rPr>
          <w:lang w:val="en-US"/>
        </w:rPr>
      </w:pPr>
      <w:r>
        <w:rPr>
          <w:sz w:val="22"/>
          <w:szCs w:val="22"/>
          <w:lang w:val="en-US"/>
        </w:rPr>
        <w:t>GUTSUL, I. On octahedral manifolds and their completions. International conference Mathematics &amp; Information Technologies: Research and Education (MITRE-2016), June, 2016, Chisinau, Abstracts,  32.</w:t>
      </w:r>
    </w:p>
    <w:p>
      <w:pPr>
        <w:pStyle w:val="ListParagraph"/>
        <w:widowControl/>
        <w:numPr>
          <w:ilvl w:val="0"/>
          <w:numId w:val="38"/>
        </w:numPr>
        <w:tabs>
          <w:tab w:val="left" w:pos="343" w:leader="none"/>
        </w:tabs>
        <w:bidi w:val="0"/>
        <w:spacing w:before="0" w:after="0"/>
        <w:ind w:left="343" w:right="0" w:hanging="0"/>
        <w:contextualSpacing/>
        <w:jc w:val="both"/>
        <w:textAlignment w:val="auto"/>
        <w:rPr>
          <w:lang w:val="en-US"/>
        </w:rPr>
      </w:pPr>
      <w:r>
        <w:rPr>
          <w:rFonts w:cs="Times New Roman CE" w:ascii="Times New Roman CE" w:hAnsi="Times New Roman CE"/>
          <w:sz w:val="22"/>
          <w:szCs w:val="22"/>
          <w:lang w:val="en-US"/>
        </w:rPr>
        <w:t>GUŢULEAC, E.; SECRIERU, G. Numerical vulnerability assessment of hazardous materials storage under dynamic load. The International Conference „Mathematics &amp; IT: Research and Education (MITRE-2016)", Chişinău, R</w:t>
      </w:r>
      <w:r>
        <w:rPr>
          <w:sz w:val="22"/>
          <w:szCs w:val="22"/>
          <w:lang w:val="en-US"/>
        </w:rPr>
        <w:t>epublica Moldova, 23–26 iunie 2016.</w:t>
      </w:r>
    </w:p>
    <w:p>
      <w:pPr>
        <w:pStyle w:val="ListParagraph"/>
        <w:widowControl/>
        <w:numPr>
          <w:ilvl w:val="0"/>
          <w:numId w:val="38"/>
        </w:numPr>
        <w:tabs>
          <w:tab w:val="left" w:pos="343" w:leader="none"/>
        </w:tabs>
        <w:bidi w:val="0"/>
        <w:spacing w:before="0" w:after="0"/>
        <w:ind w:left="343" w:right="0" w:hanging="0"/>
        <w:contextualSpacing/>
        <w:jc w:val="both"/>
        <w:textAlignment w:val="auto"/>
        <w:rPr>
          <w:lang w:val="en-US"/>
        </w:rPr>
      </w:pPr>
      <w:r>
        <w:rPr>
          <w:sz w:val="22"/>
          <w:szCs w:val="22"/>
          <w:lang w:val="en-US"/>
        </w:rPr>
        <w:t>IZBASH, V.; LUCHIAN,M. Generalizing Sierpi ´ nski’s theorem to multisorted operations. International conference Mathematics &amp; Information Technologies: Research and Education (MITRE-2016), June 23-26, 2016, Chisinau, Abstracts, 37.</w:t>
      </w:r>
    </w:p>
    <w:p>
      <w:pPr>
        <w:pStyle w:val="ListParagraph"/>
        <w:widowControl/>
        <w:numPr>
          <w:ilvl w:val="0"/>
          <w:numId w:val="38"/>
        </w:numPr>
        <w:tabs>
          <w:tab w:val="left" w:pos="343" w:leader="none"/>
        </w:tabs>
        <w:bidi w:val="0"/>
        <w:spacing w:before="0" w:after="0"/>
        <w:ind w:left="343" w:right="0" w:hanging="0"/>
        <w:contextualSpacing/>
        <w:jc w:val="both"/>
        <w:textAlignment w:val="auto"/>
        <w:rPr/>
      </w:pPr>
      <w:r>
        <w:rPr>
          <w:sz w:val="22"/>
          <w:szCs w:val="22"/>
          <w:lang w:val="en-US"/>
        </w:rPr>
        <w:t>JARDAN, I. On a new operation in the class of preradicals of modules. International conference Mathematics &amp; Information Technologies: Research and Education (MITRE-2016), June 23-26, 2016, Chisinau, Abstracts, 38.</w:t>
      </w:r>
    </w:p>
    <w:p>
      <w:pPr>
        <w:pStyle w:val="ListParagraph"/>
        <w:widowControl/>
        <w:numPr>
          <w:ilvl w:val="0"/>
          <w:numId w:val="38"/>
        </w:numPr>
        <w:tabs>
          <w:tab w:val="left" w:pos="343" w:leader="none"/>
        </w:tabs>
        <w:bidi w:val="0"/>
        <w:spacing w:before="0" w:after="0"/>
        <w:ind w:left="343" w:right="0" w:hanging="0"/>
        <w:contextualSpacing/>
        <w:jc w:val="both"/>
        <w:textAlignment w:val="auto"/>
        <w:rPr/>
      </w:pPr>
      <w:r>
        <w:rPr>
          <w:sz w:val="22"/>
          <w:szCs w:val="22"/>
          <w:lang w:val="en-US"/>
        </w:rPr>
        <w:t>KASHU, A.I. On closure operators in categories of modules ( an overview). International conference Mathematics &amp; Information Technologies: Research and Education (MITRE-2016), June 23-26, 2016, Chisinau, Abstracts,  39.</w:t>
      </w:r>
    </w:p>
    <w:p>
      <w:pPr>
        <w:pStyle w:val="ListParagraph"/>
        <w:widowControl/>
        <w:numPr>
          <w:ilvl w:val="0"/>
          <w:numId w:val="38"/>
        </w:numPr>
        <w:tabs>
          <w:tab w:val="left" w:pos="343" w:leader="none"/>
        </w:tabs>
        <w:bidi w:val="0"/>
        <w:spacing w:before="0" w:after="0"/>
        <w:ind w:left="343" w:right="0" w:hanging="0"/>
        <w:contextualSpacing/>
        <w:jc w:val="both"/>
        <w:textAlignment w:val="auto"/>
        <w:rPr>
          <w:lang w:val="en-US"/>
        </w:rPr>
      </w:pPr>
      <w:r>
        <w:rPr>
          <w:sz w:val="22"/>
          <w:szCs w:val="22"/>
          <w:lang w:val="en-US"/>
        </w:rPr>
        <w:t>LOZOVANU, D. Determining stationary Nash equilibria for average stochastic games. În: Abstractts of conference MITRE-2016, Chisinau, USM, 2016,  93.</w:t>
      </w:r>
    </w:p>
    <w:p>
      <w:pPr>
        <w:pStyle w:val="ListParagraph"/>
        <w:widowControl/>
        <w:numPr>
          <w:ilvl w:val="0"/>
          <w:numId w:val="38"/>
        </w:numPr>
        <w:tabs>
          <w:tab w:val="left" w:pos="343" w:leader="none"/>
        </w:tabs>
        <w:bidi w:val="0"/>
        <w:spacing w:before="0" w:after="0"/>
        <w:ind w:left="343" w:right="0" w:hanging="0"/>
        <w:contextualSpacing/>
        <w:jc w:val="both"/>
        <w:textAlignment w:val="auto"/>
        <w:rPr>
          <w:lang w:val="en-US"/>
        </w:rPr>
      </w:pPr>
      <w:r>
        <w:rPr>
          <w:sz w:val="22"/>
          <w:szCs w:val="22"/>
          <w:lang w:val="en-US"/>
        </w:rPr>
        <w:t>MACARI, D. Informational tool for portal hypertension assessment. In:  International Scientific Conference Mathematics &amp; IT: Research and Education MITRE-2016, Chisinau, 24-25 June 2016. 84.</w:t>
      </w:r>
    </w:p>
    <w:p>
      <w:pPr>
        <w:pStyle w:val="ListParagraph"/>
        <w:widowControl/>
        <w:numPr>
          <w:ilvl w:val="0"/>
          <w:numId w:val="38"/>
        </w:numPr>
        <w:tabs>
          <w:tab w:val="left" w:pos="343" w:leader="none"/>
        </w:tabs>
        <w:bidi w:val="0"/>
        <w:spacing w:before="0" w:after="0"/>
        <w:ind w:left="343" w:right="0" w:hanging="0"/>
        <w:contextualSpacing/>
        <w:jc w:val="both"/>
        <w:textAlignment w:val="auto"/>
        <w:rPr>
          <w:lang w:val="en-US"/>
        </w:rPr>
      </w:pPr>
      <w:r>
        <w:rPr>
          <w:sz w:val="22"/>
          <w:szCs w:val="22"/>
          <w:lang w:val="en-US"/>
        </w:rPr>
        <w:t>MAGARIU, G.; VERLAN T. Stroke predictive models overview: input and output parameters, underlying dataset and predictive value. , In:  International Scientific Conference Mathematics &amp; IT: Research and Education MITRE-2016, Chisinau, 24-25 June 2016. 29.</w:t>
      </w:r>
    </w:p>
    <w:p>
      <w:pPr>
        <w:pStyle w:val="ListParagraph"/>
        <w:widowControl/>
        <w:numPr>
          <w:ilvl w:val="0"/>
          <w:numId w:val="38"/>
        </w:numPr>
        <w:tabs>
          <w:tab w:val="left" w:pos="343" w:leader="none"/>
        </w:tabs>
        <w:bidi w:val="0"/>
        <w:spacing w:before="0" w:after="0"/>
        <w:ind w:left="343" w:right="0" w:hanging="0"/>
        <w:contextualSpacing/>
        <w:jc w:val="both"/>
        <w:textAlignment w:val="auto"/>
        <w:rPr>
          <w:lang w:val="ro-RO"/>
        </w:rPr>
      </w:pPr>
      <w:r>
        <w:rPr>
          <w:rFonts w:cs="Times New Roman CE" w:ascii="Times New Roman CE" w:hAnsi="Times New Roman CE"/>
          <w:sz w:val="22"/>
          <w:szCs w:val="22"/>
          <w:lang w:val="ro-RO"/>
        </w:rPr>
        <w:t>MIŞCOI, GH. Conferinţa “Dezvoltarea durabila a economiei şi societăţii în era Cunoasterii şi a Globalizării”, Chişinău, ULIM, 2016.</w:t>
      </w:r>
    </w:p>
    <w:p>
      <w:pPr>
        <w:pStyle w:val="ListParagraph"/>
        <w:widowControl/>
        <w:numPr>
          <w:ilvl w:val="0"/>
          <w:numId w:val="38"/>
        </w:numPr>
        <w:tabs>
          <w:tab w:val="left" w:pos="343" w:leader="none"/>
        </w:tabs>
        <w:bidi w:val="0"/>
        <w:spacing w:before="0" w:after="0"/>
        <w:ind w:left="343" w:right="0" w:hanging="0"/>
        <w:contextualSpacing/>
        <w:jc w:val="both"/>
        <w:textAlignment w:val="auto"/>
        <w:rPr>
          <w:lang w:val="en-US"/>
        </w:rPr>
      </w:pPr>
      <w:r>
        <w:rPr>
          <w:rFonts w:cs="Times New Roman CE" w:ascii="Times New Roman CE" w:hAnsi="Times New Roman CE"/>
          <w:sz w:val="22"/>
          <w:szCs w:val="22"/>
          <w:lang w:val="en-US"/>
        </w:rPr>
        <w:t>MIŞCOI, GH. Evaluation algorithms of the waiting time of ships in a seaport. Conferinţa MITRE –2016, 24-26 iunie, USM.</w:t>
      </w:r>
    </w:p>
    <w:p>
      <w:pPr>
        <w:pStyle w:val="ListParagraph"/>
        <w:widowControl/>
        <w:numPr>
          <w:ilvl w:val="0"/>
          <w:numId w:val="38"/>
        </w:numPr>
        <w:tabs>
          <w:tab w:val="left" w:pos="343" w:leader="none"/>
        </w:tabs>
        <w:bidi w:val="0"/>
        <w:spacing w:before="0" w:after="0"/>
        <w:ind w:left="343" w:right="0" w:hanging="0"/>
        <w:contextualSpacing/>
        <w:jc w:val="both"/>
        <w:textAlignment w:val="auto"/>
        <w:rPr>
          <w:lang w:val="en-US"/>
        </w:rPr>
      </w:pPr>
      <w:r>
        <w:rPr>
          <w:rFonts w:cs="Times New Roman CE" w:ascii="Times New Roman CE" w:hAnsi="Times New Roman CE"/>
          <w:sz w:val="22"/>
          <w:szCs w:val="22"/>
          <w:lang w:val="en-US"/>
        </w:rPr>
        <w:t>MIŞCOI, GH.; COSTEA, A.; ŢICU, R. Evaluation algorithms of the waiting time of ships in a seaport. In:  International Scientific Conference Mathematics &amp; IT: Research and Education MITRE-2016, Chisinau, 24-25 June 2016. 45.</w:t>
      </w:r>
    </w:p>
    <w:p>
      <w:pPr>
        <w:pStyle w:val="ListParagraph"/>
        <w:widowControl/>
        <w:numPr>
          <w:ilvl w:val="0"/>
          <w:numId w:val="38"/>
        </w:numPr>
        <w:tabs>
          <w:tab w:val="left" w:pos="343" w:leader="none"/>
        </w:tabs>
        <w:bidi w:val="0"/>
        <w:spacing w:before="0" w:after="0"/>
        <w:ind w:left="343" w:right="0" w:hanging="0"/>
        <w:contextualSpacing/>
        <w:jc w:val="both"/>
        <w:textAlignment w:val="auto"/>
        <w:rPr>
          <w:lang w:val="en-US"/>
        </w:rPr>
      </w:pPr>
      <w:r>
        <w:rPr>
          <w:sz w:val="22"/>
          <w:szCs w:val="22"/>
          <w:lang w:val="en-US"/>
        </w:rPr>
        <w:t>NEAGU, N. On the compactness of certain integral operators. In:  International Scientific Conference Mathematics &amp; IT: Research and Education MITRE-2016, Chisinau, 24-25 June 2016. 47.</w:t>
      </w:r>
    </w:p>
    <w:p>
      <w:pPr>
        <w:pStyle w:val="ListParagraph"/>
        <w:widowControl/>
        <w:numPr>
          <w:ilvl w:val="0"/>
          <w:numId w:val="38"/>
        </w:numPr>
        <w:tabs>
          <w:tab w:val="left" w:pos="343" w:leader="none"/>
        </w:tabs>
        <w:bidi w:val="0"/>
        <w:spacing w:before="0" w:after="0"/>
        <w:ind w:left="343" w:right="0" w:hanging="0"/>
        <w:contextualSpacing/>
        <w:jc w:val="both"/>
        <w:textAlignment w:val="auto"/>
        <w:rPr>
          <w:lang w:val="en-US"/>
        </w:rPr>
      </w:pPr>
      <w:r>
        <w:rPr>
          <w:sz w:val="22"/>
          <w:szCs w:val="22"/>
          <w:lang w:val="en-US"/>
        </w:rPr>
        <w:t xml:space="preserve">NEAGU, N.; POPA, M. Lie algebras of ternary differential systems with quadratic nonlinearities of the Darboux form and applications. International </w:t>
      </w:r>
      <w:r>
        <w:rPr>
          <w:rFonts w:cs="Times New Roman CE" w:ascii="Times New Roman CE" w:hAnsi="Times New Roman CE"/>
          <w:sz w:val="22"/>
          <w:szCs w:val="22"/>
          <w:lang w:val="en-US"/>
        </w:rPr>
        <w:t xml:space="preserve">Conference "MITRE-2016",  Chişinău,  June 23-25, 2016, 46. </w:t>
      </w:r>
    </w:p>
    <w:p>
      <w:pPr>
        <w:pStyle w:val="ListParagraph"/>
        <w:widowControl/>
        <w:numPr>
          <w:ilvl w:val="0"/>
          <w:numId w:val="38"/>
        </w:numPr>
        <w:tabs>
          <w:tab w:val="left" w:pos="343" w:leader="none"/>
        </w:tabs>
        <w:bidi w:val="0"/>
        <w:spacing w:before="0" w:after="0"/>
        <w:ind w:left="343" w:right="0" w:hanging="0"/>
        <w:contextualSpacing/>
        <w:jc w:val="both"/>
        <w:textAlignment w:val="auto"/>
        <w:rPr/>
      </w:pPr>
      <w:r>
        <w:rPr>
          <w:rFonts w:cs="Times New Roman CE" w:ascii="Times New Roman CE" w:hAnsi="Times New Roman CE"/>
          <w:sz w:val="22"/>
          <w:szCs w:val="22"/>
          <w:lang w:val="en-US"/>
        </w:rPr>
        <w:t xml:space="preserve">ORLOV, V., POPA, M. Canonical forms of the four-dimensional Lyapunov-Darboux differential system with quadratic nonlinearities. International Conference "MITRE-2016", Chişinău,  June 23-25, 2016, </w:t>
      </w:r>
      <w:r>
        <w:rPr>
          <w:sz w:val="22"/>
          <w:szCs w:val="22"/>
          <w:lang w:val="en-US"/>
        </w:rPr>
        <w:t>49.</w:t>
      </w:r>
    </w:p>
    <w:p>
      <w:pPr>
        <w:pStyle w:val="ListParagraph"/>
        <w:widowControl/>
        <w:numPr>
          <w:ilvl w:val="0"/>
          <w:numId w:val="38"/>
        </w:numPr>
        <w:tabs>
          <w:tab w:val="left" w:pos="343" w:leader="none"/>
        </w:tabs>
        <w:bidi w:val="0"/>
        <w:spacing w:before="0" w:after="0"/>
        <w:ind w:left="343" w:right="0" w:hanging="0"/>
        <w:contextualSpacing/>
        <w:jc w:val="both"/>
        <w:textAlignment w:val="auto"/>
        <w:rPr/>
      </w:pPr>
      <w:r>
        <w:rPr>
          <w:sz w:val="22"/>
          <w:szCs w:val="22"/>
          <w:lang w:val="en-US"/>
        </w:rPr>
        <w:t>PORT, S.; PRICOP, V.;</w:t>
      </w:r>
      <w:r>
        <w:rPr>
          <w:rFonts w:cs="Times New Roman CE" w:ascii="Times New Roman CE" w:hAnsi="Times New Roman CE"/>
          <w:sz w:val="22"/>
          <w:szCs w:val="22"/>
          <w:lang w:val="en-US"/>
        </w:rPr>
        <w:t xml:space="preserve"> TRIFAN, V. The mathematical model of emotion impact. International Conference "MITRE-2016",  Chişinău,  June 23-25, 2016, 55.</w:t>
      </w:r>
    </w:p>
    <w:p>
      <w:pPr>
        <w:pStyle w:val="ListParagraph"/>
        <w:widowControl/>
        <w:numPr>
          <w:ilvl w:val="0"/>
          <w:numId w:val="38"/>
        </w:numPr>
        <w:tabs>
          <w:tab w:val="left" w:pos="343" w:leader="none"/>
        </w:tabs>
        <w:bidi w:val="0"/>
        <w:spacing w:before="0" w:after="0"/>
        <w:ind w:left="343" w:right="0" w:hanging="0"/>
        <w:contextualSpacing/>
        <w:jc w:val="both"/>
        <w:textAlignment w:val="auto"/>
        <w:rPr>
          <w:lang w:val="en-US"/>
        </w:rPr>
      </w:pPr>
      <w:r>
        <w:rPr>
          <w:sz w:val="22"/>
          <w:szCs w:val="22"/>
          <w:lang w:val="en-US"/>
        </w:rPr>
        <w:t>PRICOP, V. The differential system s(1,3,5) and corresponding common Hilbert series. International Conference "MITRE-2016",  Chisinau,  June 23-25, 2016, 57.</w:t>
      </w:r>
    </w:p>
    <w:p>
      <w:pPr>
        <w:pStyle w:val="ListParagraph"/>
        <w:widowControl/>
        <w:numPr>
          <w:ilvl w:val="0"/>
          <w:numId w:val="38"/>
        </w:numPr>
        <w:tabs>
          <w:tab w:val="left" w:pos="343" w:leader="none"/>
        </w:tabs>
        <w:bidi w:val="0"/>
        <w:spacing w:before="0" w:after="0"/>
        <w:ind w:left="343" w:right="0" w:hanging="0"/>
        <w:contextualSpacing/>
        <w:jc w:val="both"/>
        <w:textAlignment w:val="auto"/>
        <w:rPr>
          <w:lang w:val="en-US"/>
        </w:rPr>
      </w:pPr>
      <w:r>
        <w:rPr>
          <w:sz w:val="22"/>
          <w:szCs w:val="22"/>
          <w:lang w:val="en-US"/>
        </w:rPr>
        <w:t>SCERBACOVA,  A.; SHCHERBACOV, V. About spectrum of T2-quasigroups. International conference Mathematics &amp; Information Technologies: Research and Education (MITRE-2016), June 23-26, 2016, Chisinau, Abstracts,  p. 64.</w:t>
      </w:r>
    </w:p>
    <w:p>
      <w:pPr>
        <w:pStyle w:val="ListParagraph"/>
        <w:widowControl/>
        <w:numPr>
          <w:ilvl w:val="0"/>
          <w:numId w:val="38"/>
        </w:numPr>
        <w:tabs>
          <w:tab w:val="left" w:pos="343" w:leader="none"/>
        </w:tabs>
        <w:bidi w:val="0"/>
        <w:spacing w:before="0" w:after="0"/>
        <w:ind w:left="343" w:right="0" w:hanging="0"/>
        <w:contextualSpacing/>
        <w:jc w:val="both"/>
        <w:textAlignment w:val="auto"/>
        <w:rPr/>
      </w:pPr>
      <w:r>
        <w:rPr>
          <w:sz w:val="22"/>
          <w:szCs w:val="22"/>
          <w:lang w:val="en-US"/>
        </w:rPr>
        <w:t>SHCHERBACOV, V.; TCACENCO, A. On prolongations of a quasigroup. International conference Mathematics &amp; Information Technologies: Research and Education (MITRE-2016), June 23-26, 2016, Chisinau, Abstracts,  62.</w:t>
      </w:r>
    </w:p>
    <w:p>
      <w:pPr>
        <w:pStyle w:val="ListParagraph"/>
        <w:widowControl/>
        <w:numPr>
          <w:ilvl w:val="0"/>
          <w:numId w:val="38"/>
        </w:numPr>
        <w:tabs>
          <w:tab w:val="left" w:pos="343" w:leader="none"/>
        </w:tabs>
        <w:bidi w:val="0"/>
        <w:spacing w:before="0" w:after="0"/>
        <w:ind w:left="343" w:right="0" w:hanging="0"/>
        <w:contextualSpacing/>
        <w:jc w:val="both"/>
        <w:textAlignment w:val="auto"/>
        <w:rPr>
          <w:lang w:val="en-US"/>
        </w:rPr>
      </w:pPr>
      <w:r>
        <w:rPr>
          <w:rFonts w:cs="Times New Roman CE" w:ascii="Times New Roman CE" w:hAnsi="Times New Roman CE"/>
          <w:sz w:val="22"/>
          <w:szCs w:val="22"/>
          <w:lang w:val="en-US"/>
        </w:rPr>
        <w:t>ŞUBĂ, A.</w:t>
      </w:r>
      <w:r>
        <w:rPr>
          <w:sz w:val="22"/>
          <w:szCs w:val="22"/>
          <w:lang w:val="en-US"/>
        </w:rPr>
        <w:t>;</w:t>
      </w:r>
      <w:r>
        <w:rPr>
          <w:rFonts w:cs="Times New Roman CE" w:ascii="Times New Roman CE" w:hAnsi="Times New Roman CE"/>
          <w:sz w:val="22"/>
          <w:szCs w:val="22"/>
          <w:lang w:val="en-US"/>
        </w:rPr>
        <w:t xml:space="preserve"> TURUTA, S. Integrability of Lotka-Volterra cubic systems with (1:-2)-singularity having six invariant straight lines of two directions. International Conference "MITRE-2016", Chişinău, June, 2016.  </w:t>
      </w:r>
    </w:p>
    <w:p>
      <w:pPr>
        <w:pStyle w:val="ListParagraph"/>
        <w:widowControl/>
        <w:numPr>
          <w:ilvl w:val="0"/>
          <w:numId w:val="38"/>
        </w:numPr>
        <w:tabs>
          <w:tab w:val="left" w:pos="343" w:leader="none"/>
        </w:tabs>
        <w:bidi w:val="0"/>
        <w:spacing w:before="0" w:after="0"/>
        <w:ind w:left="343" w:right="0" w:hanging="0"/>
        <w:contextualSpacing/>
        <w:jc w:val="both"/>
        <w:textAlignment w:val="auto"/>
        <w:rPr>
          <w:lang w:val="en-US"/>
        </w:rPr>
      </w:pPr>
      <w:r>
        <w:rPr>
          <w:sz w:val="22"/>
          <w:szCs w:val="22"/>
          <w:lang w:val="en-US"/>
        </w:rPr>
        <w:t>VACARA</w:t>
      </w:r>
      <w:r>
        <w:rPr>
          <w:rFonts w:cs="Times New Roman CE" w:ascii="Times New Roman CE" w:hAnsi="Times New Roman CE"/>
          <w:sz w:val="22"/>
          <w:szCs w:val="22"/>
          <w:lang w:val="en-US"/>
        </w:rPr>
        <w:t>Ş</w:t>
      </w:r>
      <w:r>
        <w:rPr>
          <w:sz w:val="22"/>
          <w:szCs w:val="22"/>
          <w:lang w:val="en-US"/>
        </w:rPr>
        <w:t>, O. Maximal multiplicity of the line at</w:t>
      </w:r>
      <w:r>
        <w:rPr>
          <w:rFonts w:cs="Times New Roman CE" w:ascii="Times New Roman CE" w:hAnsi="Times New Roman CE"/>
          <w:sz w:val="22"/>
          <w:szCs w:val="22"/>
          <w:lang w:val="en-US"/>
        </w:rPr>
        <w:t xml:space="preserve"> infinity for cubic differential systems with two real parallel invariant straight lines. International Conference "MITRE-2016", Chişinău, June, 2016.</w:t>
      </w:r>
    </w:p>
    <w:p>
      <w:pPr>
        <w:pStyle w:val="ListParagraph"/>
        <w:widowControl/>
        <w:numPr>
          <w:ilvl w:val="0"/>
          <w:numId w:val="38"/>
        </w:numPr>
        <w:tabs>
          <w:tab w:val="left" w:pos="343" w:leader="none"/>
        </w:tabs>
        <w:bidi w:val="0"/>
        <w:spacing w:before="0" w:after="0"/>
        <w:ind w:left="343" w:right="0" w:hanging="0"/>
        <w:contextualSpacing/>
        <w:jc w:val="both"/>
        <w:textAlignment w:val="auto"/>
        <w:rPr>
          <w:lang w:val="en-US"/>
        </w:rPr>
      </w:pPr>
      <w:r>
        <w:rPr>
          <w:sz w:val="22"/>
          <w:szCs w:val="22"/>
          <w:lang w:val="en-US"/>
        </w:rPr>
        <w:t>ZAMORZAEVA, E.  On tilings of hyperbolic plane by 14-gons and 16-gons for translation group of genus 2. International conference Mathematics &amp; Information Technologies: Research and Education (MITRE-2016), June 23-26, 2016, Chisinau, Abstracts, 72.</w:t>
      </w:r>
    </w:p>
    <w:p>
      <w:pPr>
        <w:pStyle w:val="ListParagraph"/>
        <w:widowControl/>
        <w:bidi w:val="0"/>
        <w:spacing w:before="0" w:after="0"/>
        <w:ind w:left="720" w:right="0" w:hanging="0"/>
        <w:contextualSpacing/>
        <w:jc w:val="both"/>
        <w:textAlignment w:val="auto"/>
        <w:rPr>
          <w:rFonts w:ascii="Times New Roman" w:hAnsi="Times New Roman"/>
          <w:lang w:val="it-IT"/>
        </w:rPr>
      </w:pPr>
      <w:r>
        <w:rPr>
          <w:lang w:val="it-IT"/>
        </w:rPr>
      </w:r>
    </w:p>
    <w:p>
      <w:pPr>
        <w:pStyle w:val="Normal"/>
        <w:widowControl/>
        <w:suppressAutoHyphens w:val="true"/>
        <w:bidi w:val="0"/>
        <w:spacing w:before="0" w:after="80"/>
        <w:ind w:left="0" w:right="0" w:hanging="0"/>
        <w:jc w:val="both"/>
        <w:textAlignment w:val="auto"/>
        <w:rPr>
          <w:lang w:val="fr-FR"/>
        </w:rPr>
      </w:pPr>
      <w:r>
        <w:rPr>
          <w:rFonts w:cs="Times New Roman CE" w:ascii="Times New Roman CE" w:hAnsi="Times New Roman CE"/>
          <w:b/>
          <w:i/>
          <w:color w:val="131413"/>
          <w:lang w:val="fr-FR"/>
        </w:rPr>
        <w:t>Teze ale comunicărilor la congrese, conferinţe, simpozioane, culegeri (naţionale)</w:t>
      </w:r>
    </w:p>
    <w:p>
      <w:pPr>
        <w:pStyle w:val="ListParagraph"/>
        <w:widowControl/>
        <w:numPr>
          <w:ilvl w:val="0"/>
          <w:numId w:val="42"/>
        </w:numPr>
        <w:tabs>
          <w:tab w:val="left" w:pos="343" w:leader="none"/>
        </w:tabs>
        <w:bidi w:val="0"/>
        <w:spacing w:before="0" w:after="0"/>
        <w:ind w:left="343" w:right="0" w:hanging="0"/>
        <w:contextualSpacing/>
        <w:jc w:val="both"/>
        <w:textAlignment w:val="auto"/>
        <w:rPr>
          <w:lang w:val="en-US"/>
        </w:rPr>
      </w:pPr>
      <w:r>
        <w:rPr>
          <w:sz w:val="22"/>
          <w:szCs w:val="22"/>
          <w:lang w:val="en-US"/>
        </w:rPr>
        <w:t xml:space="preserve">BOGATENCOV, P.; SECRIERU, G. </w:t>
      </w:r>
      <w:r>
        <w:rPr>
          <w:rFonts w:cs="Times New Roman CE" w:ascii="Times New Roman CE" w:hAnsi="Times New Roman CE"/>
          <w:sz w:val="22"/>
          <w:szCs w:val="22"/>
          <w:lang w:val="en-US"/>
        </w:rPr>
        <w:t>Computer Infrastructure and Services Development for Research and Education in Moldova. Conferinţa ştiinţifică “</w:t>
      </w:r>
      <w:r>
        <w:rPr>
          <w:sz w:val="22"/>
          <w:szCs w:val="22"/>
          <w:lang w:val="en-US"/>
        </w:rPr>
        <w:t>Дни Объединенного института ядерных исследований (ОИЯИ) в Молдове”, 01-03 iunie 2016, Chishin</w:t>
      </w:r>
      <w:r>
        <w:rPr>
          <w:rFonts w:cs="Times New Roman CE" w:ascii="Times New Roman CE" w:hAnsi="Times New Roman CE"/>
          <w:sz w:val="22"/>
          <w:szCs w:val="22"/>
          <w:lang w:val="en-US"/>
        </w:rPr>
        <w:t>ău, Moldova.</w:t>
      </w:r>
    </w:p>
    <w:p>
      <w:pPr>
        <w:pStyle w:val="ListParagraph"/>
        <w:widowControl/>
        <w:numPr>
          <w:ilvl w:val="0"/>
          <w:numId w:val="42"/>
        </w:numPr>
        <w:tabs>
          <w:tab w:val="left" w:pos="343" w:leader="none"/>
        </w:tabs>
        <w:bidi w:val="0"/>
        <w:spacing w:before="0" w:after="0"/>
        <w:ind w:left="343" w:right="0" w:hanging="0"/>
        <w:contextualSpacing/>
        <w:jc w:val="both"/>
        <w:textAlignment w:val="auto"/>
        <w:rPr>
          <w:lang w:val="en-US"/>
        </w:rPr>
      </w:pPr>
      <w:r>
        <w:rPr>
          <w:sz w:val="22"/>
          <w:szCs w:val="22"/>
          <w:lang w:val="en-US"/>
        </w:rPr>
        <w:t>GHEREG V. Aplicarea Modelului Ramsey la evaluarea cre</w:t>
      </w:r>
      <w:r>
        <w:rPr>
          <w:rFonts w:cs="Times New Roman CE" w:ascii="Times New Roman CE" w:hAnsi="Times New Roman CE"/>
          <w:sz w:val="22"/>
          <w:szCs w:val="22"/>
          <w:lang w:val="en-US"/>
        </w:rPr>
        <w:t>şterii economice a Republicii Moldova. Atelierul Matematică şi Ştinţa Informaţiei, Conferinţa Ştiinţifică Internaţională a studenţilor şi masteranzilor “Viitorul ne aparţine”, Ediţia a VI-a dedicată aniversării a 70-a de la crearea primelor instituţii de cercetare şi a 55-a de la fondarea Academiei de Ştiinţe a Moldovei, Culegere de teze. Chişinău 2016, 78.</w:t>
      </w:r>
    </w:p>
    <w:p>
      <w:pPr>
        <w:pStyle w:val="ListParagraph"/>
        <w:widowControl/>
        <w:numPr>
          <w:ilvl w:val="0"/>
          <w:numId w:val="42"/>
        </w:numPr>
        <w:tabs>
          <w:tab w:val="left" w:pos="343" w:leader="none"/>
        </w:tabs>
        <w:bidi w:val="0"/>
        <w:spacing w:before="0" w:after="0"/>
        <w:ind w:left="343" w:right="0" w:hanging="0"/>
        <w:contextualSpacing/>
        <w:jc w:val="both"/>
        <w:textAlignment w:val="auto"/>
        <w:rPr/>
      </w:pPr>
      <w:r>
        <w:rPr>
          <w:rFonts w:cs="Times New Roman CE" w:ascii="Times New Roman CE" w:hAnsi="Times New Roman CE"/>
          <w:sz w:val="22"/>
          <w:szCs w:val="22"/>
          <w:lang w:val="en-US"/>
        </w:rPr>
        <w:t>LUCHIAN, M. Sigma Algebre S-ordonat sortate. Atelierul Matematică şi Ştinţa Informaţiei, Conferinţa Ştiinţifică Internaţională a studenţilor şi masteranzilor “Viitorul ne aparţine”, Ediţia a VI-a dedicată aniversării a 70-a de la crearea primelor instituţii de cercetare şi a 55-a de la fondarea Academiei de Ştiinţe a Moldovei, Culegere de teze. Chişinău 2016, 78.</w:t>
      </w:r>
    </w:p>
    <w:p>
      <w:pPr>
        <w:pStyle w:val="ListParagraph"/>
        <w:widowControl/>
        <w:numPr>
          <w:ilvl w:val="0"/>
          <w:numId w:val="42"/>
        </w:numPr>
        <w:tabs>
          <w:tab w:val="left" w:pos="343" w:leader="none"/>
        </w:tabs>
        <w:bidi w:val="0"/>
        <w:spacing w:before="0" w:after="0"/>
        <w:ind w:left="343" w:right="0" w:hanging="0"/>
        <w:contextualSpacing/>
        <w:jc w:val="both"/>
        <w:textAlignment w:val="auto"/>
        <w:rPr>
          <w:lang w:val="fr-FR"/>
        </w:rPr>
      </w:pPr>
      <w:r>
        <w:rPr>
          <w:rFonts w:cs="Times New Roman CE" w:ascii="Times New Roman CE" w:hAnsi="Times New Roman CE"/>
          <w:sz w:val="22"/>
          <w:szCs w:val="22"/>
          <w:lang w:val="fr-FR"/>
        </w:rPr>
        <w:t xml:space="preserve">ŢĂRNĂ T. Problema de completitudine relativ la expresibilitate în logica modală EM4. Atelierul Matematică şi Ştinţa Informaţiei, Conferinţa Ştiinţifică Internaţională a studenţilor şi masteranzilor “Viitorul ne aparţine”, Ediţia a VI-a dedicată aniversării a 70-a de la crearea primelor instituţii de cercetare şi a 55-a de la fondarea Academiei de Ştiinţe a Moldovei, Culegere de teze. </w:t>
      </w:r>
      <w:r>
        <w:rPr>
          <w:rFonts w:cs="Times New Roman CE" w:ascii="Times New Roman CE" w:hAnsi="Times New Roman CE"/>
          <w:sz w:val="22"/>
          <w:szCs w:val="22"/>
          <w:lang w:val="en-US"/>
        </w:rPr>
        <w:t>Chişinău 2016, 82.</w:t>
      </w:r>
    </w:p>
    <w:p>
      <w:pPr>
        <w:pStyle w:val="Normal"/>
        <w:widowControl/>
        <w:bidi w:val="0"/>
        <w:spacing w:before="0" w:after="60"/>
        <w:ind w:left="0" w:right="0" w:hanging="0"/>
        <w:jc w:val="both"/>
        <w:textAlignment w:val="auto"/>
        <w:rPr>
          <w:rFonts w:ascii="Times New Roman" w:hAnsi="Times New Roman"/>
          <w:b/>
          <w:b/>
          <w:lang w:val="ro-RO"/>
        </w:rPr>
      </w:pPr>
      <w:r>
        <w:rPr>
          <w:b/>
          <w:lang w:val="ro-RO"/>
        </w:rPr>
      </w:r>
    </w:p>
    <w:p>
      <w:pPr>
        <w:pStyle w:val="Normal"/>
        <w:widowControl/>
        <w:bidi w:val="0"/>
        <w:ind w:left="0" w:right="0" w:firstLine="360"/>
        <w:jc w:val="left"/>
        <w:textAlignment w:val="auto"/>
        <w:rPr>
          <w:rFonts w:ascii="Times New Roman" w:hAnsi="Times New Roman"/>
          <w:lang w:val="ro-MD"/>
        </w:rPr>
      </w:pPr>
      <w:r>
        <w:rPr>
          <w:lang w:val="ro-MD"/>
        </w:rPr>
      </w:r>
    </w:p>
    <w:p>
      <w:pPr>
        <w:pStyle w:val="Normal"/>
        <w:widowControl/>
        <w:bidi w:val="0"/>
        <w:ind w:left="0" w:right="0" w:firstLine="360"/>
        <w:jc w:val="left"/>
        <w:textAlignment w:val="auto"/>
        <w:rPr>
          <w:lang w:val="ro-MD"/>
        </w:rPr>
      </w:pPr>
      <w:r>
        <w:rPr>
          <w:rFonts w:cs="Times New Roman CE" w:ascii="Times New Roman CE" w:hAnsi="Times New Roman CE"/>
          <w:lang w:val="ro-MD"/>
        </w:rPr>
        <w:t>Secretarul ştiinţific              ______________________________</w:t>
      </w:r>
      <w:r>
        <w:rPr>
          <w:lang w:val="ro-MD"/>
        </w:rPr>
        <w:t>_____  NAVAL Elvira</w:t>
      </w:r>
    </w:p>
    <w:p>
      <w:pPr>
        <w:pStyle w:val="Normal"/>
        <w:widowControl/>
        <w:bidi w:val="0"/>
        <w:ind w:left="0" w:right="0" w:firstLine="360"/>
        <w:jc w:val="left"/>
        <w:textAlignment w:val="auto"/>
        <w:rPr>
          <w:rFonts w:ascii="Times New Roman" w:hAnsi="Times New Roman"/>
          <w:lang w:val="ro-MD"/>
        </w:rPr>
      </w:pPr>
      <w:r>
        <w:rPr>
          <w:lang w:val="ro-MD"/>
        </w:rPr>
      </w:r>
    </w:p>
    <w:p>
      <w:pPr>
        <w:pStyle w:val="Normal"/>
        <w:widowControl/>
        <w:bidi w:val="0"/>
        <w:ind w:left="0" w:right="0" w:firstLine="360"/>
        <w:jc w:val="left"/>
        <w:textAlignment w:val="auto"/>
        <w:rPr>
          <w:rFonts w:ascii="Times New Roman" w:hAnsi="Times New Roman"/>
          <w:lang w:val="ro-MD"/>
        </w:rPr>
      </w:pPr>
      <w:r>
        <w:rPr>
          <w:lang w:val="ro-MD"/>
        </w:rPr>
      </w:r>
    </w:p>
    <w:p>
      <w:pPr>
        <w:pStyle w:val="Normal"/>
        <w:widowControl/>
        <w:bidi w:val="0"/>
        <w:ind w:left="0" w:right="0" w:firstLine="360"/>
        <w:jc w:val="left"/>
        <w:textAlignment w:val="auto"/>
        <w:rPr>
          <w:rFonts w:ascii="Times New Roman" w:hAnsi="Times New Roman"/>
          <w:lang w:val="ro-MD"/>
        </w:rPr>
      </w:pPr>
      <w:r>
        <w:rPr>
          <w:lang w:val="ro-MD"/>
        </w:rPr>
      </w:r>
    </w:p>
    <w:p>
      <w:pPr>
        <w:pStyle w:val="Normal"/>
        <w:widowControl/>
        <w:bidi w:val="0"/>
        <w:ind w:left="0" w:right="0" w:firstLine="360"/>
        <w:jc w:val="left"/>
        <w:textAlignment w:val="auto"/>
        <w:rPr>
          <w:rFonts w:ascii="Times New Roman" w:hAnsi="Times New Roman"/>
          <w:lang w:val="ro-MD"/>
        </w:rPr>
      </w:pPr>
      <w:r>
        <w:rPr>
          <w:lang w:val="ro-MD"/>
        </w:rPr>
      </w:r>
    </w:p>
    <w:p>
      <w:pPr>
        <w:pStyle w:val="Normal"/>
        <w:widowControl/>
        <w:bidi w:val="0"/>
        <w:ind w:left="0" w:right="0" w:firstLine="360"/>
        <w:jc w:val="left"/>
        <w:textAlignment w:val="auto"/>
        <w:rPr>
          <w:rFonts w:ascii="Times New Roman" w:hAnsi="Times New Roman"/>
          <w:lang w:val="ro-MD"/>
        </w:rPr>
      </w:pPr>
      <w:r>
        <w:rPr>
          <w:lang w:val="ro-MD"/>
        </w:rPr>
      </w:r>
    </w:p>
    <w:p>
      <w:pPr>
        <w:pStyle w:val="Normal"/>
        <w:widowControl/>
        <w:bidi w:val="0"/>
        <w:ind w:left="0" w:right="0" w:firstLine="360"/>
        <w:jc w:val="left"/>
        <w:textAlignment w:val="auto"/>
        <w:rPr>
          <w:rFonts w:ascii="Times New Roman" w:hAnsi="Times New Roman"/>
          <w:lang w:val="ro-MD"/>
        </w:rPr>
      </w:pPr>
      <w:r>
        <w:rPr>
          <w:lang w:val="ro-MD"/>
        </w:rPr>
      </w:r>
    </w:p>
    <w:p>
      <w:pPr>
        <w:pStyle w:val="Normal"/>
        <w:widowControl/>
        <w:bidi w:val="0"/>
        <w:ind w:left="0" w:right="0" w:firstLine="360"/>
        <w:jc w:val="left"/>
        <w:textAlignment w:val="auto"/>
        <w:rPr>
          <w:rFonts w:ascii="Times New Roman" w:hAnsi="Times New Roman"/>
          <w:lang w:val="ro-MD"/>
        </w:rPr>
      </w:pPr>
      <w:r>
        <w:rPr>
          <w:lang w:val="ro-MD"/>
        </w:rPr>
      </w:r>
    </w:p>
    <w:p>
      <w:pPr>
        <w:pStyle w:val="Normal"/>
        <w:widowControl/>
        <w:bidi w:val="0"/>
        <w:ind w:left="0" w:right="0" w:firstLine="360"/>
        <w:jc w:val="left"/>
        <w:textAlignment w:val="auto"/>
        <w:rPr>
          <w:rFonts w:ascii="Times New Roman" w:hAnsi="Times New Roman"/>
          <w:lang w:val="ro-MD"/>
        </w:rPr>
      </w:pPr>
      <w:r>
        <w:rPr>
          <w:lang w:val="ro-MD"/>
        </w:rPr>
      </w:r>
    </w:p>
    <w:p>
      <w:pPr>
        <w:pStyle w:val="Normal"/>
        <w:widowControl/>
        <w:bidi w:val="0"/>
        <w:ind w:left="0" w:right="0" w:firstLine="360"/>
        <w:jc w:val="left"/>
        <w:textAlignment w:val="auto"/>
        <w:rPr>
          <w:rFonts w:ascii="Times New Roman" w:hAnsi="Times New Roman"/>
          <w:lang w:val="ro-MD"/>
        </w:rPr>
      </w:pPr>
      <w:r>
        <w:rPr>
          <w:lang w:val="ro-MD"/>
        </w:rPr>
      </w:r>
    </w:p>
    <w:p>
      <w:pPr>
        <w:pStyle w:val="Normal"/>
        <w:widowControl/>
        <w:bidi w:val="0"/>
        <w:ind w:left="0" w:right="0" w:firstLine="36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lang w:val="ro-MD"/>
        </w:rPr>
      </w:pPr>
      <w:bookmarkStart w:id="136" w:name="_Toc4696519181"/>
      <w:bookmarkStart w:id="137" w:name="_Toc375219600"/>
      <w:bookmarkStart w:id="138" w:name="_Toc311820802"/>
      <w:bookmarkStart w:id="139" w:name="_Toc311820478"/>
      <w:bookmarkStart w:id="140" w:name="_Toc311819998"/>
      <w:bookmarkStart w:id="141" w:name="_Toc311819728"/>
      <w:bookmarkStart w:id="142" w:name="_Toc311818790"/>
      <w:r>
        <w:rPr>
          <w:lang w:val="ro-MD"/>
        </w:rPr>
        <w:tab/>
      </w:r>
      <w:r>
        <w:rPr>
          <w:rFonts w:cs="Times New Roman CE" w:ascii="Times New Roman CE" w:hAnsi="Times New Roman CE"/>
          <w:b/>
          <w:lang w:val="ro-RO"/>
        </w:rPr>
        <w:t>Activitatea editorială în cadrul organizaţiei din sfera ştiinţei şi inovării în anul 201</w:t>
      </w:r>
      <w:r>
        <w:rPr>
          <w:b/>
          <w:lang w:val="ro-RO"/>
        </w:rPr>
        <w:t>6</w:t>
      </w:r>
      <w:r>
        <w:rPr>
          <w:rFonts w:cs="Times New Roman CE" w:ascii="Times New Roman CE" w:hAnsi="Times New Roman CE"/>
          <w:b/>
          <w:lang w:val="ro-RO"/>
        </w:rPr>
        <w:t xml:space="preserve"> (Anexă la Forma 4)</w:t>
      </w:r>
    </w:p>
    <w:p>
      <w:pPr>
        <w:pStyle w:val="Normal"/>
        <w:widowControl/>
        <w:bidi w:val="0"/>
        <w:ind w:left="0" w:right="0" w:hanging="0"/>
        <w:jc w:val="center"/>
        <w:textAlignment w:val="auto"/>
        <w:rPr>
          <w:rFonts w:ascii="Times New Roman" w:hAnsi="Times New Roman"/>
          <w:lang w:val="ro-RO"/>
        </w:rPr>
      </w:pPr>
      <w:r>
        <w:rPr>
          <w:lang w:val="ro-RO"/>
        </w:rPr>
      </w:r>
    </w:p>
    <w:tbl>
      <w:tblPr>
        <w:tblW w:w="10915" w:type="dxa"/>
        <w:jc w:val="left"/>
        <w:tblInd w:w="-42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3" w:type="dxa"/>
          <w:bottom w:w="0" w:type="dxa"/>
          <w:right w:w="108" w:type="dxa"/>
        </w:tblCellMar>
      </w:tblPr>
      <w:tblGrid>
        <w:gridCol w:w="677"/>
        <w:gridCol w:w="417"/>
        <w:gridCol w:w="426"/>
        <w:gridCol w:w="430"/>
        <w:gridCol w:w="546"/>
        <w:gridCol w:w="703"/>
        <w:gridCol w:w="316"/>
        <w:gridCol w:w="282"/>
        <w:gridCol w:w="530"/>
        <w:gridCol w:w="330"/>
        <w:gridCol w:w="1"/>
        <w:gridCol w:w="778"/>
        <w:gridCol w:w="1"/>
        <w:gridCol w:w="779"/>
        <w:gridCol w:w="1"/>
        <w:gridCol w:w="872"/>
        <w:gridCol w:w="1"/>
        <w:gridCol w:w="540"/>
        <w:gridCol w:w="548"/>
        <w:gridCol w:w="1"/>
        <w:gridCol w:w="739"/>
        <w:gridCol w:w="1"/>
        <w:gridCol w:w="691"/>
        <w:gridCol w:w="1"/>
        <w:gridCol w:w="567"/>
        <w:gridCol w:w="736"/>
      </w:tblGrid>
      <w:tr>
        <w:trPr/>
        <w:tc>
          <w:tcPr>
            <w:tcW w:w="677"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tabs>
                <w:tab w:val="center" w:pos="4536" w:leader="none"/>
                <w:tab w:val="right" w:pos="9072" w:leader="none"/>
              </w:tabs>
              <w:bidi w:val="0"/>
              <w:ind w:left="0" w:right="0" w:hanging="0"/>
              <w:jc w:val="center"/>
              <w:textAlignment w:val="auto"/>
              <w:rPr>
                <w:lang w:val="ro-RO"/>
              </w:rPr>
            </w:pPr>
            <w:r>
              <w:rPr>
                <w:rFonts w:cs="Times New Roman CE" w:ascii="Times New Roman CE" w:hAnsi="Times New Roman CE"/>
                <w:b/>
                <w:bCs/>
                <w:color w:val="000000"/>
                <w:sz w:val="16"/>
                <w:lang w:val="ro-RO"/>
              </w:rPr>
              <w:t>Publicaţii /ani</w:t>
            </w:r>
          </w:p>
        </w:tc>
        <w:tc>
          <w:tcPr>
            <w:tcW w:w="1273"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center" w:pos="4536" w:leader="none"/>
                <w:tab w:val="right" w:pos="9072" w:leader="none"/>
              </w:tabs>
              <w:bidi w:val="0"/>
              <w:ind w:left="0" w:right="0" w:hanging="0"/>
              <w:jc w:val="center"/>
              <w:textAlignment w:val="auto"/>
              <w:rPr>
                <w:lang w:val="ro-RO"/>
              </w:rPr>
            </w:pPr>
            <w:r>
              <w:rPr>
                <w:rFonts w:cs="Times New Roman CE" w:ascii="Times New Roman CE" w:hAnsi="Times New Roman CE"/>
                <w:b/>
                <w:bCs/>
                <w:color w:val="000000"/>
                <w:sz w:val="16"/>
                <w:lang w:val="ro-RO"/>
              </w:rPr>
              <w:t>Articole naţionale</w:t>
            </w:r>
          </w:p>
        </w:tc>
        <w:tc>
          <w:tcPr>
            <w:tcW w:w="54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center" w:pos="4536" w:leader="none"/>
                <w:tab w:val="right" w:pos="9072" w:leader="none"/>
              </w:tabs>
              <w:bidi w:val="0"/>
              <w:ind w:left="0" w:right="0" w:hanging="0"/>
              <w:jc w:val="left"/>
              <w:textAlignment w:val="auto"/>
              <w:rPr>
                <w:lang w:val="ro-RO"/>
              </w:rPr>
            </w:pPr>
            <w:r>
              <w:rPr>
                <w:rFonts w:cs="Times New Roman CE" w:ascii="Times New Roman CE" w:hAnsi="Times New Roman CE"/>
                <w:b/>
                <w:bCs/>
                <w:color w:val="000000"/>
                <w:sz w:val="16"/>
                <w:lang w:val="ro-RO"/>
              </w:rPr>
              <w:t>Articole în alte reviste naţionale</w:t>
            </w:r>
          </w:p>
        </w:tc>
        <w:tc>
          <w:tcPr>
            <w:tcW w:w="7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center" w:pos="4536" w:leader="none"/>
                <w:tab w:val="right" w:pos="9072" w:leader="none"/>
              </w:tabs>
              <w:bidi w:val="0"/>
              <w:ind w:left="0" w:right="0" w:hanging="0"/>
              <w:jc w:val="left"/>
              <w:textAlignment w:val="auto"/>
              <w:rPr>
                <w:lang w:val="ro-RO"/>
              </w:rPr>
            </w:pPr>
            <w:r>
              <w:rPr>
                <w:rFonts w:cs="Times New Roman CE" w:ascii="Times New Roman CE" w:hAnsi="Times New Roman CE"/>
                <w:b/>
                <w:bCs/>
                <w:color w:val="000000"/>
                <w:sz w:val="16"/>
                <w:lang w:val="ro-RO"/>
              </w:rPr>
              <w:t>Articole în culegeri naţionale</w:t>
            </w:r>
          </w:p>
        </w:tc>
        <w:tc>
          <w:tcPr>
            <w:tcW w:w="1459"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center" w:pos="4536" w:leader="none"/>
                <w:tab w:val="right" w:pos="9072" w:leader="none"/>
              </w:tabs>
              <w:bidi w:val="0"/>
              <w:ind w:left="0" w:right="0" w:hanging="0"/>
              <w:jc w:val="left"/>
              <w:textAlignment w:val="auto"/>
              <w:rPr>
                <w:lang w:val="ro-RO"/>
              </w:rPr>
            </w:pPr>
            <w:r>
              <w:rPr>
                <w:rFonts w:cs="Times New Roman CE" w:ascii="Times New Roman CE" w:hAnsi="Times New Roman CE"/>
                <w:b/>
                <w:bCs/>
                <w:color w:val="000000"/>
                <w:sz w:val="16"/>
                <w:lang w:val="ro-RO"/>
              </w:rPr>
              <w:t>Articole în reviste cu factor de impact</w:t>
            </w:r>
          </w:p>
        </w:tc>
        <w:tc>
          <w:tcPr>
            <w:tcW w:w="77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center" w:pos="4536" w:leader="none"/>
                <w:tab w:val="right" w:pos="9072" w:leader="none"/>
              </w:tabs>
              <w:bidi w:val="0"/>
              <w:ind w:left="0" w:right="0" w:hanging="0"/>
              <w:jc w:val="left"/>
              <w:textAlignment w:val="auto"/>
              <w:rPr>
                <w:lang w:val="ro-RO"/>
              </w:rPr>
            </w:pPr>
            <w:r>
              <w:rPr>
                <w:b/>
                <w:sz w:val="16"/>
                <w:lang w:val="ro-RO"/>
              </w:rPr>
              <w:t>Articole numai cu autori autohtoni</w:t>
            </w:r>
          </w:p>
        </w:tc>
        <w:tc>
          <w:tcPr>
            <w:tcW w:w="78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center" w:pos="4536" w:leader="none"/>
                <w:tab w:val="right" w:pos="9072" w:leader="none"/>
              </w:tabs>
              <w:bidi w:val="0"/>
              <w:ind w:left="0" w:right="0" w:hanging="0"/>
              <w:jc w:val="left"/>
              <w:textAlignment w:val="auto"/>
              <w:rPr>
                <w:lang w:val="ro-RO"/>
              </w:rPr>
            </w:pPr>
            <w:r>
              <w:rPr>
                <w:b/>
                <w:bCs/>
                <w:color w:val="000000"/>
                <w:sz w:val="16"/>
                <w:lang w:val="ro-RO"/>
              </w:rPr>
              <w:t>Artic</w:t>
            </w:r>
            <w:r>
              <w:rPr>
                <w:rFonts w:cs="Times New Roman CE" w:ascii="Times New Roman CE" w:hAnsi="Times New Roman CE"/>
                <w:b/>
                <w:bCs/>
                <w:color w:val="000000"/>
                <w:sz w:val="16"/>
                <w:lang w:val="ro-RO"/>
              </w:rPr>
              <w:t>ole în alte reviste /publicaţii electronice</w:t>
            </w:r>
          </w:p>
        </w:tc>
        <w:tc>
          <w:tcPr>
            <w:tcW w:w="8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center" w:pos="4536" w:leader="none"/>
                <w:tab w:val="right" w:pos="9072" w:leader="none"/>
              </w:tabs>
              <w:bidi w:val="0"/>
              <w:ind w:left="0" w:right="0" w:hanging="0"/>
              <w:jc w:val="left"/>
              <w:textAlignment w:val="auto"/>
              <w:rPr>
                <w:lang w:val="ro-RO"/>
              </w:rPr>
            </w:pPr>
            <w:r>
              <w:rPr>
                <w:rFonts w:cs="Times New Roman CE" w:ascii="Times New Roman CE" w:hAnsi="Times New Roman CE"/>
                <w:b/>
                <w:bCs/>
                <w:color w:val="000000"/>
                <w:sz w:val="16"/>
                <w:lang w:val="ro-RO"/>
              </w:rPr>
              <w:t>Articole în culegeri internaţionale</w:t>
            </w:r>
          </w:p>
        </w:tc>
        <w:tc>
          <w:tcPr>
            <w:tcW w:w="1089"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center" w:pos="4536" w:leader="none"/>
                <w:tab w:val="right" w:pos="9072" w:leader="none"/>
              </w:tabs>
              <w:bidi w:val="0"/>
              <w:ind w:left="0" w:right="0" w:hanging="0"/>
              <w:jc w:val="left"/>
              <w:textAlignment w:val="auto"/>
              <w:rPr>
                <w:lang w:val="ro-RO"/>
              </w:rPr>
            </w:pPr>
            <w:r>
              <w:rPr>
                <w:b/>
                <w:bCs/>
                <w:color w:val="000000"/>
                <w:sz w:val="16"/>
                <w:lang w:val="ro-RO"/>
              </w:rPr>
              <w:t xml:space="preserve">Monografii /capitole in monografii </w:t>
            </w:r>
            <w:r>
              <w:rPr>
                <w:rFonts w:cs="Times New Roman CE" w:ascii="Times New Roman CE" w:hAnsi="Times New Roman CE"/>
                <w:b/>
                <w:bCs/>
                <w:color w:val="000000"/>
                <w:sz w:val="16"/>
                <w:lang w:val="ro-RO"/>
              </w:rPr>
              <w:t>editate în:</w:t>
            </w:r>
          </w:p>
        </w:tc>
        <w:tc>
          <w:tcPr>
            <w:tcW w:w="74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center" w:pos="4536" w:leader="none"/>
                <w:tab w:val="right" w:pos="9072" w:leader="none"/>
              </w:tabs>
              <w:bidi w:val="0"/>
              <w:ind w:left="0" w:right="0" w:hanging="0"/>
              <w:jc w:val="left"/>
              <w:textAlignment w:val="auto"/>
              <w:rPr>
                <w:lang w:val="ro-RO"/>
              </w:rPr>
            </w:pPr>
            <w:r>
              <w:rPr>
                <w:b/>
                <w:sz w:val="16"/>
                <w:lang w:val="ro-RO"/>
              </w:rPr>
              <w:t>Manuale/</w:t>
            </w:r>
          </w:p>
          <w:p>
            <w:pPr>
              <w:pStyle w:val="Normal"/>
              <w:widowControl/>
              <w:tabs>
                <w:tab w:val="center" w:pos="4536" w:leader="none"/>
                <w:tab w:val="right" w:pos="9072" w:leader="none"/>
              </w:tabs>
              <w:bidi w:val="0"/>
              <w:ind w:left="0" w:right="0" w:hanging="0"/>
              <w:jc w:val="left"/>
              <w:textAlignment w:val="auto"/>
              <w:rPr>
                <w:lang w:val="ro-RO"/>
              </w:rPr>
            </w:pPr>
            <w:r>
              <w:rPr>
                <w:rFonts w:cs="Times New Roman CE" w:ascii="Times New Roman CE" w:hAnsi="Times New Roman CE"/>
                <w:b/>
                <w:sz w:val="16"/>
                <w:lang w:val="ro-RO"/>
              </w:rPr>
              <w:t>dicţionare/</w:t>
            </w:r>
          </w:p>
          <w:p>
            <w:pPr>
              <w:pStyle w:val="Normal"/>
              <w:widowControl/>
              <w:tabs>
                <w:tab w:val="center" w:pos="4536" w:leader="none"/>
                <w:tab w:val="right" w:pos="9072" w:leader="none"/>
              </w:tabs>
              <w:bidi w:val="0"/>
              <w:ind w:left="0" w:right="0" w:hanging="0"/>
              <w:jc w:val="left"/>
              <w:textAlignment w:val="auto"/>
              <w:rPr>
                <w:lang w:val="ro-RO"/>
              </w:rPr>
            </w:pPr>
            <w:r>
              <w:rPr>
                <w:rFonts w:cs="Times New Roman CE" w:ascii="Times New Roman CE" w:hAnsi="Times New Roman CE"/>
                <w:b/>
                <w:sz w:val="16"/>
                <w:lang w:val="ro-RO"/>
              </w:rPr>
              <w:t>lucrări didactice</w:t>
            </w:r>
          </w:p>
        </w:tc>
        <w:tc>
          <w:tcPr>
            <w:tcW w:w="69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center" w:pos="4536" w:leader="none"/>
                <w:tab w:val="right" w:pos="9072" w:leader="none"/>
              </w:tabs>
              <w:bidi w:val="0"/>
              <w:ind w:left="-108" w:right="0" w:hanging="0"/>
              <w:jc w:val="left"/>
              <w:textAlignment w:val="auto"/>
              <w:rPr>
                <w:lang w:val="ro-RO"/>
              </w:rPr>
            </w:pPr>
            <w:r>
              <w:rPr>
                <w:b/>
                <w:sz w:val="16"/>
                <w:lang w:val="ro-RO"/>
              </w:rPr>
              <w:t>Cule-geri nat/ intern./Prepr.</w:t>
            </w:r>
          </w:p>
          <w:p>
            <w:pPr>
              <w:pStyle w:val="Normal"/>
              <w:widowControl/>
              <w:tabs>
                <w:tab w:val="center" w:pos="4536" w:leader="none"/>
                <w:tab w:val="right" w:pos="9072" w:leader="none"/>
              </w:tabs>
              <w:bidi w:val="0"/>
              <w:ind w:left="-108" w:right="0" w:hanging="0"/>
              <w:jc w:val="left"/>
              <w:textAlignment w:val="auto"/>
              <w:rPr/>
            </w:pPr>
            <w:r>
              <w:rPr>
                <w:b/>
                <w:sz w:val="16"/>
                <w:lang w:val="ro-RO"/>
              </w:rPr>
              <w:t>editat</w:t>
            </w:r>
          </w:p>
          <w:p>
            <w:pPr>
              <w:pStyle w:val="Normal"/>
              <w:widowControl/>
              <w:tabs>
                <w:tab w:val="center" w:pos="4536" w:leader="none"/>
                <w:tab w:val="right" w:pos="9072" w:leader="none"/>
              </w:tabs>
              <w:bidi w:val="0"/>
              <w:ind w:left="-108" w:right="0" w:hanging="0"/>
              <w:jc w:val="left"/>
              <w:textAlignment w:val="auto"/>
              <w:rPr/>
            </w:pPr>
            <w:r>
              <w:rPr>
                <w:b/>
                <w:sz w:val="16"/>
                <w:lang w:val="ro-RO"/>
              </w:rPr>
              <w:t>str.</w:t>
            </w:r>
          </w:p>
        </w:tc>
        <w:tc>
          <w:tcPr>
            <w:tcW w:w="130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center" w:pos="4536" w:leader="none"/>
                <w:tab w:val="right" w:pos="9072" w:leader="none"/>
              </w:tabs>
              <w:bidi w:val="0"/>
              <w:ind w:left="0" w:right="0" w:hanging="0"/>
              <w:jc w:val="left"/>
              <w:textAlignment w:val="auto"/>
              <w:rPr>
                <w:lang w:val="ro-RO"/>
              </w:rPr>
            </w:pPr>
            <w:r>
              <w:rPr>
                <w:rFonts w:cs="Times New Roman CE" w:ascii="Times New Roman CE" w:hAnsi="Times New Roman CE"/>
                <w:b/>
                <w:sz w:val="16"/>
                <w:lang w:val="ro-RO"/>
              </w:rPr>
              <w:t xml:space="preserve">Teze ale comunicărilor la congrese, conferinţe, </w:t>
            </w:r>
            <w:r>
              <w:rPr>
                <w:b/>
                <w:sz w:val="16"/>
                <w:lang w:val="ro-RO"/>
              </w:rPr>
              <w:t>simpozioane</w:t>
            </w:r>
          </w:p>
        </w:tc>
      </w:tr>
      <w:tr>
        <w:trPr>
          <w:trHeight w:val="1134" w:hRule="atLeast"/>
          <w:cantSplit w:val="true"/>
        </w:trPr>
        <w:tc>
          <w:tcPr>
            <w:tcW w:w="67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center" w:pos="4536" w:leader="none"/>
                <w:tab w:val="right" w:pos="9072" w:leader="none"/>
              </w:tabs>
              <w:bidi w:val="0"/>
              <w:ind w:left="0" w:right="0" w:hanging="0"/>
              <w:jc w:val="center"/>
              <w:textAlignment w:val="auto"/>
              <w:rPr>
                <w:rFonts w:ascii="Times New Roman" w:hAnsi="Times New Roman"/>
                <w:bCs/>
                <w:color w:val="000000"/>
                <w:sz w:val="18"/>
                <w:lang w:val="ro-RO"/>
              </w:rPr>
            </w:pPr>
            <w:r>
              <w:rPr>
                <w:bCs/>
                <w:color w:val="000000"/>
                <w:sz w:val="18"/>
                <w:lang w:val="ro-RO"/>
              </w:rPr>
            </w:r>
          </w:p>
        </w:tc>
        <w:tc>
          <w:tcPr>
            <w:tcW w:w="4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tabs>
                <w:tab w:val="center" w:pos="4536" w:leader="none"/>
                <w:tab w:val="right" w:pos="9072" w:leader="none"/>
              </w:tabs>
              <w:bidi w:val="0"/>
              <w:ind w:left="0" w:right="0" w:hanging="0"/>
              <w:jc w:val="center"/>
              <w:textAlignment w:val="auto"/>
              <w:rPr>
                <w:lang w:val="ro-RO"/>
              </w:rPr>
            </w:pPr>
            <w:r>
              <w:rPr>
                <w:bCs/>
                <w:color w:val="000000"/>
                <w:sz w:val="18"/>
                <w:lang w:val="ro-RO"/>
              </w:rPr>
              <w:t>A</w:t>
            </w:r>
          </w:p>
        </w:tc>
        <w:tc>
          <w:tcPr>
            <w:tcW w:w="4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tabs>
                <w:tab w:val="center" w:pos="4536" w:leader="none"/>
                <w:tab w:val="right" w:pos="9072" w:leader="none"/>
              </w:tabs>
              <w:bidi w:val="0"/>
              <w:ind w:left="0" w:right="0" w:hanging="0"/>
              <w:jc w:val="center"/>
              <w:textAlignment w:val="auto"/>
              <w:rPr>
                <w:lang w:val="ro-RO"/>
              </w:rPr>
            </w:pPr>
            <w:r>
              <w:rPr>
                <w:bCs/>
                <w:color w:val="000000"/>
                <w:sz w:val="18"/>
                <w:lang w:val="ro-RO"/>
              </w:rPr>
              <w:t>B</w:t>
            </w:r>
            <w:r>
              <w:rPr>
                <w:bCs/>
                <w:color w:val="000000"/>
                <w:sz w:val="18"/>
                <w:vertAlign w:val="superscript"/>
                <w:lang w:val="ro-RO"/>
              </w:rPr>
              <w:t>+</w:t>
            </w:r>
            <w:r>
              <w:rPr>
                <w:bCs/>
                <w:color w:val="000000"/>
                <w:sz w:val="18"/>
                <w:lang w:val="ro-RO"/>
              </w:rPr>
              <w:t xml:space="preserve"> </w:t>
            </w:r>
            <w:r>
              <w:rPr>
                <w:rFonts w:cs="Cambria Math" w:ascii="Cambria Math" w:hAnsi="Cambria Math"/>
                <w:bCs/>
                <w:color w:val="000000"/>
                <w:sz w:val="18"/>
                <w:lang w:val="ro-RO"/>
              </w:rPr>
              <w:t>ș</w:t>
            </w:r>
            <w:r>
              <w:rPr>
                <w:bCs/>
                <w:color w:val="000000"/>
                <w:sz w:val="18"/>
                <w:lang w:val="ro-RO"/>
              </w:rPr>
              <w:t>i B</w:t>
            </w:r>
          </w:p>
        </w:tc>
        <w:tc>
          <w:tcPr>
            <w:tcW w:w="4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tabs>
                <w:tab w:val="center" w:pos="4536" w:leader="none"/>
                <w:tab w:val="right" w:pos="9072" w:leader="none"/>
              </w:tabs>
              <w:bidi w:val="0"/>
              <w:ind w:left="0" w:right="0" w:hanging="0"/>
              <w:jc w:val="center"/>
              <w:textAlignment w:val="auto"/>
              <w:rPr>
                <w:lang w:val="ro-RO"/>
              </w:rPr>
            </w:pPr>
            <w:r>
              <w:rPr>
                <w:bCs/>
                <w:color w:val="000000"/>
                <w:sz w:val="18"/>
                <w:lang w:val="ro-RO"/>
              </w:rPr>
              <w:t>C</w:t>
            </w:r>
          </w:p>
        </w:tc>
        <w:tc>
          <w:tcPr>
            <w:tcW w:w="54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center" w:pos="4536" w:leader="none"/>
                <w:tab w:val="right" w:pos="9072" w:leader="none"/>
              </w:tabs>
              <w:bidi w:val="0"/>
              <w:ind w:left="0" w:right="0" w:hanging="0"/>
              <w:jc w:val="left"/>
              <w:textAlignment w:val="auto"/>
              <w:rPr>
                <w:rFonts w:ascii="Times New Roman" w:hAnsi="Times New Roman"/>
                <w:sz w:val="26"/>
                <w:lang w:val="ro-RO"/>
              </w:rPr>
            </w:pPr>
            <w:r>
              <w:rPr>
                <w:sz w:val="26"/>
                <w:lang w:val="ro-RO"/>
              </w:rPr>
            </w:r>
          </w:p>
        </w:tc>
        <w:tc>
          <w:tcPr>
            <w:tcW w:w="7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center" w:pos="4536" w:leader="none"/>
                <w:tab w:val="right" w:pos="9072" w:leader="none"/>
              </w:tabs>
              <w:bidi w:val="0"/>
              <w:ind w:left="0" w:right="0" w:hanging="0"/>
              <w:jc w:val="left"/>
              <w:textAlignment w:val="auto"/>
              <w:rPr>
                <w:rFonts w:ascii="Times New Roman" w:hAnsi="Times New Roman"/>
                <w:sz w:val="26"/>
                <w:lang w:val="ro-RO"/>
              </w:rPr>
            </w:pPr>
            <w:r>
              <w:rPr>
                <w:sz w:val="26"/>
                <w:lang w:val="ro-RO"/>
              </w:rPr>
            </w:r>
          </w:p>
        </w:tc>
        <w:tc>
          <w:tcPr>
            <w:tcW w:w="3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tabs>
                <w:tab w:val="center" w:pos="4536" w:leader="none"/>
                <w:tab w:val="right" w:pos="9072" w:leader="none"/>
              </w:tabs>
              <w:bidi w:val="0"/>
              <w:ind w:left="0" w:right="0" w:hanging="0"/>
              <w:jc w:val="center"/>
              <w:textAlignment w:val="auto"/>
              <w:rPr>
                <w:lang w:val="ro-RO"/>
              </w:rPr>
            </w:pPr>
            <w:r>
              <w:rPr>
                <w:bCs/>
                <w:color w:val="000000"/>
                <w:sz w:val="18"/>
                <w:lang w:val="ro-RO"/>
              </w:rPr>
              <w:t>&gt;3</w:t>
            </w:r>
          </w:p>
        </w:tc>
        <w:tc>
          <w:tcPr>
            <w:tcW w:w="2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extDirection w:val="btLr"/>
            <w:vAlign w:val="center"/>
          </w:tcPr>
          <w:p>
            <w:pPr>
              <w:pStyle w:val="Normal"/>
              <w:widowControl/>
              <w:tabs>
                <w:tab w:val="center" w:pos="4536" w:leader="none"/>
                <w:tab w:val="right" w:pos="9072" w:leader="none"/>
              </w:tabs>
              <w:bidi w:val="0"/>
              <w:ind w:left="113" w:right="113" w:hanging="0"/>
              <w:jc w:val="center"/>
              <w:textAlignment w:val="auto"/>
              <w:rPr>
                <w:lang w:val="ro-RO"/>
              </w:rPr>
            </w:pPr>
            <w:r>
              <w:rPr>
                <w:bCs/>
                <w:color w:val="000000"/>
                <w:sz w:val="18"/>
                <w:lang w:val="ro-RO"/>
              </w:rPr>
              <w:t>1,0-2,9</w:t>
            </w:r>
          </w:p>
        </w:tc>
        <w:tc>
          <w:tcPr>
            <w:tcW w:w="5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extDirection w:val="btLr"/>
            <w:vAlign w:val="center"/>
          </w:tcPr>
          <w:p>
            <w:pPr>
              <w:pStyle w:val="Normal"/>
              <w:widowControl/>
              <w:tabs>
                <w:tab w:val="center" w:pos="4536" w:leader="none"/>
                <w:tab w:val="right" w:pos="9072" w:leader="none"/>
              </w:tabs>
              <w:bidi w:val="0"/>
              <w:ind w:left="0" w:right="0" w:hanging="0"/>
              <w:jc w:val="center"/>
              <w:textAlignment w:val="auto"/>
              <w:rPr>
                <w:lang w:val="ro-RO"/>
              </w:rPr>
            </w:pPr>
            <w:r>
              <w:rPr>
                <w:bCs/>
                <w:color w:val="000000"/>
                <w:sz w:val="18"/>
                <w:lang w:val="ro-RO"/>
              </w:rPr>
              <w:t>0,1-0,9</w:t>
            </w:r>
          </w:p>
        </w:tc>
        <w:tc>
          <w:tcPr>
            <w:tcW w:w="3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extDirection w:val="btLr"/>
            <w:vAlign w:val="center"/>
          </w:tcPr>
          <w:p>
            <w:pPr>
              <w:pStyle w:val="Normal"/>
              <w:widowControl/>
              <w:tabs>
                <w:tab w:val="center" w:pos="4536" w:leader="none"/>
                <w:tab w:val="right" w:pos="9072" w:leader="none"/>
              </w:tabs>
              <w:bidi w:val="0"/>
              <w:ind w:left="0" w:right="0" w:hanging="0"/>
              <w:jc w:val="center"/>
              <w:textAlignment w:val="auto"/>
              <w:rPr/>
            </w:pPr>
            <w:r>
              <w:rPr>
                <w:bCs/>
                <w:color w:val="000000"/>
                <w:sz w:val="18"/>
                <w:lang w:val="ro-RO"/>
              </w:rPr>
              <w:t>0,01-0,09</w:t>
            </w:r>
          </w:p>
        </w:tc>
        <w:tc>
          <w:tcPr>
            <w:tcW w:w="77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center" w:pos="4536" w:leader="none"/>
                <w:tab w:val="right" w:pos="9072" w:leader="none"/>
              </w:tabs>
              <w:bidi w:val="0"/>
              <w:ind w:left="0" w:right="0" w:hanging="0"/>
              <w:jc w:val="left"/>
              <w:textAlignment w:val="auto"/>
              <w:rPr>
                <w:rFonts w:ascii="Times New Roman" w:hAnsi="Times New Roman"/>
                <w:sz w:val="26"/>
                <w:lang w:val="ro-RO"/>
              </w:rPr>
            </w:pPr>
            <w:r>
              <w:rPr>
                <w:sz w:val="26"/>
                <w:lang w:val="ro-RO"/>
              </w:rPr>
            </w:r>
          </w:p>
        </w:tc>
        <w:tc>
          <w:tcPr>
            <w:tcW w:w="78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center" w:pos="4536" w:leader="none"/>
                <w:tab w:val="right" w:pos="9072" w:leader="none"/>
              </w:tabs>
              <w:bidi w:val="0"/>
              <w:ind w:left="0" w:right="0" w:hanging="0"/>
              <w:jc w:val="left"/>
              <w:textAlignment w:val="auto"/>
              <w:rPr>
                <w:rFonts w:ascii="Times New Roman" w:hAnsi="Times New Roman"/>
                <w:sz w:val="26"/>
                <w:lang w:val="ro-RO"/>
              </w:rPr>
            </w:pPr>
            <w:r>
              <w:rPr>
                <w:sz w:val="26"/>
                <w:lang w:val="ro-RO"/>
              </w:rPr>
            </w:r>
          </w:p>
        </w:tc>
        <w:tc>
          <w:tcPr>
            <w:tcW w:w="8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center" w:pos="4536" w:leader="none"/>
                <w:tab w:val="right" w:pos="9072" w:leader="none"/>
              </w:tabs>
              <w:bidi w:val="0"/>
              <w:ind w:left="0" w:right="0" w:hanging="0"/>
              <w:jc w:val="center"/>
              <w:textAlignment w:val="auto"/>
              <w:rPr>
                <w:lang w:val="ro-RO"/>
              </w:rPr>
            </w:pPr>
            <w:r>
              <w:rPr>
                <w:bCs/>
                <w:color w:val="000000"/>
                <w:sz w:val="16"/>
                <w:lang w:val="ro-RO"/>
              </w:rPr>
              <w:t>Articole  + com (1-3 pagini)</w:t>
            </w:r>
          </w:p>
        </w:tc>
        <w:tc>
          <w:tcPr>
            <w:tcW w:w="54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tabs>
                <w:tab w:val="center" w:pos="4536" w:leader="none"/>
                <w:tab w:val="right" w:pos="9072" w:leader="none"/>
              </w:tabs>
              <w:bidi w:val="0"/>
              <w:ind w:left="0" w:right="0" w:hanging="0"/>
              <w:jc w:val="center"/>
              <w:textAlignment w:val="auto"/>
              <w:rPr>
                <w:lang w:val="ro-RO"/>
              </w:rPr>
            </w:pPr>
            <w:r>
              <w:rPr>
                <w:rFonts w:cs="Times New Roman CE" w:ascii="Times New Roman CE" w:hAnsi="Times New Roman CE"/>
                <w:bCs/>
                <w:color w:val="000000"/>
                <w:sz w:val="16"/>
                <w:lang w:val="ro-RO"/>
              </w:rPr>
              <w:t>ţară</w:t>
            </w:r>
          </w:p>
        </w:tc>
        <w:tc>
          <w:tcPr>
            <w:tcW w:w="54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tabs>
                <w:tab w:val="center" w:pos="4536" w:leader="none"/>
                <w:tab w:val="right" w:pos="9072" w:leader="none"/>
              </w:tabs>
              <w:bidi w:val="0"/>
              <w:ind w:left="0" w:right="0" w:hanging="0"/>
              <w:jc w:val="center"/>
              <w:textAlignment w:val="auto"/>
              <w:rPr>
                <w:lang w:val="ro-RO"/>
              </w:rPr>
            </w:pPr>
            <w:r>
              <w:rPr>
                <w:rFonts w:cs="Times New Roman CE" w:ascii="Times New Roman CE" w:hAnsi="Times New Roman CE"/>
                <w:bCs/>
                <w:color w:val="000000"/>
                <w:sz w:val="16"/>
                <w:lang w:val="ro-RO"/>
              </w:rPr>
              <w:t>Străină</w:t>
            </w:r>
            <w:r>
              <w:rPr>
                <w:bCs/>
                <w:color w:val="000000"/>
                <w:sz w:val="16"/>
                <w:lang w:val="ro-RO"/>
              </w:rPr>
              <w:t>-tate</w:t>
            </w:r>
          </w:p>
        </w:tc>
        <w:tc>
          <w:tcPr>
            <w:tcW w:w="74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center" w:pos="4536" w:leader="none"/>
                <w:tab w:val="right" w:pos="9072" w:leader="none"/>
              </w:tabs>
              <w:bidi w:val="0"/>
              <w:ind w:left="0" w:right="0" w:hanging="0"/>
              <w:jc w:val="left"/>
              <w:textAlignment w:val="auto"/>
              <w:rPr>
                <w:rFonts w:ascii="Times New Roman" w:hAnsi="Times New Roman"/>
                <w:sz w:val="16"/>
                <w:lang w:val="ro-RO"/>
              </w:rPr>
            </w:pPr>
            <w:r>
              <w:rPr>
                <w:sz w:val="16"/>
                <w:lang w:val="ro-RO"/>
              </w:rPr>
            </w:r>
          </w:p>
        </w:tc>
        <w:tc>
          <w:tcPr>
            <w:tcW w:w="69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center" w:pos="4536" w:leader="none"/>
                <w:tab w:val="right" w:pos="9072" w:leader="none"/>
              </w:tabs>
              <w:bidi w:val="0"/>
              <w:ind w:left="0" w:right="0" w:hanging="0"/>
              <w:jc w:val="left"/>
              <w:textAlignment w:val="auto"/>
              <w:rPr>
                <w:rFonts w:ascii="Times New Roman" w:hAnsi="Times New Roman"/>
                <w:sz w:val="16"/>
                <w:lang w:val="ro-RO"/>
              </w:rPr>
            </w:pPr>
            <w:r>
              <w:rPr>
                <w:sz w:val="16"/>
                <w:lang w:val="ro-RO"/>
              </w:rPr>
            </w:r>
          </w:p>
        </w:tc>
        <w:tc>
          <w:tcPr>
            <w:tcW w:w="56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center" w:pos="4536" w:leader="none"/>
                <w:tab w:val="right" w:pos="9072" w:leader="none"/>
              </w:tabs>
              <w:bidi w:val="0"/>
              <w:ind w:left="0" w:right="0" w:hanging="0"/>
              <w:jc w:val="left"/>
              <w:textAlignment w:val="auto"/>
              <w:rPr>
                <w:lang w:val="ro-RO"/>
              </w:rPr>
            </w:pPr>
            <w:r>
              <w:rPr>
                <w:rFonts w:cs="Times New Roman CE" w:ascii="Times New Roman CE" w:hAnsi="Times New Roman CE"/>
                <w:sz w:val="16"/>
                <w:lang w:val="ro-RO"/>
              </w:rPr>
              <w:t>Naţ</w:t>
            </w:r>
          </w:p>
        </w:tc>
        <w:tc>
          <w:tcPr>
            <w:tcW w:w="7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center" w:pos="4536" w:leader="none"/>
                <w:tab w:val="right" w:pos="9072" w:leader="none"/>
              </w:tabs>
              <w:bidi w:val="0"/>
              <w:ind w:left="0" w:right="0" w:hanging="0"/>
              <w:jc w:val="left"/>
              <w:textAlignment w:val="auto"/>
              <w:rPr>
                <w:lang w:val="ro-RO"/>
              </w:rPr>
            </w:pPr>
            <w:r>
              <w:rPr>
                <w:sz w:val="16"/>
                <w:lang w:val="ro-RO"/>
              </w:rPr>
              <w:t>Inter</w:t>
            </w:r>
            <w:r>
              <w:rPr>
                <w:rFonts w:cs="Times New Roman CE" w:ascii="Times New Roman CE" w:hAnsi="Times New Roman CE"/>
                <w:sz w:val="16"/>
                <w:lang w:val="ro-RO"/>
              </w:rPr>
              <w:t xml:space="preserve"> + naţion. cu part. intern</w:t>
            </w:r>
          </w:p>
        </w:tc>
      </w:tr>
      <w:tr>
        <w:trPr/>
        <w:tc>
          <w:tcPr>
            <w:tcW w:w="6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tabs>
                <w:tab w:val="center" w:pos="4536" w:leader="none"/>
                <w:tab w:val="right" w:pos="9072" w:leader="none"/>
              </w:tabs>
              <w:bidi w:val="0"/>
              <w:ind w:left="0" w:right="0" w:hanging="0"/>
              <w:jc w:val="center"/>
              <w:textAlignment w:val="auto"/>
              <w:rPr>
                <w:lang w:val="ro-RO"/>
              </w:rPr>
            </w:pPr>
            <w:r>
              <w:rPr>
                <w:b/>
                <w:bCs/>
                <w:color w:val="000000"/>
                <w:sz w:val="18"/>
                <w:lang w:val="ro-RO"/>
              </w:rPr>
              <w:t>2016</w:t>
            </w:r>
          </w:p>
        </w:tc>
        <w:tc>
          <w:tcPr>
            <w:tcW w:w="41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tabs>
                <w:tab w:val="center" w:pos="4536" w:leader="none"/>
                <w:tab w:val="right" w:pos="9072" w:leader="none"/>
              </w:tabs>
              <w:bidi w:val="0"/>
              <w:ind w:left="0" w:right="0" w:hanging="0"/>
              <w:jc w:val="center"/>
              <w:textAlignment w:val="auto"/>
              <w:rPr>
                <w:lang w:val="ro-RO"/>
              </w:rPr>
            </w:pPr>
            <w:r>
              <w:rPr>
                <w:b/>
                <w:bCs/>
                <w:sz w:val="18"/>
                <w:lang w:val="ro-RO"/>
              </w:rPr>
              <w:t>10</w:t>
            </w:r>
          </w:p>
        </w:tc>
        <w:tc>
          <w:tcPr>
            <w:tcW w:w="42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tabs>
                <w:tab w:val="center" w:pos="4536" w:leader="none"/>
                <w:tab w:val="right" w:pos="9072" w:leader="none"/>
              </w:tabs>
              <w:bidi w:val="0"/>
              <w:ind w:left="0" w:right="0" w:hanging="0"/>
              <w:jc w:val="center"/>
              <w:textAlignment w:val="auto"/>
              <w:rPr/>
            </w:pPr>
            <w:r>
              <w:rPr>
                <w:b/>
                <w:bCs/>
                <w:sz w:val="18"/>
                <w:lang w:val="ro-RO"/>
              </w:rPr>
              <w:t>10</w:t>
            </w:r>
          </w:p>
        </w:tc>
        <w:tc>
          <w:tcPr>
            <w:tcW w:w="4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tabs>
                <w:tab w:val="center" w:pos="4536" w:leader="none"/>
                <w:tab w:val="right" w:pos="9072" w:leader="none"/>
              </w:tabs>
              <w:bidi w:val="0"/>
              <w:ind w:left="0" w:right="0" w:hanging="0"/>
              <w:jc w:val="center"/>
              <w:textAlignment w:val="auto"/>
              <w:rPr>
                <w:rFonts w:ascii="Times New Roman" w:hAnsi="Times New Roman"/>
                <w:b/>
                <w:b/>
                <w:bCs/>
                <w:color w:val="FF0000"/>
                <w:sz w:val="18"/>
                <w:lang w:val="ro-RO"/>
              </w:rPr>
            </w:pPr>
            <w:r>
              <w:rPr>
                <w:b/>
                <w:bCs/>
                <w:color w:val="FF0000"/>
                <w:sz w:val="18"/>
                <w:lang w:val="ro-RO"/>
              </w:rPr>
            </w:r>
          </w:p>
        </w:tc>
        <w:tc>
          <w:tcPr>
            <w:tcW w:w="54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center" w:pos="4536" w:leader="none"/>
                <w:tab w:val="right" w:pos="9072" w:leader="none"/>
              </w:tabs>
              <w:bidi w:val="0"/>
              <w:ind w:left="0" w:right="0" w:hanging="0"/>
              <w:jc w:val="left"/>
              <w:textAlignment w:val="auto"/>
              <w:rPr>
                <w:rFonts w:ascii="Times New Roman" w:hAnsi="Times New Roman"/>
                <w:b/>
                <w:b/>
                <w:bCs/>
                <w:color w:val="FF0000"/>
                <w:sz w:val="18"/>
                <w:lang w:val="ro-RO"/>
              </w:rPr>
            </w:pPr>
            <w:r>
              <w:rPr>
                <w:b/>
                <w:bCs/>
                <w:color w:val="FF0000"/>
                <w:sz w:val="18"/>
                <w:lang w:val="ro-RO"/>
              </w:rPr>
            </w:r>
          </w:p>
        </w:tc>
        <w:tc>
          <w:tcPr>
            <w:tcW w:w="70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tabs>
                <w:tab w:val="center" w:pos="4536" w:leader="none"/>
                <w:tab w:val="right" w:pos="9072" w:leader="none"/>
              </w:tabs>
              <w:bidi w:val="0"/>
              <w:ind w:left="0" w:right="0" w:hanging="0"/>
              <w:jc w:val="center"/>
              <w:textAlignment w:val="auto"/>
              <w:rPr>
                <w:lang w:val="ro-RO"/>
              </w:rPr>
            </w:pPr>
            <w:r>
              <w:rPr>
                <w:b/>
                <w:bCs/>
                <w:sz w:val="18"/>
                <w:lang w:val="ro-RO"/>
              </w:rPr>
              <w:t>9</w:t>
            </w:r>
          </w:p>
        </w:tc>
        <w:tc>
          <w:tcPr>
            <w:tcW w:w="31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tabs>
                <w:tab w:val="center" w:pos="4536" w:leader="none"/>
                <w:tab w:val="right" w:pos="9072" w:leader="none"/>
              </w:tabs>
              <w:bidi w:val="0"/>
              <w:ind w:left="0" w:right="0" w:hanging="0"/>
              <w:jc w:val="center"/>
              <w:textAlignment w:val="auto"/>
              <w:rPr>
                <w:rFonts w:ascii="Times New Roman" w:hAnsi="Times New Roman"/>
                <w:b/>
                <w:b/>
                <w:bCs/>
                <w:color w:val="FF0000"/>
                <w:sz w:val="18"/>
                <w:lang w:val="ro-RO"/>
              </w:rPr>
            </w:pPr>
            <w:r>
              <w:rPr>
                <w:b/>
                <w:bCs/>
                <w:color w:val="FF0000"/>
                <w:sz w:val="18"/>
                <w:lang w:val="ro-RO"/>
              </w:rPr>
            </w:r>
          </w:p>
        </w:tc>
        <w:tc>
          <w:tcPr>
            <w:tcW w:w="28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tabs>
                <w:tab w:val="center" w:pos="4536" w:leader="none"/>
                <w:tab w:val="right" w:pos="9072" w:leader="none"/>
              </w:tabs>
              <w:bidi w:val="0"/>
              <w:ind w:left="0" w:right="0" w:hanging="0"/>
              <w:jc w:val="center"/>
              <w:textAlignment w:val="auto"/>
              <w:rPr>
                <w:lang w:val="ro-RO"/>
              </w:rPr>
            </w:pPr>
            <w:r>
              <w:rPr>
                <w:b/>
                <w:bCs/>
                <w:sz w:val="18"/>
                <w:lang w:val="ro-RO"/>
              </w:rPr>
              <w:t>5</w:t>
            </w:r>
          </w:p>
        </w:tc>
        <w:tc>
          <w:tcPr>
            <w:tcW w:w="5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tabs>
                <w:tab w:val="center" w:pos="4536" w:leader="none"/>
                <w:tab w:val="right" w:pos="9072" w:leader="none"/>
              </w:tabs>
              <w:bidi w:val="0"/>
              <w:ind w:left="0" w:right="0" w:hanging="0"/>
              <w:jc w:val="center"/>
              <w:textAlignment w:val="auto"/>
              <w:rPr>
                <w:lang w:val="ro-RO"/>
              </w:rPr>
            </w:pPr>
            <w:r>
              <w:rPr>
                <w:b/>
                <w:bCs/>
                <w:sz w:val="18"/>
                <w:lang w:val="ro-RO"/>
              </w:rPr>
              <w:t>12</w:t>
            </w:r>
          </w:p>
        </w:tc>
        <w:tc>
          <w:tcPr>
            <w:tcW w:w="3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extDirection w:val="btLr"/>
            <w:vAlign w:val="center"/>
          </w:tcPr>
          <w:p>
            <w:pPr>
              <w:pStyle w:val="Normal"/>
              <w:widowControl/>
              <w:tabs>
                <w:tab w:val="center" w:pos="4536" w:leader="none"/>
                <w:tab w:val="right" w:pos="9072" w:leader="none"/>
              </w:tabs>
              <w:bidi w:val="0"/>
              <w:ind w:left="0" w:right="0" w:hanging="0"/>
              <w:jc w:val="center"/>
              <w:textAlignment w:val="auto"/>
              <w:rPr>
                <w:rFonts w:ascii="Times New Roman" w:hAnsi="Times New Roman"/>
                <w:b/>
                <w:b/>
                <w:bCs/>
                <w:color w:val="FF0000"/>
                <w:sz w:val="18"/>
                <w:lang w:val="ro-RO"/>
              </w:rPr>
            </w:pPr>
            <w:r>
              <w:rPr>
                <w:b/>
                <w:bCs/>
                <w:color w:val="FF0000"/>
                <w:sz w:val="18"/>
                <w:lang w:val="ro-RO"/>
              </w:rPr>
            </w:r>
          </w:p>
        </w:tc>
        <w:tc>
          <w:tcPr>
            <w:tcW w:w="77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tabs>
                <w:tab w:val="center" w:pos="4536" w:leader="none"/>
                <w:tab w:val="right" w:pos="9072" w:leader="none"/>
              </w:tabs>
              <w:bidi w:val="0"/>
              <w:ind w:left="0" w:right="0" w:hanging="0"/>
              <w:jc w:val="center"/>
              <w:textAlignment w:val="auto"/>
              <w:rPr>
                <w:lang w:val="ro-RO"/>
              </w:rPr>
            </w:pPr>
            <w:r>
              <w:rPr>
                <w:b/>
                <w:bCs/>
                <w:sz w:val="18"/>
                <w:lang w:val="ro-RO"/>
              </w:rPr>
              <w:t>53</w:t>
            </w:r>
          </w:p>
        </w:tc>
        <w:tc>
          <w:tcPr>
            <w:tcW w:w="78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tabs>
                <w:tab w:val="center" w:pos="4536" w:leader="none"/>
                <w:tab w:val="right" w:pos="9072" w:leader="none"/>
              </w:tabs>
              <w:bidi w:val="0"/>
              <w:ind w:left="0" w:right="0" w:hanging="0"/>
              <w:jc w:val="center"/>
              <w:textAlignment w:val="auto"/>
              <w:rPr>
                <w:lang w:val="ro-RO"/>
              </w:rPr>
            </w:pPr>
            <w:r>
              <w:rPr>
                <w:b/>
                <w:bCs/>
                <w:sz w:val="18"/>
                <w:lang w:val="ro-RO"/>
              </w:rPr>
              <w:t>12/4</w:t>
            </w:r>
          </w:p>
        </w:tc>
        <w:tc>
          <w:tcPr>
            <w:tcW w:w="87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tabs>
                <w:tab w:val="center" w:pos="4536" w:leader="none"/>
                <w:tab w:val="right" w:pos="9072" w:leader="none"/>
              </w:tabs>
              <w:bidi w:val="0"/>
              <w:ind w:left="0" w:right="0" w:hanging="0"/>
              <w:jc w:val="center"/>
              <w:textAlignment w:val="auto"/>
              <w:rPr>
                <w:lang w:val="ro-RO"/>
              </w:rPr>
            </w:pPr>
            <w:r>
              <w:rPr>
                <w:b/>
                <w:bCs/>
                <w:sz w:val="18"/>
                <w:lang w:val="ro-RO"/>
              </w:rPr>
              <w:t>24+49=</w:t>
            </w:r>
          </w:p>
          <w:p>
            <w:pPr>
              <w:pStyle w:val="Normal"/>
              <w:widowControl/>
              <w:tabs>
                <w:tab w:val="center" w:pos="4536" w:leader="none"/>
                <w:tab w:val="right" w:pos="9072" w:leader="none"/>
              </w:tabs>
              <w:bidi w:val="0"/>
              <w:ind w:left="0" w:right="0" w:hanging="0"/>
              <w:jc w:val="center"/>
              <w:textAlignment w:val="auto"/>
              <w:rPr>
                <w:lang w:val="ro-RO"/>
              </w:rPr>
            </w:pPr>
            <w:r>
              <w:rPr>
                <w:b/>
                <w:bCs/>
                <w:sz w:val="18"/>
                <w:lang w:val="ro-RO"/>
              </w:rPr>
              <w:t>73</w:t>
            </w:r>
          </w:p>
        </w:tc>
        <w:tc>
          <w:tcPr>
            <w:tcW w:w="54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tabs>
                <w:tab w:val="center" w:pos="4536" w:leader="none"/>
                <w:tab w:val="right" w:pos="9072" w:leader="none"/>
              </w:tabs>
              <w:bidi w:val="0"/>
              <w:ind w:left="0" w:right="0" w:hanging="0"/>
              <w:jc w:val="center"/>
              <w:textAlignment w:val="auto"/>
              <w:rPr>
                <w:rFonts w:ascii="Times New Roman" w:hAnsi="Times New Roman"/>
                <w:b/>
                <w:b/>
                <w:bCs/>
                <w:color w:val="FF0000"/>
                <w:sz w:val="18"/>
                <w:lang w:val="ro-RO"/>
              </w:rPr>
            </w:pPr>
            <w:r>
              <w:rPr>
                <w:b/>
                <w:bCs/>
                <w:color w:val="FF0000"/>
                <w:sz w:val="18"/>
                <w:lang w:val="ro-RO"/>
              </w:rPr>
            </w:r>
          </w:p>
        </w:tc>
        <w:tc>
          <w:tcPr>
            <w:tcW w:w="54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tabs>
                <w:tab w:val="center" w:pos="4536" w:leader="none"/>
                <w:tab w:val="right" w:pos="9072" w:leader="none"/>
              </w:tabs>
              <w:bidi w:val="0"/>
              <w:ind w:left="0" w:right="0" w:hanging="0"/>
              <w:jc w:val="center"/>
              <w:textAlignment w:val="auto"/>
              <w:rPr>
                <w:lang w:val="ro-RO"/>
              </w:rPr>
            </w:pPr>
            <w:r>
              <w:rPr>
                <w:b/>
                <w:bCs/>
                <w:sz w:val="18"/>
                <w:lang w:val="ro-RO"/>
              </w:rPr>
              <w:t>0/1</w:t>
            </w:r>
          </w:p>
        </w:tc>
        <w:tc>
          <w:tcPr>
            <w:tcW w:w="74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tabs>
                <w:tab w:val="center" w:pos="4536" w:leader="none"/>
                <w:tab w:val="right" w:pos="9072" w:leader="none"/>
              </w:tabs>
              <w:bidi w:val="0"/>
              <w:ind w:left="0" w:right="0" w:hanging="0"/>
              <w:jc w:val="center"/>
              <w:textAlignment w:val="auto"/>
              <w:rPr>
                <w:lang w:val="ro-RO"/>
              </w:rPr>
            </w:pPr>
            <w:r>
              <w:rPr>
                <w:b/>
                <w:bCs/>
                <w:sz w:val="18"/>
                <w:lang w:val="ro-RO"/>
              </w:rPr>
              <w:t>0/0/6</w:t>
            </w:r>
          </w:p>
        </w:tc>
        <w:tc>
          <w:tcPr>
            <w:tcW w:w="69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tabs>
                <w:tab w:val="center" w:pos="4536" w:leader="none"/>
                <w:tab w:val="right" w:pos="9072" w:leader="none"/>
              </w:tabs>
              <w:bidi w:val="0"/>
              <w:ind w:left="0" w:right="0" w:hanging="0"/>
              <w:jc w:val="center"/>
              <w:textAlignment w:val="auto"/>
              <w:rPr>
                <w:lang w:val="ro-RO"/>
              </w:rPr>
            </w:pPr>
            <w:r>
              <w:rPr>
                <w:b/>
                <w:bCs/>
                <w:sz w:val="18"/>
                <w:lang w:val="ro-RO"/>
              </w:rPr>
              <w:t>0/1/1</w:t>
            </w:r>
          </w:p>
        </w:tc>
        <w:tc>
          <w:tcPr>
            <w:tcW w:w="56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tabs>
                <w:tab w:val="center" w:pos="4536" w:leader="none"/>
                <w:tab w:val="right" w:pos="9072" w:leader="none"/>
              </w:tabs>
              <w:bidi w:val="0"/>
              <w:ind w:left="0" w:right="0" w:hanging="0"/>
              <w:jc w:val="center"/>
              <w:textAlignment w:val="auto"/>
              <w:rPr>
                <w:lang w:val="ro-RO"/>
              </w:rPr>
            </w:pPr>
            <w:r>
              <w:rPr>
                <w:b/>
                <w:bCs/>
                <w:sz w:val="18"/>
                <w:lang w:val="ro-RO"/>
              </w:rPr>
              <w:t>4</w:t>
            </w:r>
          </w:p>
        </w:tc>
        <w:tc>
          <w:tcPr>
            <w:tcW w:w="73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tabs>
                <w:tab w:val="center" w:pos="4536" w:leader="none"/>
                <w:tab w:val="right" w:pos="9072" w:leader="none"/>
              </w:tabs>
              <w:bidi w:val="0"/>
              <w:ind w:left="0" w:right="0" w:hanging="0"/>
              <w:jc w:val="center"/>
              <w:textAlignment w:val="auto"/>
              <w:rPr>
                <w:lang w:val="ro-RO"/>
              </w:rPr>
            </w:pPr>
            <w:r>
              <w:rPr>
                <w:b/>
                <w:bCs/>
                <w:sz w:val="18"/>
                <w:lang w:val="ro-RO"/>
              </w:rPr>
              <w:t>32+5=</w:t>
            </w:r>
          </w:p>
          <w:p>
            <w:pPr>
              <w:pStyle w:val="Normal"/>
              <w:widowControl/>
              <w:tabs>
                <w:tab w:val="center" w:pos="4536" w:leader="none"/>
                <w:tab w:val="right" w:pos="9072" w:leader="none"/>
              </w:tabs>
              <w:bidi w:val="0"/>
              <w:ind w:left="0" w:right="0" w:hanging="0"/>
              <w:jc w:val="center"/>
              <w:textAlignment w:val="auto"/>
              <w:rPr>
                <w:lang w:val="ro-RO"/>
              </w:rPr>
            </w:pPr>
            <w:r>
              <w:rPr>
                <w:b/>
                <w:bCs/>
                <w:sz w:val="18"/>
                <w:lang w:val="ro-RO"/>
              </w:rPr>
              <w:t>37</w:t>
            </w:r>
          </w:p>
        </w:tc>
      </w:tr>
    </w:tbl>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720" w:right="0" w:hanging="0"/>
        <w:jc w:val="left"/>
        <w:textAlignment w:val="auto"/>
        <w:rPr>
          <w:lang w:val="ro-MD"/>
        </w:rPr>
      </w:pPr>
      <w:r>
        <w:rPr>
          <w:rFonts w:cs="Times New Roman CE" w:ascii="Times New Roman CE" w:hAnsi="Times New Roman CE"/>
          <w:lang w:val="ro-MD"/>
        </w:rPr>
        <w:t>Secretarul ştiinţific____________________</w:t>
      </w:r>
      <w:r>
        <w:rPr>
          <w:lang w:val="ro-MD"/>
        </w:rPr>
        <w:t>__________ NAVAL Elvira</w:t>
      </w:r>
    </w:p>
    <w:p>
      <w:pPr>
        <w:pStyle w:val="Normal"/>
        <w:widowControl/>
        <w:bidi w:val="0"/>
        <w:ind w:left="720" w:right="0" w:hanging="0"/>
        <w:jc w:val="left"/>
        <w:textAlignment w:val="auto"/>
        <w:rPr>
          <w:rFonts w:ascii="Times New Roman" w:hAnsi="Times New Roman"/>
          <w:lang w:val="ro-MD"/>
        </w:rPr>
      </w:pPr>
      <w:r>
        <w:rPr>
          <w:lang w:val="ro-MD"/>
        </w:rPr>
      </w:r>
    </w:p>
    <w:p>
      <w:pPr>
        <w:pStyle w:val="Normal"/>
        <w:widowControl/>
        <w:bidi w:val="0"/>
        <w:ind w:left="720" w:right="0" w:hanging="0"/>
        <w:jc w:val="left"/>
        <w:textAlignment w:val="auto"/>
        <w:rPr>
          <w:rFonts w:ascii="Times New Roman" w:hAnsi="Times New Roman"/>
          <w:lang w:val="ro-MD"/>
        </w:rPr>
      </w:pPr>
      <w:r>
        <w:rPr>
          <w:lang w:val="ro-MD"/>
        </w:rPr>
      </w:r>
    </w:p>
    <w:p>
      <w:pPr>
        <w:pStyle w:val="Normal"/>
        <w:widowControl/>
        <w:bidi w:val="0"/>
        <w:ind w:left="720" w:right="0" w:hanging="0"/>
        <w:jc w:val="left"/>
        <w:textAlignment w:val="auto"/>
        <w:rPr>
          <w:rFonts w:ascii="Times New Roman" w:hAnsi="Times New Roman"/>
          <w:lang w:val="ro-MD"/>
        </w:rPr>
      </w:pPr>
      <w:r>
        <w:rPr>
          <w:lang w:val="ro-MD"/>
        </w:rPr>
      </w:r>
    </w:p>
    <w:p>
      <w:pPr>
        <w:pStyle w:val="Normal"/>
        <w:widowControl/>
        <w:bidi w:val="0"/>
        <w:ind w:left="720" w:right="0" w:hanging="0"/>
        <w:jc w:val="left"/>
        <w:textAlignment w:val="auto"/>
        <w:rPr>
          <w:rFonts w:ascii="Times New Roman" w:hAnsi="Times New Roman"/>
          <w:lang w:val="ro-MD"/>
        </w:rPr>
      </w:pPr>
      <w:r>
        <w:rPr>
          <w:lang w:val="ro-MD"/>
        </w:rPr>
      </w:r>
    </w:p>
    <w:p>
      <w:pPr>
        <w:pStyle w:val="Normal"/>
        <w:widowControl/>
        <w:bidi w:val="0"/>
        <w:ind w:left="720" w:right="0" w:hanging="0"/>
        <w:jc w:val="left"/>
        <w:textAlignment w:val="auto"/>
        <w:rPr>
          <w:rFonts w:ascii="Times New Roman" w:hAnsi="Times New Roman"/>
          <w:lang w:val="ro-MD"/>
        </w:rPr>
      </w:pPr>
      <w:r>
        <w:rPr>
          <w:lang w:val="ro-MD"/>
        </w:rPr>
      </w:r>
    </w:p>
    <w:p>
      <w:pPr>
        <w:pStyle w:val="Normal"/>
        <w:widowControl/>
        <w:bidi w:val="0"/>
        <w:ind w:left="720" w:right="0" w:hanging="0"/>
        <w:jc w:val="left"/>
        <w:textAlignment w:val="auto"/>
        <w:rPr>
          <w:rFonts w:ascii="Times New Roman" w:hAnsi="Times New Roman"/>
          <w:lang w:val="ro-MD"/>
        </w:rPr>
      </w:pPr>
      <w:r>
        <w:rPr>
          <w:lang w:val="ro-MD"/>
        </w:rPr>
      </w:r>
    </w:p>
    <w:p>
      <w:pPr>
        <w:pStyle w:val="Normal"/>
        <w:widowControl/>
        <w:bidi w:val="0"/>
        <w:ind w:left="720" w:right="0" w:hanging="0"/>
        <w:jc w:val="left"/>
        <w:textAlignment w:val="auto"/>
        <w:rPr>
          <w:rFonts w:ascii="Times New Roman" w:hAnsi="Times New Roman"/>
          <w:lang w:val="ro-MD"/>
        </w:rPr>
      </w:pPr>
      <w:r>
        <w:rPr>
          <w:lang w:val="ro-MD"/>
        </w:rPr>
      </w:r>
    </w:p>
    <w:p>
      <w:pPr>
        <w:pStyle w:val="Normal"/>
        <w:widowControl/>
        <w:bidi w:val="0"/>
        <w:ind w:left="720" w:right="0" w:hanging="0"/>
        <w:jc w:val="left"/>
        <w:textAlignment w:val="auto"/>
        <w:rPr>
          <w:rFonts w:ascii="Times New Roman" w:hAnsi="Times New Roman"/>
          <w:lang w:val="ro-MD"/>
        </w:rPr>
      </w:pPr>
      <w:r>
        <w:rPr>
          <w:lang w:val="ro-MD"/>
        </w:rPr>
      </w:r>
    </w:p>
    <w:p>
      <w:pPr>
        <w:pStyle w:val="Normal"/>
        <w:widowControl/>
        <w:bidi w:val="0"/>
        <w:ind w:left="720" w:right="0" w:hanging="0"/>
        <w:jc w:val="left"/>
        <w:textAlignment w:val="auto"/>
        <w:rPr>
          <w:rFonts w:ascii="Times New Roman" w:hAnsi="Times New Roman"/>
          <w:lang w:val="ro-MD"/>
        </w:rPr>
      </w:pPr>
      <w:r>
        <w:rPr>
          <w:lang w:val="ro-MD"/>
        </w:rPr>
      </w:r>
    </w:p>
    <w:p>
      <w:pPr>
        <w:pStyle w:val="Normal"/>
        <w:widowControl/>
        <w:bidi w:val="0"/>
        <w:ind w:left="720" w:right="0" w:hanging="0"/>
        <w:jc w:val="left"/>
        <w:textAlignment w:val="auto"/>
        <w:rPr>
          <w:lang w:val="ro-MD"/>
        </w:rPr>
      </w:pPr>
      <w:r>
        <w:rPr>
          <w:lang w:val="ro-MD"/>
        </w:rPr>
      </w:r>
      <w:r>
        <w:br w:type="page"/>
      </w:r>
    </w:p>
    <w:p>
      <w:pPr>
        <w:pStyle w:val="Normal"/>
        <w:widowControl/>
        <w:bidi w:val="0"/>
        <w:ind w:left="720" w:right="0" w:hanging="0"/>
        <w:jc w:val="left"/>
        <w:textAlignment w:val="auto"/>
        <w:rPr>
          <w:rFonts w:ascii="Times New Roman" w:hAnsi="Times New Roman"/>
          <w:lang w:val="ro-MD"/>
        </w:rPr>
      </w:pPr>
      <w:r>
        <w:rPr>
          <w:lang w:val="ro-MD"/>
        </w:rPr>
      </w:r>
    </w:p>
    <w:p>
      <w:pPr>
        <w:pStyle w:val="1"/>
        <w:keepNext/>
        <w:widowControl/>
        <w:numPr>
          <w:ilvl w:val="0"/>
          <w:numId w:val="0"/>
        </w:numPr>
        <w:bidi w:val="0"/>
        <w:spacing w:before="0" w:after="0"/>
        <w:ind w:left="0" w:right="0" w:hanging="0"/>
        <w:jc w:val="left"/>
        <w:textAlignment w:val="auto"/>
        <w:outlineLvl w:val="0"/>
        <w:rPr>
          <w:b w:val="false"/>
          <w:b w:val="false"/>
          <w:lang w:val="ro-MD"/>
        </w:rPr>
      </w:pPr>
      <w:bookmarkStart w:id="143" w:name="_Toc469651918"/>
      <w:r>
        <w:rPr>
          <w:rFonts w:cs="Times New Roman CE" w:ascii="Times New Roman CE" w:hAnsi="Times New Roman CE"/>
          <w:b w:val="false"/>
          <w:lang w:val="ro-MD"/>
        </w:rPr>
        <w:t>Lista  obiectelor de proprietate intelectuală înregistrate sau depuse în</w:t>
      </w:r>
      <w:bookmarkEnd w:id="143"/>
      <w:r>
        <w:rPr>
          <w:rFonts w:cs="Times New Roman CE" w:ascii="Times New Roman CE" w:hAnsi="Times New Roman CE"/>
          <w:b w:val="false"/>
          <w:lang w:val="ro-MD"/>
        </w:rPr>
        <w:t xml:space="preserve"> </w:t>
      </w:r>
    </w:p>
    <w:p>
      <w:pPr>
        <w:pStyle w:val="1"/>
        <w:keepNext/>
        <w:widowControl/>
        <w:numPr>
          <w:ilvl w:val="0"/>
          <w:numId w:val="0"/>
        </w:numPr>
        <w:bidi w:val="0"/>
        <w:spacing w:before="0" w:after="0"/>
        <w:ind w:left="0" w:right="0" w:hanging="0"/>
        <w:jc w:val="left"/>
        <w:textAlignment w:val="auto"/>
        <w:outlineLvl w:val="0"/>
        <w:rPr>
          <w:b w:val="false"/>
          <w:b w:val="false"/>
          <w:lang w:val="ro-MD"/>
        </w:rPr>
      </w:pPr>
      <w:bookmarkStart w:id="144" w:name="_Toc4696519181"/>
      <w:bookmarkStart w:id="145" w:name="_Toc375219600"/>
      <w:bookmarkStart w:id="146" w:name="_Toc311820802"/>
      <w:bookmarkStart w:id="147" w:name="_Toc311820478"/>
      <w:bookmarkStart w:id="148" w:name="_Toc311819998"/>
      <w:bookmarkStart w:id="149" w:name="_Toc311819728"/>
      <w:bookmarkStart w:id="150" w:name="_Toc311818790"/>
      <w:bookmarkStart w:id="151" w:name="_Toc311818458"/>
      <w:bookmarkEnd w:id="144"/>
      <w:bookmarkEnd w:id="145"/>
      <w:bookmarkEnd w:id="146"/>
      <w:bookmarkEnd w:id="147"/>
      <w:bookmarkEnd w:id="148"/>
      <w:bookmarkEnd w:id="149"/>
      <w:bookmarkEnd w:id="150"/>
      <w:bookmarkEnd w:id="151"/>
      <w:r>
        <w:rPr>
          <w:rFonts w:cs="Times New Roman CE" w:ascii="Times New Roman CE" w:hAnsi="Times New Roman CE"/>
          <w:b w:val="false"/>
          <w:lang w:val="ro-MD"/>
        </w:rPr>
        <w:t>perioada raportată (Forma 5)</w:t>
      </w:r>
    </w:p>
    <w:p>
      <w:pPr>
        <w:pStyle w:val="Normal"/>
        <w:widowControl/>
        <w:bidi w:val="0"/>
        <w:ind w:left="0" w:right="0" w:hanging="0"/>
        <w:jc w:val="center"/>
        <w:textAlignment w:val="auto"/>
        <w:rPr>
          <w:lang w:val="ro-MD"/>
        </w:rPr>
      </w:pPr>
      <w:bookmarkStart w:id="152" w:name="_Toc4696519201"/>
      <w:bookmarkStart w:id="153" w:name="_Toc375219601"/>
      <w:bookmarkStart w:id="154" w:name="_Toc311820803"/>
      <w:bookmarkStart w:id="155" w:name="_Toc311820479"/>
      <w:bookmarkStart w:id="156" w:name="_Toc311819999"/>
      <w:bookmarkStart w:id="157" w:name="_Toc311819729"/>
      <w:bookmarkStart w:id="158" w:name="_Toc311818791"/>
      <w:bookmarkEnd w:id="152"/>
      <w:bookmarkEnd w:id="153"/>
      <w:bookmarkEnd w:id="154"/>
      <w:bookmarkEnd w:id="155"/>
      <w:bookmarkEnd w:id="156"/>
      <w:bookmarkEnd w:id="157"/>
      <w:bookmarkEnd w:id="158"/>
      <w:r>
        <w:rPr>
          <w:b/>
          <w:sz w:val="22"/>
          <w:szCs w:val="22"/>
          <w:lang w:val="ro-MD"/>
        </w:rPr>
        <w:t xml:space="preserve">LISTA </w:t>
      </w:r>
    </w:p>
    <w:p>
      <w:pPr>
        <w:pStyle w:val="Normal"/>
        <w:widowControl/>
        <w:bidi w:val="0"/>
        <w:ind w:left="0" w:right="0" w:hanging="0"/>
        <w:jc w:val="center"/>
        <w:textAlignment w:val="auto"/>
        <w:rPr>
          <w:lang w:val="ro-MD"/>
        </w:rPr>
      </w:pPr>
      <w:r>
        <w:rPr>
          <w:rFonts w:cs="Times New Roman CE" w:ascii="Times New Roman CE" w:hAnsi="Times New Roman CE"/>
          <w:sz w:val="22"/>
          <w:szCs w:val="22"/>
          <w:lang w:val="ro-MD"/>
        </w:rPr>
        <w:t xml:space="preserve">obiectelor de proprietate intelectuală (OPI) înregistrate sau depuse în perioada raportată </w:t>
      </w:r>
    </w:p>
    <w:tbl>
      <w:tblPr>
        <w:tblW w:w="10454" w:type="dxa"/>
        <w:jc w:val="left"/>
        <w:tblInd w:w="-10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3" w:type="dxa"/>
          <w:bottom w:w="0" w:type="dxa"/>
          <w:right w:w="108" w:type="dxa"/>
        </w:tblCellMar>
      </w:tblPr>
      <w:tblGrid>
        <w:gridCol w:w="530"/>
        <w:gridCol w:w="2412"/>
        <w:gridCol w:w="3605"/>
        <w:gridCol w:w="1774"/>
        <w:gridCol w:w="2133"/>
      </w:tblGrid>
      <w:tr>
        <w:trPr/>
        <w:tc>
          <w:tcPr>
            <w:tcW w:w="5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MD"/>
              </w:rPr>
            </w:pPr>
            <w:r>
              <w:rPr>
                <w:sz w:val="22"/>
                <w:szCs w:val="22"/>
                <w:lang w:val="ro-MD"/>
              </w:rPr>
              <w:t>Nr.</w:t>
            </w:r>
          </w:p>
          <w:p>
            <w:pPr>
              <w:pStyle w:val="Normal"/>
              <w:widowControl/>
              <w:bidi w:val="0"/>
              <w:ind w:left="0" w:right="0" w:hanging="0"/>
              <w:jc w:val="center"/>
              <w:textAlignment w:val="auto"/>
              <w:rPr>
                <w:lang w:val="ro-MD"/>
              </w:rPr>
            </w:pPr>
            <w:r>
              <w:rPr>
                <w:sz w:val="22"/>
                <w:szCs w:val="22"/>
                <w:lang w:val="ro-MD"/>
              </w:rPr>
              <w:t>d/o</w:t>
            </w:r>
          </w:p>
        </w:tc>
        <w:tc>
          <w:tcPr>
            <w:tcW w:w="241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MD"/>
              </w:rPr>
            </w:pPr>
            <w:r>
              <w:rPr>
                <w:sz w:val="22"/>
                <w:szCs w:val="22"/>
                <w:lang w:val="ro-MD"/>
              </w:rPr>
              <w:t>Numele, prenumele autorilor</w:t>
            </w:r>
          </w:p>
        </w:tc>
        <w:tc>
          <w:tcPr>
            <w:tcW w:w="36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sz w:val="22"/>
                <w:szCs w:val="22"/>
                <w:lang w:val="ro-MD"/>
              </w:rPr>
              <w:t>OPI</w:t>
            </w:r>
            <w:r>
              <w:rPr>
                <w:rFonts w:cs="Times New Roman CE" w:ascii="Times New Roman CE" w:hAnsi="Times New Roman CE"/>
                <w:sz w:val="22"/>
                <w:szCs w:val="22"/>
                <w:lang w:val="ro-MD"/>
              </w:rPr>
              <w:t xml:space="preserve"> – brevet de invenţie, </w:t>
            </w:r>
            <w:r>
              <w:rPr>
                <w:sz w:val="22"/>
                <w:szCs w:val="22"/>
                <w:lang w:val="ro-MD"/>
              </w:rPr>
              <w:t>soiuri de plante</w:t>
            </w:r>
          </w:p>
        </w:tc>
        <w:tc>
          <w:tcPr>
            <w:tcW w:w="17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sz w:val="22"/>
                <w:szCs w:val="22"/>
                <w:lang w:val="ro-MD"/>
              </w:rPr>
              <w:t xml:space="preserve">Sursa de finanţare </w:t>
            </w:r>
            <w:r>
              <w:rPr/>
              <w:br/>
            </w:r>
            <w:r>
              <w:rPr>
                <w:rFonts w:cs="Times New Roman CE" w:ascii="Times New Roman CE" w:hAnsi="Times New Roman CE"/>
                <w:sz w:val="22"/>
                <w:szCs w:val="22"/>
                <w:lang w:val="ro-MD"/>
              </w:rPr>
              <w:t>(instituţional, din programe de stat, proiecte independente sau internaţionale)</w:t>
            </w:r>
            <w:r>
              <w:rPr>
                <w:sz w:val="22"/>
                <w:szCs w:val="22"/>
                <w:lang w:val="ro-MD"/>
              </w:rPr>
              <w:t>, costul estimativ al OPI</w:t>
            </w:r>
          </w:p>
        </w:tc>
        <w:tc>
          <w:tcPr>
            <w:tcW w:w="21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sz w:val="22"/>
                <w:szCs w:val="22"/>
                <w:lang w:val="ro-MD"/>
              </w:rPr>
              <w:t xml:space="preserve">Data şi numărul </w:t>
            </w:r>
            <w:r>
              <w:rPr>
                <w:sz w:val="22"/>
                <w:szCs w:val="22"/>
                <w:lang w:val="ro-MD"/>
              </w:rPr>
              <w:t>OPI</w:t>
            </w:r>
          </w:p>
        </w:tc>
      </w:tr>
      <w:tr>
        <w:trPr/>
        <w:tc>
          <w:tcPr>
            <w:tcW w:w="10454"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MD"/>
              </w:rPr>
            </w:pPr>
            <w:r>
              <w:rPr>
                <w:b/>
                <w:i/>
                <w:lang w:val="ro-MD"/>
              </w:rPr>
              <w:t>Cereri de brevet depuse</w:t>
            </w:r>
          </w:p>
        </w:tc>
      </w:tr>
      <w:tr>
        <w:trPr/>
        <w:tc>
          <w:tcPr>
            <w:tcW w:w="5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rFonts w:ascii="Times New Roman" w:hAnsi="Times New Roman"/>
                <w:sz w:val="22"/>
                <w:szCs w:val="22"/>
                <w:lang w:val="ro-MD"/>
              </w:rPr>
            </w:pPr>
            <w:r>
              <w:rPr>
                <w:sz w:val="22"/>
                <w:szCs w:val="22"/>
                <w:lang w:val="ro-MD"/>
              </w:rPr>
            </w:r>
          </w:p>
        </w:tc>
        <w:tc>
          <w:tcPr>
            <w:tcW w:w="241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rFonts w:ascii="Times New Roman" w:hAnsi="Times New Roman"/>
                <w:sz w:val="22"/>
                <w:szCs w:val="22"/>
                <w:lang w:val="ro-MD"/>
              </w:rPr>
            </w:pPr>
            <w:r>
              <w:rPr>
                <w:sz w:val="22"/>
                <w:szCs w:val="22"/>
                <w:lang w:val="ro-MD"/>
              </w:rPr>
            </w:r>
          </w:p>
        </w:tc>
        <w:tc>
          <w:tcPr>
            <w:tcW w:w="36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rFonts w:ascii="Times New Roman" w:hAnsi="Times New Roman"/>
                <w:i/>
                <w:i/>
                <w:lang w:val="ro-MD"/>
              </w:rPr>
            </w:pPr>
            <w:r>
              <w:rPr>
                <w:i/>
                <w:lang w:val="ro-MD"/>
              </w:rPr>
            </w:r>
          </w:p>
        </w:tc>
        <w:tc>
          <w:tcPr>
            <w:tcW w:w="17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rFonts w:ascii="Times New Roman" w:hAnsi="Times New Roman"/>
                <w:sz w:val="22"/>
                <w:szCs w:val="22"/>
                <w:lang w:val="ro-MD"/>
              </w:rPr>
            </w:pPr>
            <w:r>
              <w:rPr>
                <w:sz w:val="22"/>
                <w:szCs w:val="22"/>
                <w:lang w:val="ro-MD"/>
              </w:rPr>
            </w:r>
          </w:p>
        </w:tc>
        <w:tc>
          <w:tcPr>
            <w:tcW w:w="21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rFonts w:ascii="Times New Roman" w:hAnsi="Times New Roman"/>
                <w:sz w:val="22"/>
                <w:szCs w:val="22"/>
                <w:lang w:val="ro-MD"/>
              </w:rPr>
            </w:pPr>
            <w:r>
              <w:rPr>
                <w:sz w:val="22"/>
                <w:szCs w:val="22"/>
                <w:lang w:val="ro-MD"/>
              </w:rPr>
            </w:r>
          </w:p>
        </w:tc>
      </w:tr>
      <w:tr>
        <w:trPr/>
        <w:tc>
          <w:tcPr>
            <w:tcW w:w="10454"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MD"/>
              </w:rPr>
            </w:pPr>
            <w:r>
              <w:rPr>
                <w:b/>
                <w:lang w:val="ro-MD"/>
              </w:rPr>
              <w:t>Alte OPI</w:t>
            </w:r>
          </w:p>
        </w:tc>
      </w:tr>
      <w:tr>
        <w:trPr/>
        <w:tc>
          <w:tcPr>
            <w:tcW w:w="5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MD"/>
              </w:rPr>
            </w:pPr>
            <w:r>
              <w:rPr>
                <w:sz w:val="22"/>
                <w:szCs w:val="22"/>
                <w:lang w:val="ro-MD"/>
              </w:rPr>
              <w:t>1</w:t>
            </w:r>
          </w:p>
        </w:tc>
        <w:tc>
          <w:tcPr>
            <w:tcW w:w="241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sz w:val="22"/>
                <w:szCs w:val="22"/>
                <w:lang w:val="ro-MD"/>
              </w:rPr>
              <w:t>ŢÂMBALĂ</w:t>
            </w:r>
            <w:r>
              <w:rPr>
                <w:sz w:val="22"/>
                <w:szCs w:val="22"/>
                <w:lang w:val="ro-MD"/>
              </w:rPr>
              <w:t xml:space="preserve"> Carolina, SECRIERU Iulian, CAZACOV Vladimir, L</w:t>
            </w:r>
            <w:r>
              <w:rPr>
                <w:rFonts w:cs="Times New Roman CE" w:ascii="Times New Roman CE" w:hAnsi="Times New Roman CE"/>
                <w:sz w:val="22"/>
                <w:szCs w:val="22"/>
                <w:lang w:val="ro-MD"/>
              </w:rPr>
              <w:t>UPAŞCO</w:t>
            </w:r>
            <w:r>
              <w:rPr>
                <w:sz w:val="22"/>
                <w:szCs w:val="22"/>
                <w:lang w:val="ro-MD"/>
              </w:rPr>
              <w:t xml:space="preserve"> Iuliana</w:t>
            </w:r>
          </w:p>
        </w:tc>
        <w:tc>
          <w:tcPr>
            <w:tcW w:w="36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sz w:val="22"/>
                <w:szCs w:val="22"/>
                <w:lang w:val="ro-MD"/>
              </w:rPr>
              <w:t>Certificat de inovator</w:t>
            </w:r>
            <w:r>
              <w:rPr>
                <w:rFonts w:cs="Times New Roman CE" w:ascii="Times New Roman CE" w:hAnsi="Times New Roman CE"/>
                <w:i/>
                <w:sz w:val="22"/>
                <w:szCs w:val="22"/>
                <w:lang w:val="ro-MD"/>
              </w:rPr>
              <w:t xml:space="preserve"> „Metoda de apreciere a severităţii dereglărilor circulatorii în hipertensiunea portală asociată cirozei hepatice bazate pe </w:t>
            </w:r>
            <w:r>
              <w:rPr>
                <w:i/>
                <w:sz w:val="22"/>
                <w:szCs w:val="22"/>
                <w:lang w:val="ro-MD"/>
              </w:rPr>
              <w:t>ecografia dopler duplex color”</w:t>
            </w:r>
          </w:p>
        </w:tc>
        <w:tc>
          <w:tcPr>
            <w:tcW w:w="17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sz w:val="22"/>
                <w:szCs w:val="22"/>
                <w:lang w:val="ro-MD"/>
              </w:rPr>
              <w:t>Proiect de transfer tehnologic</w:t>
            </w:r>
          </w:p>
        </w:tc>
        <w:tc>
          <w:tcPr>
            <w:tcW w:w="21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sz w:val="22"/>
                <w:szCs w:val="22"/>
                <w:lang w:val="ro-MD"/>
              </w:rPr>
              <w:t>14.12.2015</w:t>
            </w:r>
          </w:p>
          <w:p>
            <w:pPr>
              <w:pStyle w:val="Normal"/>
              <w:widowControl/>
              <w:bidi w:val="0"/>
              <w:ind w:left="0" w:right="0" w:hanging="0"/>
              <w:jc w:val="left"/>
              <w:textAlignment w:val="auto"/>
              <w:rPr>
                <w:lang w:val="ro-MD"/>
              </w:rPr>
            </w:pPr>
            <w:r>
              <w:rPr>
                <w:sz w:val="22"/>
                <w:szCs w:val="22"/>
                <w:lang w:val="ro-MD"/>
              </w:rPr>
              <w:t>Nr. 5492</w:t>
            </w:r>
          </w:p>
        </w:tc>
      </w:tr>
      <w:tr>
        <w:trPr/>
        <w:tc>
          <w:tcPr>
            <w:tcW w:w="5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numPr>
                <w:ilvl w:val="0"/>
                <w:numId w:val="70"/>
              </w:numPr>
              <w:tabs>
                <w:tab w:val="left" w:pos="360" w:leader="none"/>
              </w:tabs>
              <w:bidi w:val="0"/>
              <w:ind w:left="360" w:right="0" w:hanging="0"/>
              <w:jc w:val="center"/>
              <w:textAlignment w:val="auto"/>
              <w:rPr>
                <w:rFonts w:ascii="Times New Roman" w:hAnsi="Times New Roman"/>
                <w:lang w:val="ro-MD"/>
              </w:rPr>
            </w:pPr>
            <w:r>
              <w:rPr>
                <w:lang w:val="ro-MD"/>
              </w:rPr>
            </w:r>
          </w:p>
        </w:tc>
        <w:tc>
          <w:tcPr>
            <w:tcW w:w="241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sz w:val="22"/>
                <w:szCs w:val="22"/>
                <w:lang w:val="ro-MD"/>
              </w:rPr>
              <w:t>ŢÂMBALĂ Carolina, SECRIERU Iulian</w:t>
            </w:r>
          </w:p>
        </w:tc>
        <w:tc>
          <w:tcPr>
            <w:tcW w:w="36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sz w:val="22"/>
                <w:szCs w:val="22"/>
                <w:lang w:val="ro-MD"/>
              </w:rPr>
              <w:t>Certificat de</w:t>
            </w:r>
            <w:r>
              <w:rPr>
                <w:rFonts w:cs="Times New Roman CE" w:ascii="Times New Roman CE" w:hAnsi="Times New Roman CE"/>
                <w:sz w:val="22"/>
                <w:szCs w:val="22"/>
                <w:lang w:val="ro-MD"/>
              </w:rPr>
              <w:t xml:space="preserve"> înregistrare a obiectelor dreptului de autor şi drepturilor conexe </w:t>
            </w:r>
            <w:r>
              <w:rPr>
                <w:i/>
                <w:sz w:val="22"/>
                <w:szCs w:val="22"/>
                <w:lang w:val="ro-MD"/>
              </w:rPr>
              <w:t>„Scoring for portal hemodynamics disorders severity in liver cirrhosis assessment by duplex ultrasound”</w:t>
            </w:r>
          </w:p>
        </w:tc>
        <w:tc>
          <w:tcPr>
            <w:tcW w:w="17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lang w:val="ro-MD"/>
              </w:rPr>
              <w:t>P</w:t>
            </w:r>
            <w:r>
              <w:rPr>
                <w:rFonts w:cs="Times New Roman CE" w:ascii="Times New Roman CE" w:hAnsi="Times New Roman CE"/>
                <w:lang w:val="ro-MD"/>
              </w:rPr>
              <w:t>roiect instituţional</w:t>
            </w:r>
          </w:p>
        </w:tc>
        <w:tc>
          <w:tcPr>
            <w:tcW w:w="21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sz w:val="22"/>
                <w:szCs w:val="22"/>
                <w:lang w:val="ro-MD"/>
              </w:rPr>
              <w:t>Seria OŞ Nr. 5494 din 21.11.2016</w:t>
            </w:r>
          </w:p>
        </w:tc>
      </w:tr>
      <w:tr>
        <w:trPr/>
        <w:tc>
          <w:tcPr>
            <w:tcW w:w="5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numPr>
                <w:ilvl w:val="0"/>
                <w:numId w:val="70"/>
              </w:numPr>
              <w:tabs>
                <w:tab w:val="left" w:pos="360" w:leader="none"/>
              </w:tabs>
              <w:bidi w:val="0"/>
              <w:ind w:left="360" w:right="0" w:hanging="0"/>
              <w:jc w:val="center"/>
              <w:textAlignment w:val="auto"/>
              <w:rPr>
                <w:rFonts w:ascii="Times New Roman" w:hAnsi="Times New Roman"/>
                <w:lang w:val="ro-MD"/>
              </w:rPr>
            </w:pPr>
            <w:r>
              <w:rPr>
                <w:lang w:val="ro-MD"/>
              </w:rPr>
            </w:r>
          </w:p>
        </w:tc>
        <w:tc>
          <w:tcPr>
            <w:tcW w:w="241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sz w:val="22"/>
                <w:szCs w:val="22"/>
                <w:lang w:val="ro-MD"/>
              </w:rPr>
              <w:t>ALBU Veaceslav</w:t>
            </w:r>
          </w:p>
        </w:tc>
        <w:tc>
          <w:tcPr>
            <w:tcW w:w="36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sz w:val="22"/>
                <w:szCs w:val="22"/>
                <w:lang w:val="ro-MD"/>
              </w:rPr>
              <w:t>Certificat de</w:t>
            </w:r>
            <w:r>
              <w:rPr>
                <w:rFonts w:cs="Times New Roman CE" w:ascii="Times New Roman CE" w:hAnsi="Times New Roman CE"/>
                <w:sz w:val="22"/>
                <w:szCs w:val="22"/>
                <w:lang w:val="ro-MD"/>
              </w:rPr>
              <w:t xml:space="preserve"> înregistrare a obiectelor dreptului de autor şi drepturilor conexe </w:t>
            </w:r>
            <w:r>
              <w:rPr>
                <w:i/>
                <w:sz w:val="22"/>
                <w:szCs w:val="22"/>
                <w:lang w:val="ro-MD"/>
              </w:rPr>
              <w:t>„</w:t>
            </w:r>
            <w:r>
              <w:rPr>
                <w:rFonts w:cs="Times New Roman CE" w:ascii="Times New Roman CE" w:hAnsi="Times New Roman CE"/>
                <w:i/>
                <w:sz w:val="22"/>
                <w:szCs w:val="22"/>
                <w:lang w:val="ro-MD"/>
              </w:rPr>
              <w:t>Antrenarea reţelei neuronale modulare”</w:t>
            </w:r>
          </w:p>
        </w:tc>
        <w:tc>
          <w:tcPr>
            <w:tcW w:w="17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lang w:val="ro-MD"/>
              </w:rPr>
              <w:t>Proiect instituţional</w:t>
            </w:r>
          </w:p>
        </w:tc>
        <w:tc>
          <w:tcPr>
            <w:tcW w:w="21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sz w:val="22"/>
                <w:szCs w:val="22"/>
                <w:lang w:val="ro-MD"/>
              </w:rPr>
              <w:t>Seria PC Nr. 5483 din 18.10.2016</w:t>
            </w:r>
          </w:p>
        </w:tc>
      </w:tr>
    </w:tbl>
    <w:p>
      <w:pPr>
        <w:pStyle w:val="1"/>
        <w:keepNext/>
        <w:widowControl/>
        <w:numPr>
          <w:ilvl w:val="0"/>
          <w:numId w:val="0"/>
        </w:numPr>
        <w:bidi w:val="0"/>
        <w:spacing w:before="240" w:after="60"/>
        <w:ind w:left="0" w:right="0" w:hanging="0"/>
        <w:jc w:val="left"/>
        <w:textAlignment w:val="auto"/>
        <w:outlineLvl w:val="0"/>
        <w:rPr>
          <w:rFonts w:ascii="Times New Roman" w:hAnsi="Times New Roman" w:cs="Times New Roman"/>
          <w:b w:val="false"/>
          <w:b w:val="false"/>
          <w:lang w:val="ro-MD"/>
        </w:rPr>
      </w:pPr>
      <w:r>
        <w:rPr>
          <w:rFonts w:cs="Times New Roman" w:ascii="Times New Roman" w:hAnsi="Times New Roman"/>
          <w:b w:val="false"/>
          <w:lang w:val="ro-MD"/>
        </w:rPr>
      </w:r>
    </w:p>
    <w:p>
      <w:pPr>
        <w:pStyle w:val="1"/>
        <w:keepNext/>
        <w:widowControl/>
        <w:numPr>
          <w:ilvl w:val="0"/>
          <w:numId w:val="0"/>
        </w:numPr>
        <w:bidi w:val="0"/>
        <w:spacing w:before="240" w:after="60"/>
        <w:ind w:left="0" w:right="0" w:hanging="0"/>
        <w:jc w:val="left"/>
        <w:textAlignment w:val="auto"/>
        <w:outlineLvl w:val="0"/>
        <w:rPr>
          <w:b w:val="false"/>
          <w:b w:val="false"/>
          <w:lang w:val="ro-MD"/>
        </w:rPr>
      </w:pPr>
      <w:bookmarkStart w:id="159" w:name="_Toc469651920"/>
      <w:r>
        <w:rPr>
          <w:rFonts w:cs="Times New Roman" w:ascii="Times New Roman" w:hAnsi="Times New Roman"/>
          <w:b w:val="false"/>
          <w:lang w:val="ro-MD"/>
        </w:rPr>
        <w:t>Activit</w:t>
      </w:r>
      <w:bookmarkEnd w:id="159"/>
      <w:r>
        <w:rPr>
          <w:rFonts w:cs="Times New Roman CE" w:ascii="Times New Roman CE" w:hAnsi="Times New Roman CE"/>
          <w:b w:val="false"/>
          <w:lang w:val="ro-MD"/>
        </w:rPr>
        <w:t>atea de brevetare  în anul 2016 (Anexă la Forma 5)</w:t>
      </w:r>
    </w:p>
    <w:tbl>
      <w:tblPr>
        <w:tblW w:w="10454" w:type="dxa"/>
        <w:jc w:val="left"/>
        <w:tblInd w:w="-10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3" w:type="dxa"/>
          <w:bottom w:w="0" w:type="dxa"/>
          <w:right w:w="108" w:type="dxa"/>
        </w:tblCellMar>
      </w:tblPr>
      <w:tblGrid>
        <w:gridCol w:w="530"/>
        <w:gridCol w:w="2598"/>
        <w:gridCol w:w="3419"/>
        <w:gridCol w:w="1774"/>
        <w:gridCol w:w="2133"/>
      </w:tblGrid>
      <w:tr>
        <w:trPr/>
        <w:tc>
          <w:tcPr>
            <w:tcW w:w="5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MD"/>
              </w:rPr>
            </w:pPr>
            <w:r>
              <w:rPr>
                <w:sz w:val="22"/>
                <w:szCs w:val="22"/>
                <w:lang w:val="ro-MD"/>
              </w:rPr>
              <w:t>Nr.</w:t>
            </w:r>
          </w:p>
          <w:p>
            <w:pPr>
              <w:pStyle w:val="Normal"/>
              <w:widowControl/>
              <w:bidi w:val="0"/>
              <w:ind w:left="0" w:right="0" w:hanging="0"/>
              <w:jc w:val="center"/>
              <w:textAlignment w:val="auto"/>
              <w:rPr>
                <w:lang w:val="ro-MD"/>
              </w:rPr>
            </w:pPr>
            <w:r>
              <w:rPr>
                <w:sz w:val="22"/>
                <w:szCs w:val="22"/>
                <w:lang w:val="ro-MD"/>
              </w:rPr>
              <w:t>d/o</w:t>
            </w:r>
          </w:p>
        </w:tc>
        <w:tc>
          <w:tcPr>
            <w:tcW w:w="25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MD"/>
              </w:rPr>
            </w:pPr>
            <w:r>
              <w:rPr>
                <w:sz w:val="22"/>
                <w:szCs w:val="22"/>
                <w:lang w:val="ro-MD"/>
              </w:rPr>
              <w:t>Numele, prenumele autorilor</w:t>
            </w:r>
          </w:p>
          <w:p>
            <w:pPr>
              <w:pStyle w:val="Normal"/>
              <w:widowControl/>
              <w:bidi w:val="0"/>
              <w:ind w:left="0" w:right="0" w:hanging="0"/>
              <w:jc w:val="center"/>
              <w:textAlignment w:val="auto"/>
              <w:rPr>
                <w:rFonts w:ascii="Times New Roman" w:hAnsi="Times New Roman"/>
                <w:sz w:val="22"/>
                <w:szCs w:val="22"/>
                <w:lang w:val="ro-MD"/>
              </w:rPr>
            </w:pPr>
            <w:r>
              <w:rPr>
                <w:sz w:val="22"/>
                <w:szCs w:val="22"/>
                <w:lang w:val="ro-MD"/>
              </w:rPr>
            </w:r>
          </w:p>
        </w:tc>
        <w:tc>
          <w:tcPr>
            <w:tcW w:w="3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sz w:val="22"/>
                <w:szCs w:val="22"/>
                <w:lang w:val="ro-MD"/>
              </w:rPr>
              <w:t xml:space="preserve">Denumirea invenţiei </w:t>
            </w:r>
          </w:p>
        </w:tc>
        <w:tc>
          <w:tcPr>
            <w:tcW w:w="17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sz w:val="22"/>
                <w:szCs w:val="22"/>
                <w:lang w:val="ro-MD"/>
              </w:rPr>
              <w:t xml:space="preserve">Sursa de finanţare a cercetărilor ştiinţifice </w:t>
            </w:r>
            <w:r>
              <w:rPr/>
              <w:br/>
            </w:r>
          </w:p>
        </w:tc>
        <w:tc>
          <w:tcPr>
            <w:tcW w:w="21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sz w:val="22"/>
                <w:szCs w:val="22"/>
                <w:lang w:val="ro-MD"/>
              </w:rPr>
              <w:t>Numărul brevetului, hotărâri de acordare a brevetului, certificatului de drept de autor</w:t>
            </w:r>
          </w:p>
        </w:tc>
      </w:tr>
      <w:tr>
        <w:trPr/>
        <w:tc>
          <w:tcPr>
            <w:tcW w:w="5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rFonts w:ascii="Times New Roman" w:hAnsi="Times New Roman"/>
                <w:sz w:val="22"/>
                <w:szCs w:val="22"/>
                <w:lang w:val="ro-MD"/>
              </w:rPr>
            </w:pPr>
            <w:r>
              <w:rPr>
                <w:sz w:val="22"/>
                <w:szCs w:val="22"/>
                <w:lang w:val="ro-MD"/>
              </w:rPr>
            </w:r>
          </w:p>
        </w:tc>
        <w:tc>
          <w:tcPr>
            <w:tcW w:w="259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rFonts w:ascii="Times New Roman" w:hAnsi="Times New Roman"/>
                <w:color w:val="FF0000"/>
                <w:sz w:val="22"/>
                <w:szCs w:val="22"/>
                <w:lang w:val="ro-MD"/>
              </w:rPr>
            </w:pPr>
            <w:r>
              <w:rPr>
                <w:color w:val="FF0000"/>
                <w:sz w:val="22"/>
                <w:szCs w:val="22"/>
                <w:lang w:val="ro-MD"/>
              </w:rPr>
            </w:r>
          </w:p>
        </w:tc>
        <w:tc>
          <w:tcPr>
            <w:tcW w:w="3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MD"/>
              </w:rPr>
            </w:pPr>
            <w:r>
              <w:rPr>
                <w:sz w:val="22"/>
                <w:szCs w:val="22"/>
                <w:lang w:val="ro-MD"/>
              </w:rPr>
              <w:t>Nu sunt</w:t>
            </w:r>
          </w:p>
        </w:tc>
        <w:tc>
          <w:tcPr>
            <w:tcW w:w="17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rFonts w:ascii="Times New Roman" w:hAnsi="Times New Roman"/>
                <w:color w:val="FF0000"/>
                <w:sz w:val="22"/>
                <w:szCs w:val="22"/>
                <w:lang w:val="ro-MD"/>
              </w:rPr>
            </w:pPr>
            <w:r>
              <w:rPr>
                <w:color w:val="FF0000"/>
                <w:sz w:val="22"/>
                <w:szCs w:val="22"/>
                <w:lang w:val="ro-MD"/>
              </w:rPr>
            </w:r>
          </w:p>
        </w:tc>
        <w:tc>
          <w:tcPr>
            <w:tcW w:w="213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rFonts w:ascii="Times New Roman" w:hAnsi="Times New Roman"/>
                <w:color w:val="FF0000"/>
                <w:sz w:val="22"/>
                <w:szCs w:val="22"/>
                <w:lang w:val="ro-MD"/>
              </w:rPr>
            </w:pPr>
            <w:r>
              <w:rPr>
                <w:color w:val="FF0000"/>
                <w:sz w:val="22"/>
                <w:szCs w:val="22"/>
                <w:lang w:val="ro-MD"/>
              </w:rPr>
            </w:r>
          </w:p>
        </w:tc>
      </w:tr>
    </w:tbl>
    <w:p>
      <w:pPr>
        <w:pStyle w:val="Normal"/>
        <w:widowControl/>
        <w:bidi w:val="0"/>
        <w:ind w:left="0" w:right="0" w:hanging="0"/>
        <w:jc w:val="left"/>
        <w:textAlignment w:val="auto"/>
        <w:rPr>
          <w:rFonts w:ascii="Times New Roman" w:hAnsi="Times New Roman"/>
          <w:lang w:val="fr-FR"/>
        </w:rPr>
      </w:pPr>
      <w:r>
        <w:rPr>
          <w:lang w:val="fr-FR"/>
        </w:rPr>
      </w:r>
    </w:p>
    <w:p>
      <w:pPr>
        <w:pStyle w:val="Normal"/>
        <w:widowControl/>
        <w:bidi w:val="0"/>
        <w:ind w:left="0" w:right="0" w:hanging="0"/>
        <w:jc w:val="left"/>
        <w:textAlignment w:val="auto"/>
        <w:rPr>
          <w:rFonts w:ascii="Times New Roman" w:hAnsi="Times New Roman"/>
          <w:lang w:val="fr-FR"/>
        </w:rPr>
      </w:pPr>
      <w:r>
        <w:rPr>
          <w:lang w:val="fr-FR"/>
        </w:rPr>
      </w:r>
    </w:p>
    <w:p>
      <w:pPr>
        <w:pStyle w:val="Normal"/>
        <w:widowControl/>
        <w:bidi w:val="0"/>
        <w:ind w:left="720" w:right="0" w:hanging="0"/>
        <w:jc w:val="left"/>
        <w:textAlignment w:val="auto"/>
        <w:rPr>
          <w:rFonts w:ascii="Times New Roman" w:hAnsi="Times New Roman"/>
          <w:lang w:val="ro-MD"/>
        </w:rPr>
      </w:pPr>
      <w:bookmarkStart w:id="160" w:name="_Toc4696519201"/>
      <w:bookmarkStart w:id="161" w:name="_Toc375219601"/>
      <w:bookmarkStart w:id="162" w:name="_Toc311820803"/>
      <w:bookmarkStart w:id="163" w:name="_Toc311820479"/>
      <w:bookmarkStart w:id="164" w:name="_Toc311819999"/>
      <w:bookmarkStart w:id="165" w:name="_Toc311819729"/>
      <w:bookmarkStart w:id="166" w:name="_Toc311818791"/>
      <w:bookmarkStart w:id="167" w:name="_Toc4696519201"/>
      <w:bookmarkStart w:id="168" w:name="_Toc375219601"/>
      <w:bookmarkStart w:id="169" w:name="_Toc311820803"/>
      <w:bookmarkStart w:id="170" w:name="_Toc311820479"/>
      <w:bookmarkStart w:id="171" w:name="_Toc311819999"/>
      <w:bookmarkStart w:id="172" w:name="_Toc311819729"/>
      <w:bookmarkStart w:id="173" w:name="_Toc311818791"/>
      <w:bookmarkEnd w:id="167"/>
      <w:bookmarkEnd w:id="168"/>
      <w:bookmarkEnd w:id="169"/>
      <w:bookmarkEnd w:id="170"/>
      <w:bookmarkEnd w:id="171"/>
      <w:bookmarkEnd w:id="172"/>
      <w:bookmarkEnd w:id="173"/>
      <w:r>
        <w:rPr>
          <w:lang w:val="ro-MD"/>
        </w:rPr>
      </w:r>
    </w:p>
    <w:p>
      <w:pPr>
        <w:sectPr>
          <w:headerReference w:type="default" r:id="rId92"/>
          <w:headerReference w:type="first" r:id="rId93"/>
          <w:footerReference w:type="default" r:id="rId94"/>
          <w:footerReference w:type="first" r:id="rId95"/>
          <w:type w:val="nextPage"/>
          <w:pgSz w:w="12240" w:h="15840"/>
          <w:pgMar w:left="1134" w:right="1134" w:header="720" w:top="1304" w:footer="720" w:bottom="993" w:gutter="0"/>
          <w:pgNumType w:fmt="decimal"/>
          <w:formProt w:val="false"/>
          <w:titlePg/>
          <w:textDirection w:val="lrTb"/>
          <w:docGrid w:type="default" w:linePitch="240" w:charSpace="4294961151"/>
        </w:sectPr>
      </w:pPr>
    </w:p>
    <w:p>
      <w:pPr>
        <w:pStyle w:val="Normal"/>
        <w:widowControl/>
        <w:bidi w:val="0"/>
        <w:ind w:left="0" w:right="0" w:hanging="0"/>
        <w:jc w:val="left"/>
        <w:textAlignment w:val="auto"/>
        <w:rPr>
          <w:lang w:val="ro-MD"/>
        </w:rPr>
      </w:pPr>
      <w:r>
        <w:rPr>
          <w:rFonts w:cs="Times New Roman CE" w:ascii="Times New Roman CE" w:hAnsi="Times New Roman CE"/>
          <w:lang w:val="ro-MD"/>
        </w:rPr>
        <w:t>Secretarul ştiinţific______________________________</w:t>
      </w:r>
      <w:r>
        <w:rPr>
          <w:lang w:val="ro-MD"/>
        </w:rPr>
        <w:t xml:space="preserve"> NAVAL Elvira</w:t>
      </w:r>
      <w:r>
        <w:rPr>
          <w:rFonts w:cs="Times New Roman"/>
          <w:sz w:val="24"/>
          <w:szCs w:val="24"/>
          <w:lang w:val="ro-MD" w:eastAsia="ru-RU" w:bidi="ar-SA"/>
        </w:rPr>
        <w:tab/>
      </w:r>
      <w:r>
        <w:rPr>
          <w:lang w:val="ro-MD"/>
        </w:rPr>
        <w:tab/>
      </w:r>
    </w:p>
    <w:p>
      <w:pPr>
        <w:sectPr>
          <w:type w:val="continuous"/>
          <w:pgSz w:w="12240" w:h="15840"/>
          <w:pgMar w:left="1134" w:right="1134" w:header="720" w:top="1304" w:footer="720" w:bottom="993" w:gutter="0"/>
          <w:formProt w:val="false"/>
          <w:textDirection w:val="lrTb"/>
          <w:docGrid w:type="default" w:linePitch="240" w:charSpace="4294961151"/>
        </w:sectPr>
      </w:pPr>
    </w:p>
    <w:p>
      <w:pPr>
        <w:pStyle w:val="Normal"/>
        <w:rPr/>
      </w:pPr>
      <w:bookmarkStart w:id="174" w:name="_Forma_6"/>
      <w:bookmarkStart w:id="175" w:name="_Forma_6"/>
      <w:bookmarkEnd w:id="175"/>
      <w:r>
        <w:rPr/>
      </w:r>
    </w:p>
    <w:p>
      <w:pPr>
        <w:pStyle w:val="1"/>
        <w:keepNext/>
        <w:widowControl/>
        <w:numPr>
          <w:ilvl w:val="0"/>
          <w:numId w:val="0"/>
        </w:numPr>
        <w:bidi w:val="0"/>
        <w:spacing w:before="0" w:after="0"/>
        <w:ind w:left="0" w:right="0" w:hanging="0"/>
        <w:jc w:val="left"/>
        <w:textAlignment w:val="auto"/>
        <w:outlineLvl w:val="0"/>
        <w:rPr>
          <w:b w:val="false"/>
          <w:b w:val="false"/>
          <w:lang w:val="fr-FR"/>
        </w:rPr>
      </w:pPr>
      <w:r>
        <w:rPr>
          <w:b w:val="false"/>
          <w:lang w:val="fr-FR"/>
        </w:rPr>
      </w:r>
    </w:p>
    <w:p>
      <w:pPr>
        <w:pStyle w:val="1"/>
        <w:keepNext/>
        <w:widowControl/>
        <w:numPr>
          <w:ilvl w:val="0"/>
          <w:numId w:val="0"/>
        </w:numPr>
        <w:bidi w:val="0"/>
        <w:spacing w:before="0" w:after="0"/>
        <w:ind w:left="0" w:right="0" w:hanging="0"/>
        <w:jc w:val="left"/>
        <w:textAlignment w:val="auto"/>
        <w:outlineLvl w:val="0"/>
        <w:rPr>
          <w:b w:val="false"/>
          <w:b w:val="false"/>
          <w:lang w:val="fr-FR"/>
        </w:rPr>
      </w:pPr>
      <w:bookmarkStart w:id="176" w:name="_Toc469651921"/>
      <w:r>
        <w:rPr>
          <w:rFonts w:cs="Times New Roman CE" w:ascii="Times New Roman CE" w:hAnsi="Times New Roman CE"/>
          <w:b w:val="false"/>
          <w:lang w:val="fr-FR"/>
        </w:rPr>
        <w:t>Lista cercetătorilor ştiinţifici ai organizaţiei la 31.12. 201</w:t>
      </w:r>
      <w:bookmarkEnd w:id="176"/>
      <w:r>
        <w:rPr>
          <w:rFonts w:cs="Times New Roman" w:ascii="Times New Roman" w:hAnsi="Times New Roman"/>
          <w:b w:val="false"/>
          <w:lang w:val="fr-FR"/>
        </w:rPr>
        <w:t>6 pe subdiviziuni</w:t>
      </w:r>
    </w:p>
    <w:p>
      <w:pPr>
        <w:pStyle w:val="1"/>
        <w:keepNext/>
        <w:widowControl/>
        <w:numPr>
          <w:ilvl w:val="0"/>
          <w:numId w:val="0"/>
        </w:numPr>
        <w:bidi w:val="0"/>
        <w:spacing w:before="0" w:after="0"/>
        <w:ind w:left="0" w:right="0" w:hanging="0"/>
        <w:jc w:val="left"/>
        <w:textAlignment w:val="auto"/>
        <w:outlineLvl w:val="0"/>
        <w:rPr>
          <w:b w:val="false"/>
          <w:b w:val="false"/>
          <w:lang w:val="fr-FR"/>
        </w:rPr>
      </w:pPr>
      <w:r>
        <w:rPr>
          <w:rFonts w:cs="Times New Roman" w:ascii="Times New Roman" w:hAnsi="Times New Roman"/>
          <w:b w:val="false"/>
          <w:lang w:val="fr-FR"/>
        </w:rPr>
        <w:t xml:space="preserve"> </w:t>
      </w:r>
      <w:r>
        <w:rPr>
          <w:rFonts w:cs="Times New Roman" w:ascii="Times New Roman" w:hAnsi="Times New Roman"/>
          <w:b w:val="false"/>
          <w:lang w:val="fr-FR"/>
        </w:rPr>
        <w:tab/>
      </w:r>
      <w:bookmarkStart w:id="177" w:name="_Toc469651922"/>
      <w:bookmarkEnd w:id="177"/>
      <w:r>
        <w:rPr>
          <w:rFonts w:cs="Times New Roman" w:ascii="Times New Roman" w:hAnsi="Times New Roman"/>
          <w:b w:val="false"/>
          <w:lang w:val="fr-FR"/>
        </w:rPr>
        <w:t>(Forma 6)</w:t>
      </w:r>
    </w:p>
    <w:p>
      <w:pPr>
        <w:pStyle w:val="Normal"/>
        <w:widowControl/>
        <w:bidi w:val="0"/>
        <w:ind w:left="0" w:right="0" w:hanging="0"/>
        <w:jc w:val="right"/>
        <w:textAlignment w:val="auto"/>
        <w:rPr>
          <w:lang w:val="ro-MD"/>
        </w:rPr>
      </w:pPr>
      <w:r>
        <w:rPr>
          <w:rFonts w:cs="Times New Roman CE" w:ascii="Times New Roman CE" w:hAnsi="Times New Roman CE"/>
          <w:sz w:val="22"/>
          <w:szCs w:val="22"/>
          <w:lang w:val="ro-MD"/>
        </w:rPr>
        <w:t xml:space="preserve">Anexă la </w:t>
      </w:r>
      <w:r>
        <w:rPr>
          <w:sz w:val="22"/>
          <w:szCs w:val="22"/>
          <w:lang w:val="ro-MD"/>
        </w:rPr>
        <w:t xml:space="preserve">raportul e activitate al    </w:t>
      </w:r>
    </w:p>
    <w:p>
      <w:pPr>
        <w:pStyle w:val="Normal"/>
        <w:widowControl/>
        <w:bidi w:val="0"/>
        <w:ind w:left="0" w:right="0" w:hanging="0"/>
        <w:jc w:val="right"/>
        <w:textAlignment w:val="auto"/>
        <w:rPr>
          <w:lang w:val="ro-MD"/>
        </w:rPr>
      </w:pPr>
      <w:r>
        <w:rPr>
          <w:sz w:val="22"/>
          <w:szCs w:val="22"/>
          <w:lang w:val="ro-MD"/>
        </w:rPr>
        <w:t xml:space="preserve"> </w:t>
      </w:r>
      <w:r>
        <w:rPr>
          <w:rFonts w:cs="Times New Roman CE" w:ascii="Times New Roman CE" w:hAnsi="Times New Roman CE"/>
          <w:i/>
          <w:sz w:val="22"/>
          <w:szCs w:val="22"/>
          <w:lang w:val="ro-MD"/>
        </w:rPr>
        <w:t>Institutul de Matematică şi Informatică</w:t>
      </w:r>
    </w:p>
    <w:p>
      <w:pPr>
        <w:pStyle w:val="Style14"/>
        <w:widowControl/>
        <w:bidi w:val="0"/>
        <w:ind w:left="0" w:right="0" w:hanging="0"/>
        <w:jc w:val="center"/>
        <w:textAlignment w:val="auto"/>
        <w:rPr>
          <w:rFonts w:ascii="Times New Roman" w:hAnsi="Times New Roman"/>
          <w:b/>
          <w:b/>
          <w:bCs/>
          <w:spacing w:val="78"/>
          <w:sz w:val="22"/>
          <w:szCs w:val="22"/>
          <w:lang w:val="ro-MD"/>
        </w:rPr>
      </w:pPr>
      <w:r>
        <w:rPr>
          <w:b/>
          <w:bCs/>
          <w:spacing w:val="78"/>
          <w:sz w:val="22"/>
          <w:szCs w:val="22"/>
          <w:lang w:val="ro-MD"/>
        </w:rPr>
      </w:r>
    </w:p>
    <w:tbl>
      <w:tblPr>
        <w:tblW w:w="11204" w:type="dxa"/>
        <w:jc w:val="left"/>
        <w:tblInd w:w="52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3" w:type="dxa"/>
          <w:bottom w:w="0" w:type="dxa"/>
          <w:right w:w="108" w:type="dxa"/>
        </w:tblCellMar>
      </w:tblPr>
      <w:tblGrid>
        <w:gridCol w:w="1089"/>
        <w:gridCol w:w="2073"/>
        <w:gridCol w:w="921"/>
        <w:gridCol w:w="2280"/>
        <w:gridCol w:w="1660"/>
        <w:gridCol w:w="1027"/>
        <w:gridCol w:w="2153"/>
      </w:tblGrid>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Nr. d/o</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Numele,  prenumele</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Anul naşterii</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Specialitatea</w:t>
            </w:r>
          </w:p>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(denumirea şi cifrul)</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 xml:space="preserve">Gradul </w:t>
            </w:r>
          </w:p>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ştiinţific</w:t>
            </w:r>
            <w:r>
              <w:rPr>
                <w:bCs/>
                <w:sz w:val="22"/>
                <w:szCs w:val="20"/>
                <w:lang w:val="ro-MD"/>
              </w:rPr>
              <w:t>, anul conferirii</w:t>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 xml:space="preserve">Bază / cumul /   acord de </w:t>
            </w:r>
            <w:r>
              <w:rPr>
                <w:rFonts w:cs="Times New Roman CE" w:ascii="Times New Roman CE" w:hAnsi="Times New Roman CE"/>
                <w:bCs/>
                <w:sz w:val="22"/>
                <w:szCs w:val="20"/>
                <w:lang w:val="ro-RO"/>
              </w:rPr>
              <w:t>muncă</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Funcţia, telefon</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2</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3</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4</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5</w:t>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6</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7</w:t>
            </w:r>
          </w:p>
        </w:tc>
      </w:tr>
      <w:tr>
        <w:trPr/>
        <w:tc>
          <w:tcPr>
            <w:tcW w:w="11203" w:type="dxa"/>
            <w:gridSpan w:val="7"/>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
                <w:sz w:val="26"/>
                <w:szCs w:val="20"/>
                <w:lang w:val="ro-MD"/>
              </w:rPr>
              <w:t xml:space="preserve">Laboratorul </w:t>
            </w:r>
            <w:r>
              <w:rPr>
                <w:rFonts w:cs="Times New Roman CE" w:ascii="Times New Roman CE" w:hAnsi="Times New Roman CE"/>
                <w:b/>
                <w:sz w:val="26"/>
                <w:szCs w:val="20"/>
                <w:lang w:val="ro-RO"/>
              </w:rPr>
              <w:t>„Algebra şi topologie”</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lang w:val="ro-MD"/>
              </w:rPr>
              <w:t>Arnautov Vladimir</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1939</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1"/>
              <w:widowControl/>
              <w:bidi w:val="0"/>
              <w:ind w:left="0" w:right="0" w:hanging="0"/>
              <w:jc w:val="left"/>
              <w:textAlignment w:val="auto"/>
              <w:rPr>
                <w:lang w:val="ro-MD"/>
              </w:rPr>
            </w:pPr>
            <w:r>
              <w:rPr>
                <w:rFonts w:cs="Arial" w:ascii="Times New Roman" w:hAnsi="Times New Roman"/>
                <w:sz w:val="22"/>
                <w:szCs w:val="22"/>
                <w:lang w:val="ro-MD"/>
              </w:rPr>
              <w:t>111.03</w:t>
            </w:r>
            <w:r>
              <w:rPr>
                <w:rFonts w:cs="Arial" w:ascii="Times New Roman CE" w:hAnsi="Times New Roman CE"/>
                <w:sz w:val="22"/>
                <w:szCs w:val="22"/>
                <w:lang w:val="ro-MD"/>
              </w:rPr>
              <w:t xml:space="preserve">     Logică matematică, algebră şi teoria numerelor</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doctor hab. în şt.f-m. (1973)</w:t>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bază</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Cercetător ştiinţific principal 738035</w:t>
            </w:r>
          </w:p>
          <w:p>
            <w:pPr>
              <w:pStyle w:val="Style14"/>
              <w:widowControl/>
              <w:bidi w:val="0"/>
              <w:ind w:left="0" w:right="0" w:hanging="0"/>
              <w:jc w:val="left"/>
              <w:textAlignment w:val="auto"/>
              <w:rPr>
                <w:lang w:val="ro-MD"/>
              </w:rPr>
            </w:pPr>
            <w:r>
              <w:rPr>
                <w:bCs/>
                <w:sz w:val="22"/>
                <w:szCs w:val="20"/>
                <w:lang w:val="ro-MD"/>
              </w:rPr>
              <w:t>069586984</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2.</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lang w:val="ro-MD"/>
              </w:rPr>
              <w:t>Izbaş Vladimir</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1958</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1"/>
              <w:widowControl/>
              <w:bidi w:val="0"/>
              <w:ind w:left="0" w:right="0" w:hanging="0"/>
              <w:jc w:val="left"/>
              <w:textAlignment w:val="auto"/>
              <w:rPr>
                <w:lang w:val="ro-MD"/>
              </w:rPr>
            </w:pPr>
            <w:r>
              <w:rPr>
                <w:rFonts w:cs="Arial" w:ascii="Times New Roman" w:hAnsi="Times New Roman"/>
                <w:sz w:val="22"/>
                <w:szCs w:val="22"/>
                <w:lang w:val="ro-MD"/>
              </w:rPr>
              <w:t>111.03</w:t>
            </w:r>
            <w:r>
              <w:rPr>
                <w:rFonts w:cs="Arial" w:ascii="Times New Roman CE" w:hAnsi="Times New Roman CE"/>
                <w:sz w:val="22"/>
                <w:szCs w:val="22"/>
                <w:lang w:val="ro-MD"/>
              </w:rPr>
              <w:t xml:space="preserve">     Logică matematică, algebră şi teoria numerelor</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doctor  în şt.f-m. (1992),</w:t>
            </w:r>
          </w:p>
          <w:p>
            <w:pPr>
              <w:pStyle w:val="Style14"/>
              <w:widowControl/>
              <w:bidi w:val="0"/>
              <w:ind w:left="0" w:right="0" w:hanging="0"/>
              <w:jc w:val="left"/>
              <w:textAlignment w:val="auto"/>
              <w:rPr>
                <w:rFonts w:ascii="Times New Roman" w:hAnsi="Times New Roman"/>
                <w:bCs/>
                <w:sz w:val="22"/>
                <w:szCs w:val="20"/>
                <w:lang w:val="ro-MD"/>
              </w:rPr>
            </w:pPr>
            <w:r>
              <w:rPr>
                <w:bCs/>
                <w:sz w:val="22"/>
                <w:szCs w:val="20"/>
                <w:lang w:val="ro-MD"/>
              </w:rPr>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bază</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Şef de laborator 738029</w:t>
            </w:r>
            <w:r>
              <w:rPr>
                <w:bCs/>
                <w:sz w:val="22"/>
                <w:szCs w:val="20"/>
                <w:lang w:val="ro-MD"/>
              </w:rPr>
              <w:t xml:space="preserve">  069151343</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3.</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lang w:val="ro-MD"/>
              </w:rPr>
              <w:t>Reabuhin Iuri</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1939</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1"/>
              <w:widowControl/>
              <w:bidi w:val="0"/>
              <w:ind w:left="0" w:right="0" w:hanging="0"/>
              <w:jc w:val="left"/>
              <w:textAlignment w:val="auto"/>
              <w:rPr>
                <w:lang w:val="ro-MD"/>
              </w:rPr>
            </w:pPr>
            <w:r>
              <w:rPr>
                <w:rFonts w:cs="Arial" w:ascii="Times New Roman" w:hAnsi="Times New Roman"/>
                <w:sz w:val="22"/>
                <w:szCs w:val="22"/>
                <w:lang w:val="ro-MD"/>
              </w:rPr>
              <w:t>111.03</w:t>
            </w:r>
            <w:r>
              <w:rPr>
                <w:rFonts w:cs="Arial" w:ascii="Times New Roman CE" w:hAnsi="Times New Roman CE"/>
                <w:sz w:val="22"/>
                <w:szCs w:val="22"/>
                <w:lang w:val="ro-MD"/>
              </w:rPr>
              <w:t xml:space="preserve">     Logică matematică, algebră şi teoria numerelor</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doctor hab. în şt.f-m. (1971)</w:t>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bază</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 xml:space="preserve">Consultant ştiinţific </w:t>
            </w:r>
          </w:p>
          <w:p>
            <w:pPr>
              <w:pStyle w:val="Style14"/>
              <w:widowControl/>
              <w:bidi w:val="0"/>
              <w:ind w:left="0" w:right="0" w:hanging="0"/>
              <w:jc w:val="left"/>
              <w:textAlignment w:val="auto"/>
              <w:rPr>
                <w:lang w:val="ro-MD"/>
              </w:rPr>
            </w:pPr>
            <w:r>
              <w:rPr>
                <w:bCs/>
                <w:sz w:val="22"/>
                <w:szCs w:val="20"/>
                <w:lang w:val="ro-MD"/>
              </w:rPr>
              <w:t>738987</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4.</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lang w:val="ro-MD"/>
              </w:rPr>
              <w:t>Şcerbacov Victor</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1956</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1"/>
              <w:widowControl/>
              <w:bidi w:val="0"/>
              <w:ind w:left="0" w:right="0" w:hanging="0"/>
              <w:jc w:val="left"/>
              <w:textAlignment w:val="auto"/>
              <w:rPr>
                <w:lang w:val="ro-MD"/>
              </w:rPr>
            </w:pPr>
            <w:r>
              <w:rPr>
                <w:rFonts w:cs="Arial" w:ascii="Times New Roman" w:hAnsi="Times New Roman"/>
                <w:sz w:val="22"/>
                <w:szCs w:val="22"/>
                <w:lang w:val="ro-MD"/>
              </w:rPr>
              <w:t>111.03</w:t>
            </w:r>
            <w:r>
              <w:rPr>
                <w:rFonts w:cs="Arial" w:ascii="Times New Roman CE" w:hAnsi="Times New Roman CE"/>
                <w:sz w:val="22"/>
                <w:szCs w:val="22"/>
                <w:lang w:val="ro-MD"/>
              </w:rPr>
              <w:t xml:space="preserve">     Logică matematică, algebră şi teoria numerelor</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doctor hab. în şt.f-m. (2008)</w:t>
            </w:r>
          </w:p>
          <w:p>
            <w:pPr>
              <w:pStyle w:val="Style14"/>
              <w:widowControl/>
              <w:bidi w:val="0"/>
              <w:ind w:left="0" w:right="0" w:hanging="0"/>
              <w:jc w:val="left"/>
              <w:textAlignment w:val="auto"/>
              <w:rPr>
                <w:rFonts w:ascii="Times New Roman" w:hAnsi="Times New Roman"/>
                <w:bCs/>
                <w:sz w:val="22"/>
                <w:szCs w:val="20"/>
                <w:lang w:val="ro-MD"/>
              </w:rPr>
            </w:pPr>
            <w:r>
              <w:rPr>
                <w:bCs/>
                <w:sz w:val="22"/>
                <w:szCs w:val="20"/>
                <w:lang w:val="ro-MD"/>
              </w:rPr>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bază</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 xml:space="preserve">Cercetător ştiinţific principal </w:t>
            </w:r>
          </w:p>
          <w:p>
            <w:pPr>
              <w:pStyle w:val="Style14"/>
              <w:widowControl/>
              <w:bidi w:val="0"/>
              <w:ind w:left="0" w:right="0" w:hanging="0"/>
              <w:jc w:val="left"/>
              <w:textAlignment w:val="auto"/>
              <w:rPr>
                <w:lang w:val="ro-MD"/>
              </w:rPr>
            </w:pPr>
            <w:r>
              <w:rPr>
                <w:bCs/>
                <w:sz w:val="22"/>
                <w:szCs w:val="20"/>
                <w:lang w:val="ro-MD"/>
              </w:rPr>
              <w:t>738029</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5.</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lang w:val="ro-MD"/>
              </w:rPr>
              <w:t>Cuzneţov Eugeniu</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1964</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1"/>
              <w:widowControl/>
              <w:bidi w:val="0"/>
              <w:ind w:left="0" w:right="0" w:hanging="0"/>
              <w:jc w:val="left"/>
              <w:textAlignment w:val="auto"/>
              <w:rPr>
                <w:lang w:val="ro-MD"/>
              </w:rPr>
            </w:pPr>
            <w:r>
              <w:rPr>
                <w:rFonts w:cs="Arial" w:ascii="Times New Roman" w:hAnsi="Times New Roman"/>
                <w:sz w:val="22"/>
                <w:szCs w:val="22"/>
                <w:lang w:val="ro-MD"/>
              </w:rPr>
              <w:t>111.03</w:t>
            </w:r>
            <w:r>
              <w:rPr>
                <w:rFonts w:cs="Arial" w:ascii="Times New Roman CE" w:hAnsi="Times New Roman CE"/>
                <w:sz w:val="22"/>
                <w:szCs w:val="22"/>
                <w:lang w:val="ro-MD"/>
              </w:rPr>
              <w:t xml:space="preserve">     Logică matematică, algebră şi teoria numerelor</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doctor  în şt.f-m. (1990)</w:t>
            </w:r>
          </w:p>
          <w:p>
            <w:pPr>
              <w:pStyle w:val="Style14"/>
              <w:widowControl/>
              <w:bidi w:val="0"/>
              <w:ind w:left="0" w:right="0" w:hanging="0"/>
              <w:jc w:val="left"/>
              <w:textAlignment w:val="auto"/>
              <w:rPr>
                <w:rFonts w:ascii="Times New Roman" w:hAnsi="Times New Roman"/>
                <w:bCs/>
                <w:sz w:val="22"/>
                <w:szCs w:val="20"/>
                <w:lang w:val="ro-MD"/>
              </w:rPr>
            </w:pPr>
            <w:r>
              <w:rPr>
                <w:bCs/>
                <w:sz w:val="22"/>
                <w:szCs w:val="20"/>
                <w:lang w:val="ro-MD"/>
              </w:rPr>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bază</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Cercetător şt. superior 738029</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6.</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lang w:val="ro-MD"/>
              </w:rPr>
              <w:t>Popa Valeriu</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1956</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1"/>
              <w:widowControl/>
              <w:bidi w:val="0"/>
              <w:ind w:left="0" w:right="0" w:hanging="0"/>
              <w:jc w:val="left"/>
              <w:textAlignment w:val="auto"/>
              <w:rPr>
                <w:lang w:val="ro-MD"/>
              </w:rPr>
            </w:pPr>
            <w:r>
              <w:rPr>
                <w:rFonts w:cs="Arial" w:ascii="Times New Roman" w:hAnsi="Times New Roman"/>
                <w:sz w:val="22"/>
                <w:szCs w:val="22"/>
                <w:lang w:val="ro-MD"/>
              </w:rPr>
              <w:t>111.03</w:t>
            </w:r>
            <w:r>
              <w:rPr>
                <w:rFonts w:cs="Arial" w:ascii="Times New Roman CE" w:hAnsi="Times New Roman CE"/>
                <w:sz w:val="22"/>
                <w:szCs w:val="22"/>
                <w:lang w:val="ro-MD"/>
              </w:rPr>
              <w:t xml:space="preserve">     Logică matematică, algebră şi teoria numerelor</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doctor  în şt.f-m. (1999)</w:t>
            </w:r>
          </w:p>
          <w:p>
            <w:pPr>
              <w:pStyle w:val="Style14"/>
              <w:widowControl/>
              <w:bidi w:val="0"/>
              <w:ind w:left="0" w:right="0" w:hanging="0"/>
              <w:jc w:val="left"/>
              <w:textAlignment w:val="auto"/>
              <w:rPr>
                <w:rFonts w:ascii="Times New Roman" w:hAnsi="Times New Roman"/>
                <w:bCs/>
                <w:sz w:val="22"/>
                <w:szCs w:val="20"/>
                <w:lang w:val="ro-MD"/>
              </w:rPr>
            </w:pPr>
            <w:r>
              <w:rPr>
                <w:bCs/>
                <w:sz w:val="22"/>
                <w:szCs w:val="20"/>
                <w:lang w:val="ro-MD"/>
              </w:rPr>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bază</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 xml:space="preserve">Cercetător ştiinţific coordonator </w:t>
            </w:r>
          </w:p>
          <w:p>
            <w:pPr>
              <w:pStyle w:val="Style14"/>
              <w:widowControl/>
              <w:bidi w:val="0"/>
              <w:ind w:left="0" w:right="0" w:hanging="0"/>
              <w:jc w:val="left"/>
              <w:textAlignment w:val="auto"/>
              <w:rPr>
                <w:lang w:val="ro-MD"/>
              </w:rPr>
            </w:pPr>
            <w:r>
              <w:rPr>
                <w:bCs/>
                <w:sz w:val="22"/>
                <w:szCs w:val="20"/>
                <w:lang w:val="ro-MD"/>
              </w:rPr>
              <w:t>738035</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7.</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lang w:val="ro-MD"/>
              </w:rPr>
              <w:t>Caşu Alexei</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1940</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1"/>
              <w:widowControl/>
              <w:bidi w:val="0"/>
              <w:ind w:left="0" w:right="0" w:hanging="0"/>
              <w:jc w:val="left"/>
              <w:textAlignment w:val="auto"/>
              <w:rPr>
                <w:lang w:val="ro-MD"/>
              </w:rPr>
            </w:pPr>
            <w:r>
              <w:rPr>
                <w:rFonts w:cs="Arial" w:ascii="Times New Roman" w:hAnsi="Times New Roman"/>
                <w:sz w:val="22"/>
                <w:szCs w:val="22"/>
                <w:lang w:val="ro-MD"/>
              </w:rPr>
              <w:t>111.03</w:t>
            </w:r>
            <w:r>
              <w:rPr>
                <w:rFonts w:cs="Arial" w:ascii="Times New Roman CE" w:hAnsi="Times New Roman CE"/>
                <w:sz w:val="22"/>
                <w:szCs w:val="22"/>
                <w:lang w:val="ro-MD"/>
              </w:rPr>
              <w:t xml:space="preserve">     Logică matematică, algebră şi teoria numerelor</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doctor hab. în şt.f-m. (1991)</w:t>
            </w:r>
          </w:p>
          <w:p>
            <w:pPr>
              <w:pStyle w:val="Style14"/>
              <w:widowControl/>
              <w:bidi w:val="0"/>
              <w:ind w:left="0" w:right="0" w:hanging="0"/>
              <w:jc w:val="left"/>
              <w:textAlignment w:val="auto"/>
              <w:rPr>
                <w:rFonts w:ascii="Times New Roman" w:hAnsi="Times New Roman"/>
                <w:bCs/>
                <w:sz w:val="22"/>
                <w:szCs w:val="20"/>
                <w:lang w:val="ro-MD"/>
              </w:rPr>
            </w:pPr>
            <w:r>
              <w:rPr>
                <w:bCs/>
                <w:sz w:val="22"/>
                <w:szCs w:val="20"/>
                <w:lang w:val="ro-MD"/>
              </w:rPr>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bază</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 xml:space="preserve">Cercetător ştiinţific principal </w:t>
            </w:r>
          </w:p>
          <w:p>
            <w:pPr>
              <w:pStyle w:val="Style14"/>
              <w:widowControl/>
              <w:bidi w:val="0"/>
              <w:ind w:left="0" w:right="0" w:hanging="0"/>
              <w:jc w:val="center"/>
              <w:textAlignment w:val="auto"/>
              <w:rPr>
                <w:lang w:val="ro-MD"/>
              </w:rPr>
            </w:pPr>
            <w:r>
              <w:rPr>
                <w:bCs/>
                <w:sz w:val="22"/>
                <w:szCs w:val="20"/>
                <w:lang w:val="ro-MD"/>
              </w:rPr>
              <w:t>738113</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8.</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lang w:val="ro-MD"/>
              </w:rPr>
              <w:t>Guţul Ion</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1949</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1"/>
              <w:widowControl/>
              <w:bidi w:val="0"/>
              <w:ind w:left="0" w:right="0" w:hanging="0"/>
              <w:jc w:val="left"/>
              <w:textAlignment w:val="auto"/>
              <w:rPr>
                <w:lang w:val="ro-MD"/>
              </w:rPr>
            </w:pPr>
            <w:r>
              <w:rPr>
                <w:rFonts w:cs="Arial" w:ascii="Times New Roman" w:hAnsi="Times New Roman"/>
                <w:sz w:val="22"/>
                <w:szCs w:val="22"/>
                <w:lang w:val="ro-MD"/>
              </w:rPr>
              <w:t xml:space="preserve">111.04  </w:t>
            </w:r>
          </w:p>
          <w:p>
            <w:pPr>
              <w:pStyle w:val="Normal1"/>
              <w:widowControl/>
              <w:bidi w:val="0"/>
              <w:ind w:left="0" w:right="0" w:hanging="0"/>
              <w:jc w:val="left"/>
              <w:textAlignment w:val="auto"/>
              <w:rPr>
                <w:lang w:val="ro-MD"/>
              </w:rPr>
            </w:pPr>
            <w:r>
              <w:rPr>
                <w:rFonts w:cs="Arial" w:ascii="Times New Roman" w:hAnsi="Times New Roman"/>
                <w:sz w:val="22"/>
                <w:szCs w:val="22"/>
                <w:lang w:val="ro-MD"/>
              </w:rPr>
              <w:t>G</w:t>
            </w:r>
            <w:r>
              <w:rPr>
                <w:rFonts w:cs="Arial" w:ascii="Times New Roman CE" w:hAnsi="Times New Roman CE"/>
                <w:sz w:val="22"/>
                <w:szCs w:val="22"/>
                <w:lang w:val="ro-MD"/>
              </w:rPr>
              <w:t>eometrie şi topologie</w:t>
            </w:r>
          </w:p>
          <w:p>
            <w:pPr>
              <w:pStyle w:val="Normal1"/>
              <w:widowControl/>
              <w:bidi w:val="0"/>
              <w:ind w:left="0" w:right="0" w:hanging="0"/>
              <w:jc w:val="left"/>
              <w:textAlignment w:val="auto"/>
              <w:rPr>
                <w:rFonts w:ascii="Times New Roman" w:hAnsi="Times New Roman" w:cs="Arial"/>
                <w:sz w:val="22"/>
                <w:szCs w:val="22"/>
                <w:lang w:val="ro-MD"/>
              </w:rPr>
            </w:pPr>
            <w:r>
              <w:rPr>
                <w:rFonts w:cs="Arial" w:ascii="Times New Roman" w:hAnsi="Times New Roman"/>
                <w:sz w:val="22"/>
                <w:szCs w:val="22"/>
                <w:lang w:val="ro-MD"/>
              </w:rPr>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doctor  în şt.f-m. (1983)</w:t>
            </w:r>
          </w:p>
          <w:p>
            <w:pPr>
              <w:pStyle w:val="Style14"/>
              <w:widowControl/>
              <w:bidi w:val="0"/>
              <w:ind w:left="0" w:right="0" w:hanging="0"/>
              <w:jc w:val="left"/>
              <w:textAlignment w:val="auto"/>
              <w:rPr>
                <w:rFonts w:ascii="Times New Roman" w:hAnsi="Times New Roman"/>
                <w:bCs/>
                <w:sz w:val="22"/>
                <w:szCs w:val="20"/>
                <w:lang w:val="ro-MD"/>
              </w:rPr>
            </w:pPr>
            <w:r>
              <w:rPr>
                <w:bCs/>
                <w:sz w:val="22"/>
                <w:szCs w:val="20"/>
                <w:lang w:val="ro-MD"/>
              </w:rPr>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bază</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Cercetător ştiinţific coordonator 731090</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9.</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lang w:val="ro-MD"/>
              </w:rPr>
              <w:t>Damian Florin</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1963</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1"/>
              <w:widowControl/>
              <w:bidi w:val="0"/>
              <w:ind w:left="0" w:right="0" w:hanging="0"/>
              <w:jc w:val="left"/>
              <w:textAlignment w:val="auto"/>
              <w:rPr>
                <w:lang w:val="ro-MD"/>
              </w:rPr>
            </w:pPr>
            <w:r>
              <w:rPr>
                <w:rFonts w:cs="Arial" w:ascii="Times New Roman" w:hAnsi="Times New Roman"/>
                <w:sz w:val="22"/>
                <w:szCs w:val="22"/>
                <w:lang w:val="ro-MD"/>
              </w:rPr>
              <w:t xml:space="preserve">111.04  </w:t>
            </w:r>
          </w:p>
          <w:p>
            <w:pPr>
              <w:pStyle w:val="Normal1"/>
              <w:widowControl/>
              <w:bidi w:val="0"/>
              <w:ind w:left="0" w:right="0" w:hanging="0"/>
              <w:jc w:val="left"/>
              <w:textAlignment w:val="auto"/>
              <w:rPr>
                <w:lang w:val="ro-MD"/>
              </w:rPr>
            </w:pPr>
            <w:r>
              <w:rPr>
                <w:rFonts w:cs="Arial" w:ascii="Times New Roman" w:hAnsi="Times New Roman"/>
                <w:sz w:val="22"/>
                <w:szCs w:val="22"/>
                <w:lang w:val="ro-MD"/>
              </w:rPr>
              <w:t>G</w:t>
            </w:r>
            <w:r>
              <w:rPr>
                <w:rFonts w:cs="Arial" w:ascii="Times New Roman CE" w:hAnsi="Times New Roman CE"/>
                <w:sz w:val="22"/>
                <w:szCs w:val="22"/>
                <w:lang w:val="ro-MD"/>
              </w:rPr>
              <w:t>eometrie şi topologie</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doctor  în şt.f-m. (2003)</w:t>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cumul</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Cercetător ştiinţ</w:t>
            </w:r>
            <w:r>
              <w:rPr>
                <w:rFonts w:cs="Cambria Math" w:ascii="Cambria Math" w:hAnsi="Cambria Math"/>
                <w:bCs/>
                <w:sz w:val="22"/>
                <w:szCs w:val="20"/>
                <w:lang w:val="ro-MD"/>
              </w:rPr>
              <w:t>ț</w:t>
            </w:r>
            <w:r>
              <w:rPr>
                <w:bCs/>
                <w:sz w:val="22"/>
                <w:szCs w:val="20"/>
                <w:lang w:val="ro-MD"/>
              </w:rPr>
              <w:t>ific superior  738035</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10.</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lang w:val="ro-MD"/>
              </w:rPr>
              <w:t>Zamorzaeva-Orleanskaia Elizaveta</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1954</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1"/>
              <w:widowControl/>
              <w:bidi w:val="0"/>
              <w:ind w:left="0" w:right="0" w:hanging="0"/>
              <w:jc w:val="left"/>
              <w:textAlignment w:val="auto"/>
              <w:rPr>
                <w:lang w:val="ro-MD"/>
              </w:rPr>
            </w:pPr>
            <w:r>
              <w:rPr>
                <w:rFonts w:cs="Arial" w:ascii="Times New Roman" w:hAnsi="Times New Roman"/>
                <w:sz w:val="22"/>
                <w:szCs w:val="22"/>
                <w:lang w:val="ro-MD"/>
              </w:rPr>
              <w:t xml:space="preserve">111.04  </w:t>
            </w:r>
          </w:p>
          <w:p>
            <w:pPr>
              <w:pStyle w:val="Normal1"/>
              <w:widowControl/>
              <w:bidi w:val="0"/>
              <w:ind w:left="0" w:right="0" w:hanging="0"/>
              <w:jc w:val="left"/>
              <w:textAlignment w:val="auto"/>
              <w:rPr>
                <w:lang w:val="ro-MD"/>
              </w:rPr>
            </w:pPr>
            <w:r>
              <w:rPr>
                <w:rFonts w:cs="Arial" w:ascii="Times New Roman" w:hAnsi="Times New Roman"/>
                <w:sz w:val="22"/>
                <w:szCs w:val="22"/>
                <w:lang w:val="ro-MD"/>
              </w:rPr>
              <w:t>G</w:t>
            </w:r>
            <w:r>
              <w:rPr>
                <w:rFonts w:cs="Arial" w:ascii="Times New Roman CE" w:hAnsi="Times New Roman CE"/>
                <w:sz w:val="22"/>
                <w:szCs w:val="22"/>
                <w:lang w:val="ro-MD"/>
              </w:rPr>
              <w:t>eometrie şi topologie</w:t>
            </w:r>
          </w:p>
          <w:p>
            <w:pPr>
              <w:pStyle w:val="Normal1"/>
              <w:widowControl/>
              <w:bidi w:val="0"/>
              <w:ind w:left="0" w:right="0" w:hanging="0"/>
              <w:jc w:val="left"/>
              <w:textAlignment w:val="auto"/>
              <w:rPr>
                <w:rFonts w:ascii="Times New Roman" w:hAnsi="Times New Roman" w:cs="Arial"/>
                <w:sz w:val="22"/>
                <w:szCs w:val="22"/>
                <w:lang w:val="ro-MD"/>
              </w:rPr>
            </w:pPr>
            <w:r>
              <w:rPr>
                <w:rFonts w:cs="Arial" w:ascii="Times New Roman" w:hAnsi="Times New Roman"/>
                <w:sz w:val="22"/>
                <w:szCs w:val="22"/>
                <w:lang w:val="ro-MD"/>
              </w:rPr>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doctor în şt.f-m. (1983)</w:t>
            </w:r>
          </w:p>
          <w:p>
            <w:pPr>
              <w:pStyle w:val="Style14"/>
              <w:widowControl/>
              <w:bidi w:val="0"/>
              <w:ind w:left="0" w:right="0" w:hanging="0"/>
              <w:jc w:val="left"/>
              <w:textAlignment w:val="auto"/>
              <w:rPr>
                <w:rFonts w:ascii="Times New Roman" w:hAnsi="Times New Roman"/>
                <w:bCs/>
                <w:sz w:val="22"/>
                <w:szCs w:val="20"/>
                <w:lang w:val="ro-MD"/>
              </w:rPr>
            </w:pPr>
            <w:r>
              <w:rPr>
                <w:bCs/>
                <w:sz w:val="22"/>
                <w:szCs w:val="20"/>
                <w:lang w:val="ro-MD"/>
              </w:rPr>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cumul</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Cercetător ştiinţific superior interimar 738029</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11.</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pPr>
            <w:r>
              <w:rPr>
                <w:bCs/>
                <w:lang w:val="ro-RO"/>
              </w:rPr>
              <w:t>Cojuhari Elena</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1970</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1"/>
              <w:widowControl/>
              <w:bidi w:val="0"/>
              <w:ind w:left="0" w:right="0" w:hanging="0"/>
              <w:jc w:val="left"/>
              <w:textAlignment w:val="auto"/>
              <w:rPr>
                <w:lang w:val="ro-MD"/>
              </w:rPr>
            </w:pPr>
            <w:r>
              <w:rPr>
                <w:rFonts w:cs="Arial" w:ascii="Times New Roman" w:hAnsi="Times New Roman"/>
                <w:sz w:val="22"/>
                <w:szCs w:val="22"/>
                <w:lang w:val="ro-MD"/>
              </w:rPr>
              <w:t>111.03</w:t>
            </w:r>
            <w:r>
              <w:rPr>
                <w:rFonts w:cs="Arial" w:ascii="Times New Roman CE" w:hAnsi="Times New Roman CE"/>
                <w:sz w:val="22"/>
                <w:szCs w:val="22"/>
                <w:lang w:val="ro-MD"/>
              </w:rPr>
              <w:t xml:space="preserve">     Logică matematică, algebră şi teoria numerelor</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doctor în şt.f-</w:t>
            </w:r>
            <w:r>
              <w:rPr>
                <w:bCs/>
                <w:sz w:val="22"/>
                <w:szCs w:val="20"/>
                <w:lang w:val="ro-MD"/>
              </w:rPr>
              <w:t>m. (1998)</w:t>
            </w:r>
          </w:p>
          <w:p>
            <w:pPr>
              <w:pStyle w:val="Style14"/>
              <w:widowControl/>
              <w:bidi w:val="0"/>
              <w:ind w:left="0" w:right="0" w:hanging="0"/>
              <w:jc w:val="left"/>
              <w:textAlignment w:val="auto"/>
              <w:rPr>
                <w:rFonts w:ascii="Times New Roman" w:hAnsi="Times New Roman"/>
                <w:bCs/>
                <w:sz w:val="22"/>
                <w:szCs w:val="20"/>
                <w:lang w:val="ro-MD"/>
              </w:rPr>
            </w:pPr>
            <w:r>
              <w:rPr>
                <w:bCs/>
                <w:sz w:val="22"/>
                <w:szCs w:val="20"/>
                <w:lang w:val="ro-MD"/>
              </w:rPr>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cumul</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Cercetător ştiinţific superior 069499865</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12.</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pPr>
            <w:r>
              <w:rPr>
                <w:rFonts w:cs="Times New Roman CE" w:ascii="Times New Roman CE" w:hAnsi="Times New Roman CE"/>
                <w:bCs/>
                <w:lang w:val="ro-RO"/>
              </w:rPr>
              <w:t>Izbaş Olga</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1966</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1"/>
              <w:widowControl/>
              <w:bidi w:val="0"/>
              <w:ind w:left="0" w:right="0" w:hanging="0"/>
              <w:jc w:val="left"/>
              <w:textAlignment w:val="auto"/>
              <w:rPr>
                <w:lang w:val="ro-MD"/>
              </w:rPr>
            </w:pPr>
            <w:r>
              <w:rPr>
                <w:rFonts w:cs="Arial" w:ascii="Times New Roman" w:hAnsi="Times New Roman"/>
                <w:sz w:val="22"/>
                <w:szCs w:val="22"/>
                <w:lang w:val="ro-MD"/>
              </w:rPr>
              <w:t>111.03</w:t>
            </w:r>
            <w:r>
              <w:rPr>
                <w:rFonts w:cs="Arial" w:ascii="Times New Roman CE" w:hAnsi="Times New Roman CE"/>
                <w:sz w:val="22"/>
                <w:szCs w:val="22"/>
                <w:lang w:val="ro-MD"/>
              </w:rPr>
              <w:t xml:space="preserve">     Logică matematică, algebră şi teoria numerelor</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doctor în şt.f-m. (1994)</w:t>
            </w:r>
          </w:p>
          <w:p>
            <w:pPr>
              <w:pStyle w:val="Style14"/>
              <w:widowControl/>
              <w:bidi w:val="0"/>
              <w:ind w:left="0" w:right="0" w:hanging="0"/>
              <w:jc w:val="left"/>
              <w:textAlignment w:val="auto"/>
              <w:rPr>
                <w:rFonts w:ascii="Times New Roman" w:hAnsi="Times New Roman"/>
                <w:bCs/>
                <w:sz w:val="22"/>
                <w:szCs w:val="20"/>
                <w:lang w:val="ro-MD"/>
              </w:rPr>
            </w:pPr>
            <w:r>
              <w:rPr>
                <w:bCs/>
                <w:sz w:val="22"/>
                <w:szCs w:val="20"/>
                <w:lang w:val="ro-MD"/>
              </w:rPr>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bază</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Cercetător ştiinţific superior</w:t>
            </w:r>
            <w:r>
              <w:rPr>
                <w:bCs/>
                <w:sz w:val="22"/>
                <w:szCs w:val="20"/>
                <w:lang w:val="ro-MD"/>
              </w:rPr>
              <w:t xml:space="preserve"> 727059</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13.</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lang w:val="ro-MD"/>
              </w:rPr>
              <w:t>Bejan Andrei</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1979</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sz w:val="22"/>
                <w:szCs w:val="22"/>
                <w:lang w:val="ro-MD"/>
              </w:rPr>
              <w:t>112.03 C</w:t>
            </w:r>
            <w:r>
              <w:rPr>
                <w:rFonts w:cs="Times New Roman CE" w:ascii="Times New Roman CE" w:hAnsi="Times New Roman CE"/>
                <w:bCs/>
                <w:sz w:val="22"/>
                <w:szCs w:val="22"/>
                <w:lang w:val="ro-MD"/>
              </w:rPr>
              <w:t>ibernetică matematică şi cercetări operaţionale</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doctor  în şt.f-m. (2007)</w:t>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bază</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 xml:space="preserve">Cercetător ştiinţific </w:t>
            </w:r>
          </w:p>
          <w:p>
            <w:pPr>
              <w:pStyle w:val="Style14"/>
              <w:widowControl/>
              <w:bidi w:val="0"/>
              <w:ind w:left="0" w:right="0" w:hanging="0"/>
              <w:jc w:val="left"/>
              <w:textAlignment w:val="auto"/>
              <w:rPr>
                <w:lang w:val="ro-MD"/>
              </w:rPr>
            </w:pPr>
            <w:r>
              <w:rPr>
                <w:bCs/>
                <w:sz w:val="22"/>
                <w:szCs w:val="20"/>
                <w:lang w:val="ro-MD"/>
              </w:rPr>
              <w:t>738105</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14.</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lang w:val="ro-MD"/>
              </w:rPr>
              <w:t>Druguş Ioachim</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1949</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sz w:val="22"/>
                <w:szCs w:val="22"/>
                <w:lang w:val="ro-MD"/>
              </w:rPr>
              <w:t>111.03</w:t>
            </w:r>
            <w:r>
              <w:rPr>
                <w:rFonts w:cs="Times New Roman CE" w:ascii="Times New Roman CE" w:hAnsi="Times New Roman CE"/>
                <w:sz w:val="22"/>
                <w:szCs w:val="22"/>
                <w:lang w:val="ro-MD"/>
              </w:rPr>
              <w:t xml:space="preserve">     Logică matematică, algebră şi teoria numerelor</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doctor  în şt.f-m. (1983)</w:t>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cumul</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Cercetător ştiinţific coordonator 069979938</w:t>
            </w:r>
          </w:p>
        </w:tc>
      </w:tr>
      <w:tr>
        <w:trPr/>
        <w:tc>
          <w:tcPr>
            <w:tcW w:w="11203" w:type="dxa"/>
            <w:gridSpan w:val="7"/>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
                <w:sz w:val="26"/>
                <w:szCs w:val="20"/>
                <w:lang w:val="ro-MD"/>
              </w:rPr>
              <w:t xml:space="preserve">Laboratorul </w:t>
            </w:r>
            <w:r>
              <w:rPr>
                <w:rFonts w:cs="Times New Roman CE" w:ascii="Times New Roman CE" w:hAnsi="Times New Roman CE"/>
                <w:b/>
                <w:sz w:val="26"/>
                <w:szCs w:val="20"/>
                <w:lang w:val="ro-RO"/>
              </w:rPr>
              <w:t>„Ecuaţii  diferenţiale”</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lang w:val="ro-MD"/>
              </w:rPr>
              <w:t>Popa Mihail</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1948</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sz w:val="22"/>
                <w:szCs w:val="22"/>
                <w:lang w:val="ro-MD"/>
              </w:rPr>
              <w:t xml:space="preserve">111.02 </w:t>
            </w:r>
          </w:p>
          <w:p>
            <w:pPr>
              <w:pStyle w:val="Style14"/>
              <w:widowControl/>
              <w:bidi w:val="0"/>
              <w:ind w:left="0" w:right="0" w:hanging="0"/>
              <w:jc w:val="left"/>
              <w:textAlignment w:val="auto"/>
              <w:rPr>
                <w:lang w:val="ro-MD"/>
              </w:rPr>
            </w:pPr>
            <w:r>
              <w:rPr>
                <w:bCs/>
                <w:sz w:val="22"/>
                <w:szCs w:val="22"/>
                <w:lang w:val="ro-MD"/>
              </w:rPr>
              <w:t>E</w:t>
            </w:r>
            <w:r>
              <w:rPr>
                <w:rFonts w:cs="Times New Roman CE" w:ascii="Times New Roman CE" w:hAnsi="Times New Roman CE"/>
                <w:bCs/>
                <w:sz w:val="22"/>
                <w:szCs w:val="22"/>
                <w:lang w:val="ro-MD"/>
              </w:rPr>
              <w:t>cuaţii diferenţiale</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doctor hab. în şt.f-m. (1992)</w:t>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bază</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Cercetător ştiinţific principal</w:t>
            </w:r>
            <w:r>
              <w:rPr>
                <w:bCs/>
                <w:sz w:val="22"/>
                <w:szCs w:val="20"/>
                <w:lang w:val="ro-MD"/>
              </w:rPr>
              <w:t xml:space="preserve"> 738146</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2.</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lang w:val="ro-MD"/>
              </w:rPr>
              <w:t>Vulpe Nicolae</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1949</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sz w:val="22"/>
                <w:szCs w:val="22"/>
                <w:lang w:val="ro-MD"/>
              </w:rPr>
              <w:t xml:space="preserve">111.02 </w:t>
            </w:r>
          </w:p>
          <w:p>
            <w:pPr>
              <w:pStyle w:val="Style14"/>
              <w:widowControl/>
              <w:bidi w:val="0"/>
              <w:ind w:left="0" w:right="0" w:hanging="0"/>
              <w:jc w:val="left"/>
              <w:textAlignment w:val="auto"/>
              <w:rPr>
                <w:lang w:val="ro-MD"/>
              </w:rPr>
            </w:pPr>
            <w:r>
              <w:rPr>
                <w:bCs/>
                <w:sz w:val="22"/>
                <w:szCs w:val="22"/>
                <w:lang w:val="ro-MD"/>
              </w:rPr>
              <w:t>E</w:t>
            </w:r>
            <w:r>
              <w:rPr>
                <w:rFonts w:cs="Times New Roman CE" w:ascii="Times New Roman CE" w:hAnsi="Times New Roman CE"/>
                <w:bCs/>
                <w:sz w:val="22"/>
                <w:szCs w:val="22"/>
                <w:lang w:val="ro-MD"/>
              </w:rPr>
              <w:t>cuaţii diferenţiale</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doctor hab. în şt.f-m. (1985)</w:t>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bază</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Cercetător ştiinţific principal 727059</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3.</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lang w:val="ro-MD"/>
              </w:rPr>
              <w:t>Dovbuş Piotr</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1954</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sz w:val="22"/>
                <w:szCs w:val="22"/>
                <w:lang w:val="ro-MD"/>
              </w:rPr>
              <w:t xml:space="preserve">111.02 </w:t>
            </w:r>
          </w:p>
          <w:p>
            <w:pPr>
              <w:pStyle w:val="Style14"/>
              <w:widowControl/>
              <w:bidi w:val="0"/>
              <w:ind w:left="0" w:right="0" w:hanging="0"/>
              <w:jc w:val="left"/>
              <w:textAlignment w:val="auto"/>
              <w:rPr>
                <w:lang w:val="ro-MD"/>
              </w:rPr>
            </w:pPr>
            <w:r>
              <w:rPr>
                <w:bCs/>
                <w:sz w:val="22"/>
                <w:szCs w:val="22"/>
                <w:lang w:val="ro-MD"/>
              </w:rPr>
              <w:t>E</w:t>
            </w:r>
            <w:r>
              <w:rPr>
                <w:rFonts w:cs="Times New Roman CE" w:ascii="Times New Roman CE" w:hAnsi="Times New Roman CE"/>
                <w:bCs/>
                <w:sz w:val="22"/>
                <w:szCs w:val="22"/>
                <w:lang w:val="ro-MD"/>
              </w:rPr>
              <w:t>cuaţii diferenţiale</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doctor hab. în şt.f-m. (2004)</w:t>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bază</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Cercetător ştiinţific coordonator</w:t>
            </w:r>
            <w:r>
              <w:rPr>
                <w:bCs/>
                <w:sz w:val="22"/>
                <w:szCs w:val="20"/>
                <w:lang w:val="ro-MD"/>
              </w:rPr>
              <w:t xml:space="preserve"> 738107</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4.</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lang w:val="ro-MD"/>
              </w:rPr>
              <w:t>Driuma Valeriu</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1946</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sz w:val="22"/>
                <w:szCs w:val="22"/>
                <w:lang w:val="ro-MD"/>
              </w:rPr>
              <w:t xml:space="preserve">111.02 </w:t>
            </w:r>
          </w:p>
          <w:p>
            <w:pPr>
              <w:pStyle w:val="Style14"/>
              <w:widowControl/>
              <w:bidi w:val="0"/>
              <w:ind w:left="0" w:right="0" w:hanging="0"/>
              <w:jc w:val="left"/>
              <w:textAlignment w:val="auto"/>
              <w:rPr>
                <w:lang w:val="ro-MD"/>
              </w:rPr>
            </w:pPr>
            <w:r>
              <w:rPr>
                <w:bCs/>
                <w:sz w:val="22"/>
                <w:szCs w:val="22"/>
                <w:lang w:val="ro-MD"/>
              </w:rPr>
              <w:t>E</w:t>
            </w:r>
            <w:r>
              <w:rPr>
                <w:rFonts w:cs="Times New Roman CE" w:ascii="Times New Roman CE" w:hAnsi="Times New Roman CE"/>
                <w:bCs/>
                <w:sz w:val="22"/>
                <w:szCs w:val="22"/>
                <w:lang w:val="ro-MD"/>
              </w:rPr>
              <w:t>cuaţii diferenţiale</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doctor  în şt.f-m. (1979)</w:t>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bază</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Cercetător ştiinţific</w:t>
            </w:r>
            <w:r>
              <w:rPr>
                <w:bCs/>
                <w:sz w:val="22"/>
                <w:szCs w:val="20"/>
                <w:lang w:val="ro-MD"/>
              </w:rPr>
              <w:t xml:space="preserve"> coordonator 738107</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5.</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lang w:val="ro-MD"/>
              </w:rPr>
              <w:t>Baltag Valeriu</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1957</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sz w:val="22"/>
                <w:szCs w:val="22"/>
                <w:lang w:val="ro-MD"/>
              </w:rPr>
              <w:t xml:space="preserve">111.02 </w:t>
            </w:r>
          </w:p>
          <w:p>
            <w:pPr>
              <w:pStyle w:val="Style14"/>
              <w:widowControl/>
              <w:bidi w:val="0"/>
              <w:ind w:left="0" w:right="0" w:hanging="0"/>
              <w:jc w:val="left"/>
              <w:textAlignment w:val="auto"/>
              <w:rPr>
                <w:lang w:val="ro-MD"/>
              </w:rPr>
            </w:pPr>
            <w:r>
              <w:rPr>
                <w:bCs/>
                <w:sz w:val="22"/>
                <w:szCs w:val="22"/>
                <w:lang w:val="ro-MD"/>
              </w:rPr>
              <w:t>E</w:t>
            </w:r>
            <w:r>
              <w:rPr>
                <w:rFonts w:cs="Times New Roman CE" w:ascii="Times New Roman CE" w:hAnsi="Times New Roman CE"/>
                <w:bCs/>
                <w:sz w:val="22"/>
                <w:szCs w:val="22"/>
                <w:lang w:val="ro-MD"/>
              </w:rPr>
              <w:t>cuaţii diferenţiale</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doctor  în şt.f-m. (1985)</w:t>
            </w:r>
          </w:p>
          <w:p>
            <w:pPr>
              <w:pStyle w:val="Style14"/>
              <w:widowControl/>
              <w:bidi w:val="0"/>
              <w:ind w:left="0" w:right="0" w:hanging="0"/>
              <w:jc w:val="center"/>
              <w:textAlignment w:val="auto"/>
              <w:rPr>
                <w:rFonts w:ascii="Times New Roman" w:hAnsi="Times New Roman"/>
                <w:bCs/>
                <w:sz w:val="22"/>
                <w:szCs w:val="20"/>
                <w:lang w:val="ro-MD"/>
              </w:rPr>
            </w:pPr>
            <w:r>
              <w:rPr>
                <w:bCs/>
                <w:sz w:val="22"/>
                <w:szCs w:val="20"/>
                <w:lang w:val="ro-MD"/>
              </w:rPr>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bază</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Cercetător ştiinţific superior</w:t>
            </w:r>
            <w:r>
              <w:rPr>
                <w:bCs/>
                <w:sz w:val="22"/>
                <w:szCs w:val="20"/>
                <w:lang w:val="ro-MD"/>
              </w:rPr>
              <w:t xml:space="preserve"> 738107</w:t>
            </w:r>
          </w:p>
          <w:p>
            <w:pPr>
              <w:pStyle w:val="Style14"/>
              <w:widowControl/>
              <w:bidi w:val="0"/>
              <w:ind w:left="0" w:right="0" w:hanging="0"/>
              <w:jc w:val="left"/>
              <w:textAlignment w:val="auto"/>
              <w:rPr/>
            </w:pPr>
            <w:r>
              <w:rPr>
                <w:sz w:val="22"/>
                <w:szCs w:val="22"/>
                <w:lang w:val="ro-RO"/>
              </w:rPr>
              <w:t>069699691</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6.</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lang w:val="ro-MD"/>
              </w:rPr>
              <w:t>Calin Iurie</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1959</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sz w:val="22"/>
                <w:szCs w:val="22"/>
                <w:lang w:val="ro-MD"/>
              </w:rPr>
              <w:t xml:space="preserve">111.02 </w:t>
            </w:r>
          </w:p>
          <w:p>
            <w:pPr>
              <w:pStyle w:val="Style14"/>
              <w:widowControl/>
              <w:bidi w:val="0"/>
              <w:ind w:left="0" w:right="0" w:hanging="0"/>
              <w:jc w:val="left"/>
              <w:textAlignment w:val="auto"/>
              <w:rPr>
                <w:lang w:val="ro-MD"/>
              </w:rPr>
            </w:pPr>
            <w:r>
              <w:rPr>
                <w:bCs/>
                <w:sz w:val="22"/>
                <w:szCs w:val="22"/>
                <w:lang w:val="ro-MD"/>
              </w:rPr>
              <w:t>E</w:t>
            </w:r>
            <w:r>
              <w:rPr>
                <w:rFonts w:cs="Times New Roman CE" w:ascii="Times New Roman CE" w:hAnsi="Times New Roman CE"/>
                <w:bCs/>
                <w:sz w:val="22"/>
                <w:szCs w:val="22"/>
                <w:lang w:val="ro-MD"/>
              </w:rPr>
              <w:t>cuaţii diferenţiale</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doctor  în şt.f-m. (1997)</w:t>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cumul</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Cercetător ştiinţific</w:t>
            </w:r>
            <w:r>
              <w:rPr>
                <w:bCs/>
                <w:sz w:val="22"/>
                <w:szCs w:val="20"/>
                <w:lang w:val="ro-MD"/>
              </w:rPr>
              <w:t xml:space="preserve"> superior 738107</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7.</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lang w:val="ro-MD"/>
              </w:rPr>
              <w:t>Şubă Alexandru</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1953</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sz w:val="22"/>
                <w:szCs w:val="22"/>
                <w:lang w:val="ro-MD"/>
              </w:rPr>
              <w:t xml:space="preserve">111.02 </w:t>
            </w:r>
          </w:p>
          <w:p>
            <w:pPr>
              <w:pStyle w:val="Style14"/>
              <w:widowControl/>
              <w:bidi w:val="0"/>
              <w:ind w:left="0" w:right="0" w:hanging="0"/>
              <w:jc w:val="left"/>
              <w:textAlignment w:val="auto"/>
              <w:rPr>
                <w:lang w:val="ro-MD"/>
              </w:rPr>
            </w:pPr>
            <w:r>
              <w:rPr>
                <w:bCs/>
                <w:sz w:val="22"/>
                <w:szCs w:val="22"/>
                <w:lang w:val="ro-MD"/>
              </w:rPr>
              <w:t>E</w:t>
            </w:r>
            <w:r>
              <w:rPr>
                <w:rFonts w:cs="Times New Roman CE" w:ascii="Times New Roman CE" w:hAnsi="Times New Roman CE"/>
                <w:bCs/>
                <w:sz w:val="22"/>
                <w:szCs w:val="22"/>
                <w:lang w:val="ro-MD"/>
              </w:rPr>
              <w:t>cuaţii diferenţiale</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doctor hab. în şt.f-m. (2000)</w:t>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bază</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Şef de laborator</w:t>
            </w:r>
          </w:p>
          <w:p>
            <w:pPr>
              <w:pStyle w:val="Style14"/>
              <w:widowControl/>
              <w:bidi w:val="0"/>
              <w:ind w:left="0" w:right="0" w:hanging="0"/>
              <w:jc w:val="left"/>
              <w:textAlignment w:val="auto"/>
              <w:rPr>
                <w:lang w:val="ro-MD"/>
              </w:rPr>
            </w:pPr>
            <w:r>
              <w:rPr>
                <w:bCs/>
                <w:sz w:val="22"/>
                <w:szCs w:val="20"/>
                <w:lang w:val="ro-MD"/>
              </w:rPr>
              <w:t>738162  068213364</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8.</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lang w:val="ro-MD"/>
              </w:rPr>
              <w:t>Orlov Victor</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1981</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sz w:val="22"/>
                <w:szCs w:val="22"/>
                <w:lang w:val="ro-MD"/>
              </w:rPr>
              <w:t xml:space="preserve">111.02 </w:t>
            </w:r>
          </w:p>
          <w:p>
            <w:pPr>
              <w:pStyle w:val="Style14"/>
              <w:widowControl/>
              <w:bidi w:val="0"/>
              <w:ind w:left="0" w:right="0" w:hanging="0"/>
              <w:jc w:val="left"/>
              <w:textAlignment w:val="auto"/>
              <w:rPr>
                <w:lang w:val="ro-MD"/>
              </w:rPr>
            </w:pPr>
            <w:r>
              <w:rPr>
                <w:bCs/>
                <w:sz w:val="22"/>
                <w:szCs w:val="22"/>
                <w:lang w:val="ro-MD"/>
              </w:rPr>
              <w:t>E</w:t>
            </w:r>
            <w:r>
              <w:rPr>
                <w:rFonts w:cs="Times New Roman CE" w:ascii="Times New Roman CE" w:hAnsi="Times New Roman CE"/>
                <w:bCs/>
                <w:sz w:val="22"/>
                <w:szCs w:val="22"/>
                <w:lang w:val="ro-MD"/>
              </w:rPr>
              <w:t>cuaţii diferenţiale</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doctor  în şt.f-m. (2013)</w:t>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cumul</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 xml:space="preserve">Cercetător ştiinţific </w:t>
            </w:r>
          </w:p>
          <w:p>
            <w:pPr>
              <w:pStyle w:val="Style14"/>
              <w:widowControl/>
              <w:bidi w:val="0"/>
              <w:ind w:left="0" w:right="0" w:hanging="0"/>
              <w:jc w:val="left"/>
              <w:textAlignment w:val="auto"/>
              <w:rPr>
                <w:lang w:val="ro-MD"/>
              </w:rPr>
            </w:pPr>
            <w:r>
              <w:rPr>
                <w:bCs/>
                <w:sz w:val="22"/>
                <w:szCs w:val="20"/>
                <w:lang w:val="ro-MD"/>
              </w:rPr>
              <w:t>069647183</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9.</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lang w:val="ro-MD"/>
              </w:rPr>
              <w:t>Pricop Victor</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1981</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sz w:val="22"/>
                <w:szCs w:val="22"/>
                <w:lang w:val="ro-MD"/>
              </w:rPr>
              <w:t xml:space="preserve">111.02 </w:t>
            </w:r>
          </w:p>
          <w:p>
            <w:pPr>
              <w:pStyle w:val="Style14"/>
              <w:widowControl/>
              <w:bidi w:val="0"/>
              <w:ind w:left="0" w:right="0" w:hanging="0"/>
              <w:jc w:val="left"/>
              <w:textAlignment w:val="auto"/>
              <w:rPr>
                <w:lang w:val="ro-MD"/>
              </w:rPr>
            </w:pPr>
            <w:r>
              <w:rPr>
                <w:bCs/>
                <w:sz w:val="22"/>
                <w:szCs w:val="22"/>
                <w:lang w:val="ro-MD"/>
              </w:rPr>
              <w:t>E</w:t>
            </w:r>
            <w:r>
              <w:rPr>
                <w:rFonts w:cs="Times New Roman CE" w:ascii="Times New Roman CE" w:hAnsi="Times New Roman CE"/>
                <w:bCs/>
                <w:sz w:val="22"/>
                <w:szCs w:val="22"/>
                <w:lang w:val="ro-MD"/>
              </w:rPr>
              <w:t>cuaţii diferenţiale</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doctor  în şt.f-m. (2014)</w:t>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cumul</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Cercetător ştiinţific stagiar</w:t>
            </w:r>
            <w:r>
              <w:rPr>
                <w:bCs/>
                <w:sz w:val="22"/>
                <w:szCs w:val="20"/>
                <w:lang w:val="ro-MD"/>
              </w:rPr>
              <w:t xml:space="preserve"> 069737683</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10.</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lang w:val="ro-MD"/>
              </w:rPr>
              <w:t>Bujac Cristina</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1978</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sz w:val="22"/>
                <w:szCs w:val="22"/>
                <w:lang w:val="ro-MD"/>
              </w:rPr>
              <w:t xml:space="preserve">111.02 </w:t>
            </w:r>
          </w:p>
          <w:p>
            <w:pPr>
              <w:pStyle w:val="Style14"/>
              <w:widowControl/>
              <w:bidi w:val="0"/>
              <w:ind w:left="0" w:right="0" w:hanging="0"/>
              <w:jc w:val="left"/>
              <w:textAlignment w:val="auto"/>
              <w:rPr>
                <w:lang w:val="ro-MD"/>
              </w:rPr>
            </w:pPr>
            <w:r>
              <w:rPr>
                <w:bCs/>
                <w:sz w:val="22"/>
                <w:szCs w:val="22"/>
                <w:lang w:val="ro-MD"/>
              </w:rPr>
              <w:t>E</w:t>
            </w:r>
            <w:r>
              <w:rPr>
                <w:rFonts w:cs="Times New Roman CE" w:ascii="Times New Roman CE" w:hAnsi="Times New Roman CE"/>
                <w:bCs/>
                <w:sz w:val="22"/>
                <w:szCs w:val="22"/>
                <w:lang w:val="ro-MD"/>
              </w:rPr>
              <w:t>cuaţii diferenţiale</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 xml:space="preserve"> </w:t>
            </w:r>
            <w:r>
              <w:rPr>
                <w:rFonts w:cs="Times New Roman CE" w:ascii="Times New Roman CE" w:hAnsi="Times New Roman CE"/>
                <w:bCs/>
                <w:sz w:val="22"/>
                <w:szCs w:val="20"/>
                <w:lang w:val="ro-MD"/>
              </w:rPr>
              <w:t>doctor  în şt.f-m. (2016)</w:t>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bază</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Cercetător ştiinţific stagiar</w:t>
            </w:r>
            <w:r>
              <w:rPr>
                <w:bCs/>
                <w:sz w:val="22"/>
                <w:szCs w:val="20"/>
                <w:lang w:val="ro-MD"/>
              </w:rPr>
              <w:t xml:space="preserve"> 079274200</w:t>
            </w:r>
          </w:p>
        </w:tc>
      </w:tr>
      <w:tr>
        <w:trPr/>
        <w:tc>
          <w:tcPr>
            <w:tcW w:w="11203" w:type="dxa"/>
            <w:gridSpan w:val="7"/>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
                <w:sz w:val="26"/>
                <w:szCs w:val="20"/>
                <w:lang w:val="ro-MD"/>
              </w:rPr>
              <w:t xml:space="preserve">Laboratorul </w:t>
            </w:r>
            <w:r>
              <w:rPr>
                <w:rFonts w:cs="Times New Roman CE" w:ascii="Times New Roman CE" w:hAnsi="Times New Roman CE"/>
                <w:b/>
                <w:sz w:val="26"/>
                <w:szCs w:val="20"/>
                <w:lang w:val="ro-RO"/>
              </w:rPr>
              <w:t>„Modelare  matematică”</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lang w:val="ro-MD"/>
              </w:rPr>
              <w:t>Lozovanu Dmitrii</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1948</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sz w:val="22"/>
                <w:szCs w:val="22"/>
                <w:lang w:val="ro-MD"/>
              </w:rPr>
              <w:t>112.03 C</w:t>
            </w:r>
            <w:r>
              <w:rPr>
                <w:rFonts w:cs="Times New Roman CE" w:ascii="Times New Roman CE" w:hAnsi="Times New Roman CE"/>
                <w:bCs/>
                <w:sz w:val="22"/>
                <w:szCs w:val="22"/>
                <w:lang w:val="ro-MD"/>
              </w:rPr>
              <w:t>ibernetică matematică şi cercetări operaţionale</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doctor hab. în şt.f-m. (1992)</w:t>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bază</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Cercetător ştiinţific principal 733583</w:t>
            </w:r>
          </w:p>
          <w:p>
            <w:pPr>
              <w:pStyle w:val="Style14"/>
              <w:widowControl/>
              <w:bidi w:val="0"/>
              <w:ind w:left="0" w:right="0" w:hanging="0"/>
              <w:jc w:val="left"/>
              <w:textAlignment w:val="auto"/>
              <w:rPr>
                <w:lang w:val="ro-MD"/>
              </w:rPr>
            </w:pPr>
            <w:r>
              <w:rPr>
                <w:bCs/>
                <w:sz w:val="22"/>
                <w:szCs w:val="20"/>
                <w:lang w:val="ro-MD"/>
              </w:rPr>
              <w:t>069053264</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2.</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lang w:val="ro-MD"/>
              </w:rPr>
              <w:t>Naval Elvira</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1945</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sz w:val="22"/>
                <w:szCs w:val="22"/>
                <w:lang w:val="ro-MD"/>
              </w:rPr>
              <w:t>122.03 Modelare, metode matematice, produse program</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doctor  în informatică (1990)</w:t>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cumul intern</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Cercetător ştiinţific coordonator 738041</w:t>
            </w:r>
            <w:r>
              <w:rPr>
                <w:bCs/>
                <w:sz w:val="22"/>
                <w:szCs w:val="20"/>
                <w:lang w:val="ro-MD"/>
              </w:rPr>
              <w:t xml:space="preserve">   079332777</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3.</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lang w:val="ro-MD"/>
              </w:rPr>
              <w:t>Mişcoi Gheorghe</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1944</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sz w:val="22"/>
                <w:szCs w:val="22"/>
                <w:lang w:val="ro-MD"/>
              </w:rPr>
              <w:t>122.03 Modelare, metode matematice, produse program</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doctor hab. în şt.f-m. (1990)</w:t>
            </w:r>
          </w:p>
          <w:p>
            <w:pPr>
              <w:pStyle w:val="Style14"/>
              <w:widowControl/>
              <w:bidi w:val="0"/>
              <w:ind w:left="0" w:right="0" w:hanging="0"/>
              <w:jc w:val="left"/>
              <w:textAlignment w:val="auto"/>
              <w:rPr>
                <w:rFonts w:ascii="Times New Roman" w:hAnsi="Times New Roman"/>
                <w:bCs/>
                <w:sz w:val="22"/>
                <w:szCs w:val="20"/>
                <w:lang w:val="ro-MD"/>
              </w:rPr>
            </w:pPr>
            <w:r>
              <w:rPr>
                <w:bCs/>
                <w:sz w:val="22"/>
                <w:szCs w:val="20"/>
                <w:lang w:val="ro-MD"/>
              </w:rPr>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cumul</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Cercetător ştiinţific principal</w:t>
            </w:r>
            <w:r>
              <w:rPr>
                <w:bCs/>
                <w:sz w:val="22"/>
                <w:szCs w:val="20"/>
                <w:lang w:val="ro-MD"/>
              </w:rPr>
              <w:t xml:space="preserve"> 271671</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4.</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lang w:val="ro-MD"/>
              </w:rPr>
              <w:t>Kolesnik Alexander</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1957</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sz w:val="22"/>
                <w:szCs w:val="22"/>
                <w:lang w:val="ro-MD"/>
              </w:rPr>
              <w:t>113.01 T</w:t>
            </w:r>
            <w:r>
              <w:rPr>
                <w:rFonts w:cs="Times New Roman CE" w:ascii="Times New Roman CE" w:hAnsi="Times New Roman CE"/>
                <w:bCs/>
                <w:sz w:val="22"/>
                <w:szCs w:val="22"/>
                <w:lang w:val="ro-MD"/>
              </w:rPr>
              <w:t>eoria probabilităţilor şi statistica matematică</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 xml:space="preserve">doctor hab. în şt.f-m. (2010) </w:t>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bază</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Şef de laborator</w:t>
            </w:r>
          </w:p>
          <w:p>
            <w:pPr>
              <w:pStyle w:val="Style14"/>
              <w:widowControl/>
              <w:bidi w:val="0"/>
              <w:ind w:left="0" w:right="0" w:hanging="0"/>
              <w:jc w:val="left"/>
              <w:textAlignment w:val="auto"/>
              <w:rPr>
                <w:lang w:val="ro-MD"/>
              </w:rPr>
            </w:pPr>
            <w:r>
              <w:rPr>
                <w:bCs/>
                <w:sz w:val="22"/>
                <w:szCs w:val="20"/>
                <w:lang w:val="ro-MD"/>
              </w:rPr>
              <w:t>738046</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5.</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lang w:val="ro-MD"/>
              </w:rPr>
              <w:t>Secrieru Grigore</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1942</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sz w:val="22"/>
                <w:szCs w:val="22"/>
                <w:lang w:val="ro-MD"/>
              </w:rPr>
              <w:t>122.03 Modelare, metode matematice, produse program</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doctor  în informatică (198</w:t>
            </w:r>
            <w:r>
              <w:rPr>
                <w:bCs/>
                <w:sz w:val="22"/>
                <w:szCs w:val="20"/>
                <w:lang w:val="ro-MD"/>
              </w:rPr>
              <w:t>2)</w:t>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bază</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Cercetător ştiinţific coordonator</w:t>
            </w:r>
            <w:r>
              <w:rPr>
                <w:bCs/>
                <w:sz w:val="22"/>
                <w:szCs w:val="20"/>
                <w:lang w:val="ro-MD"/>
              </w:rPr>
              <w:t xml:space="preserve"> 738105, 739827  069151300</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6.</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lang w:val="ro-MD"/>
              </w:rPr>
              <w:t>G</w:t>
            </w:r>
            <w:r>
              <w:rPr>
                <w:rFonts w:cs="Times New Roman CE" w:ascii="Times New Roman CE" w:hAnsi="Times New Roman CE"/>
                <w:bCs/>
                <w:lang w:val="ro-RO"/>
              </w:rPr>
              <w:t>uţuleac Elena</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1979</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sz w:val="22"/>
                <w:szCs w:val="22"/>
                <w:lang w:val="ro-MD"/>
              </w:rPr>
              <w:t>122.03 Modelare, metode matematice, produse program</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doctor  în şt.f-m. (2014)</w:t>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bază</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Cercetător ştiinţ</w:t>
            </w:r>
            <w:r>
              <w:rPr>
                <w:bCs/>
                <w:sz w:val="22"/>
                <w:szCs w:val="20"/>
                <w:lang w:val="ro-MD"/>
              </w:rPr>
              <w:t xml:space="preserve">ific </w:t>
            </w:r>
          </w:p>
          <w:p>
            <w:pPr>
              <w:pStyle w:val="Style14"/>
              <w:widowControl/>
              <w:bidi w:val="0"/>
              <w:ind w:left="0" w:right="0" w:hanging="0"/>
              <w:jc w:val="left"/>
              <w:textAlignment w:val="auto"/>
              <w:rPr/>
            </w:pPr>
            <w:r>
              <w:rPr>
                <w:bCs/>
                <w:sz w:val="22"/>
                <w:szCs w:val="20"/>
                <w:lang w:val="ro-MD"/>
              </w:rPr>
              <w:t>722771</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7.</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lang w:val="ro-MD"/>
              </w:rPr>
              <w:t>Mitev Lilia</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1986</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pPr>
            <w:r>
              <w:rPr>
                <w:bCs/>
                <w:sz w:val="22"/>
                <w:szCs w:val="22"/>
                <w:lang w:val="ro-RO"/>
              </w:rPr>
              <w:t>matematician</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fără grad</w:t>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cumul</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sz w:val="22"/>
                <w:szCs w:val="20"/>
                <w:lang w:val="ro-MD"/>
              </w:rPr>
              <w:t>C</w:t>
            </w:r>
            <w:r>
              <w:rPr>
                <w:rFonts w:cs="Times New Roman CE" w:ascii="Times New Roman CE" w:hAnsi="Times New Roman CE"/>
                <w:bCs/>
                <w:sz w:val="22"/>
                <w:szCs w:val="20"/>
                <w:lang w:val="ro-MD"/>
              </w:rPr>
              <w:t>ercetător ştiinţific stagiar 079213150</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8.</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lang w:val="ro-MD"/>
              </w:rPr>
              <w:t>Şeremet Victor</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1945</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sz w:val="22"/>
                <w:szCs w:val="22"/>
                <w:lang w:val="ro-MD"/>
              </w:rPr>
              <w:t>135.02 Mecanica corpului solid</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doctor hab. în şt. f-m. (1995)</w:t>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cumul</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Cercetător ştiinţific coordonator 432983</w:t>
            </w:r>
          </w:p>
        </w:tc>
      </w:tr>
      <w:tr>
        <w:trPr/>
        <w:tc>
          <w:tcPr>
            <w:tcW w:w="11203" w:type="dxa"/>
            <w:gridSpan w:val="7"/>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
                <w:sz w:val="26"/>
                <w:szCs w:val="20"/>
                <w:lang w:val="ro-MD"/>
              </w:rPr>
              <w:t xml:space="preserve">Laboratorul </w:t>
            </w:r>
            <w:r>
              <w:rPr>
                <w:b/>
                <w:sz w:val="26"/>
                <w:szCs w:val="20"/>
                <w:lang w:val="ro-RO"/>
              </w:rPr>
              <w:t>„Sisteme de programare”</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lang w:val="ro-MD"/>
              </w:rPr>
              <w:t>Ciubotaru Constantin</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1949</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sz w:val="22"/>
                <w:szCs w:val="22"/>
                <w:lang w:val="ro-MD"/>
              </w:rPr>
              <w:t>121.01 Bazele teoretice ale informaticii</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doctor  în informatică (1984)</w:t>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bază</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Şef de laborator</w:t>
            </w:r>
          </w:p>
          <w:p>
            <w:pPr>
              <w:pStyle w:val="Style14"/>
              <w:widowControl/>
              <w:bidi w:val="0"/>
              <w:ind w:left="0" w:right="0" w:hanging="0"/>
              <w:jc w:val="left"/>
              <w:textAlignment w:val="auto"/>
              <w:rPr>
                <w:lang w:val="ro-MD"/>
              </w:rPr>
            </w:pPr>
            <w:r>
              <w:rPr>
                <w:bCs/>
                <w:sz w:val="22"/>
                <w:szCs w:val="20"/>
                <w:lang w:val="ro-MD"/>
              </w:rPr>
              <w:t xml:space="preserve">738073 </w:t>
            </w:r>
            <w:r>
              <w:rPr>
                <w:sz w:val="22"/>
                <w:szCs w:val="22"/>
                <w:lang w:val="ro-RO"/>
              </w:rPr>
              <w:t>069184564</w:t>
            </w:r>
          </w:p>
          <w:p>
            <w:pPr>
              <w:pStyle w:val="Style14"/>
              <w:widowControl/>
              <w:bidi w:val="0"/>
              <w:ind w:left="0" w:right="0" w:hanging="0"/>
              <w:jc w:val="center"/>
              <w:textAlignment w:val="auto"/>
              <w:rPr>
                <w:rFonts w:ascii="Times New Roman" w:hAnsi="Times New Roman"/>
                <w:bCs/>
                <w:sz w:val="22"/>
                <w:szCs w:val="22"/>
                <w:lang w:val="ro-MD"/>
              </w:rPr>
            </w:pPr>
            <w:r>
              <w:rPr>
                <w:bCs/>
                <w:sz w:val="22"/>
                <w:szCs w:val="22"/>
                <w:lang w:val="ro-MD"/>
              </w:rPr>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2.</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lang w:val="ro-MD"/>
              </w:rPr>
              <w:t>Cojocaru Svetlana</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1952</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sz w:val="22"/>
                <w:szCs w:val="22"/>
                <w:lang w:val="ro-MD"/>
              </w:rPr>
              <w:t>121.01 Bazele teoretice ale informaticii</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doctor hab. în inform. (2007)</w:t>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cumul intern</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Cercetător ştiinţific principal 728414</w:t>
            </w:r>
          </w:p>
          <w:p>
            <w:pPr>
              <w:pStyle w:val="Style14"/>
              <w:widowControl/>
              <w:bidi w:val="0"/>
              <w:ind w:left="0" w:right="0" w:hanging="0"/>
              <w:jc w:val="left"/>
              <w:textAlignment w:val="auto"/>
              <w:rPr>
                <w:lang w:val="ro-MD"/>
              </w:rPr>
            </w:pPr>
            <w:r>
              <w:rPr>
                <w:bCs/>
                <w:sz w:val="22"/>
                <w:szCs w:val="20"/>
                <w:lang w:val="ro-MD"/>
              </w:rPr>
              <w:t>069224808</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3.</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lang w:val="ro-MD"/>
              </w:rPr>
              <w:t>Alhazov Artiom</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1979</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sz w:val="22"/>
                <w:szCs w:val="22"/>
                <w:lang w:val="ro-MD"/>
              </w:rPr>
              <w:t>121.01 Bazele teoretice ale informaticii</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doctor habilitat în informatică (2013)</w:t>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bază</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Cercetător ştiinţific coordonator 727483</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4.</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lang w:val="ro-MD"/>
              </w:rPr>
              <w:t>Magariu Galina</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1947</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sz w:val="22"/>
                <w:szCs w:val="22"/>
                <w:lang w:val="ro-MD"/>
              </w:rPr>
              <w:t>121.01 Bazele teoretice ale informaticii</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doctor  în informatică (1980)</w:t>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bază</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Cercetător ştiinţific coordonator</w:t>
            </w:r>
          </w:p>
          <w:p>
            <w:pPr>
              <w:pStyle w:val="Style14"/>
              <w:widowControl/>
              <w:bidi w:val="0"/>
              <w:ind w:left="0" w:right="0" w:hanging="0"/>
              <w:jc w:val="left"/>
              <w:textAlignment w:val="auto"/>
              <w:rPr>
                <w:lang w:val="ro-MD"/>
              </w:rPr>
            </w:pPr>
            <w:r>
              <w:rPr>
                <w:bCs/>
                <w:sz w:val="22"/>
                <w:szCs w:val="20"/>
                <w:lang w:val="ro-MD"/>
              </w:rPr>
              <w:t>738110</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5.</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lang w:val="ro-MD"/>
              </w:rPr>
              <w:t>Colesnicov Alexandru</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1947</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sz w:val="22"/>
                <w:szCs w:val="22"/>
                <w:lang w:val="ro-MD"/>
              </w:rPr>
              <w:t>121.01 Bazele teoretice ale informaticii</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doctor  în informatică (1996)</w:t>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bază</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Cercetător ştiinţific coordonator</w:t>
            </w:r>
          </w:p>
          <w:p>
            <w:pPr>
              <w:pStyle w:val="Style14"/>
              <w:widowControl/>
              <w:bidi w:val="0"/>
              <w:ind w:left="0" w:right="0" w:hanging="0"/>
              <w:jc w:val="left"/>
              <w:textAlignment w:val="auto"/>
              <w:rPr>
                <w:lang w:val="ro-MD"/>
              </w:rPr>
            </w:pPr>
            <w:r>
              <w:rPr>
                <w:bCs/>
                <w:sz w:val="22"/>
                <w:szCs w:val="20"/>
                <w:lang w:val="ro-MD"/>
              </w:rPr>
              <w:t>738073</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6.</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lang w:val="ro-MD"/>
              </w:rPr>
              <w:t>Burţeva Ludmila</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1967</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sz w:val="22"/>
                <w:szCs w:val="22"/>
                <w:lang w:val="ro-MD"/>
              </w:rPr>
              <w:t>121.01 Bazele teoretice ale informaticii</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doctor  în informatică (1999)</w:t>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bază</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Cercetător ştiinţific coordonator</w:t>
            </w:r>
          </w:p>
          <w:p>
            <w:pPr>
              <w:pStyle w:val="Style14"/>
              <w:widowControl/>
              <w:bidi w:val="0"/>
              <w:ind w:left="0" w:right="0" w:hanging="0"/>
              <w:jc w:val="left"/>
              <w:textAlignment w:val="auto"/>
              <w:rPr>
                <w:lang w:val="ro-MD"/>
              </w:rPr>
            </w:pPr>
            <w:r>
              <w:rPr>
                <w:bCs/>
                <w:sz w:val="22"/>
                <w:szCs w:val="20"/>
                <w:lang w:val="ro-MD"/>
              </w:rPr>
              <w:t>738110</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7.</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lang w:val="ro-MD"/>
              </w:rPr>
              <w:t>Malahov Ludmila</w:t>
            </w:r>
          </w:p>
          <w:p>
            <w:pPr>
              <w:pStyle w:val="Style14"/>
              <w:widowControl/>
              <w:bidi w:val="0"/>
              <w:ind w:left="0" w:right="0" w:hanging="0"/>
              <w:jc w:val="left"/>
              <w:textAlignment w:val="auto"/>
              <w:rPr>
                <w:rFonts w:ascii="Times New Roman" w:hAnsi="Times New Roman"/>
                <w:bCs/>
                <w:lang w:val="ro-MD"/>
              </w:rPr>
            </w:pPr>
            <w:r>
              <w:rPr>
                <w:bCs/>
                <w:lang w:val="ro-MD"/>
              </w:rPr>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1947</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sz w:val="22"/>
                <w:szCs w:val="22"/>
                <w:lang w:val="ro-MD"/>
              </w:rPr>
              <w:t>matematician</w:t>
            </w:r>
          </w:p>
          <w:p>
            <w:pPr>
              <w:pStyle w:val="Style14"/>
              <w:widowControl/>
              <w:bidi w:val="0"/>
              <w:ind w:left="0" w:right="0" w:hanging="0"/>
              <w:jc w:val="left"/>
              <w:textAlignment w:val="auto"/>
              <w:rPr>
                <w:rFonts w:ascii="Times New Roman" w:hAnsi="Times New Roman"/>
                <w:bCs/>
                <w:sz w:val="22"/>
                <w:szCs w:val="22"/>
                <w:lang w:val="ro-MD"/>
              </w:rPr>
            </w:pPr>
            <w:r>
              <w:rPr>
                <w:bCs/>
                <w:sz w:val="22"/>
                <w:szCs w:val="22"/>
                <w:lang w:val="ro-MD"/>
              </w:rPr>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fără grad</w:t>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bază</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 xml:space="preserve">Cercetător ştiinţific </w:t>
            </w:r>
          </w:p>
          <w:p>
            <w:pPr>
              <w:pStyle w:val="Style14"/>
              <w:widowControl/>
              <w:bidi w:val="0"/>
              <w:ind w:left="0" w:right="0" w:hanging="0"/>
              <w:jc w:val="left"/>
              <w:textAlignment w:val="auto"/>
              <w:rPr>
                <w:lang w:val="ro-MD"/>
              </w:rPr>
            </w:pPr>
            <w:r>
              <w:rPr>
                <w:bCs/>
                <w:sz w:val="22"/>
                <w:szCs w:val="20"/>
                <w:lang w:val="ro-MD"/>
              </w:rPr>
              <w:t>738073</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8.</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lang w:val="ro-MD"/>
              </w:rPr>
              <w:t>Demidova Valentina</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1955</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sz w:val="22"/>
                <w:szCs w:val="22"/>
                <w:lang w:val="ro-MD"/>
              </w:rPr>
              <w:t>matematician</w:t>
            </w:r>
          </w:p>
          <w:p>
            <w:pPr>
              <w:pStyle w:val="Style14"/>
              <w:widowControl/>
              <w:bidi w:val="0"/>
              <w:ind w:left="0" w:right="0" w:hanging="0"/>
              <w:jc w:val="left"/>
              <w:textAlignment w:val="auto"/>
              <w:rPr>
                <w:rFonts w:ascii="Times New Roman" w:hAnsi="Times New Roman"/>
                <w:bCs/>
                <w:sz w:val="22"/>
                <w:szCs w:val="22"/>
                <w:lang w:val="ro-MD"/>
              </w:rPr>
            </w:pPr>
            <w:r>
              <w:rPr>
                <w:bCs/>
                <w:sz w:val="22"/>
                <w:szCs w:val="22"/>
                <w:lang w:val="ro-MD"/>
              </w:rPr>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fără grad</w:t>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bază</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 xml:space="preserve">Cercetător ştiinţific </w:t>
            </w:r>
          </w:p>
          <w:p>
            <w:pPr>
              <w:pStyle w:val="Style14"/>
              <w:widowControl/>
              <w:bidi w:val="0"/>
              <w:ind w:left="0" w:right="0" w:hanging="0"/>
              <w:jc w:val="left"/>
              <w:textAlignment w:val="auto"/>
              <w:rPr>
                <w:lang w:val="ro-MD"/>
              </w:rPr>
            </w:pPr>
            <w:r>
              <w:rPr>
                <w:bCs/>
                <w:sz w:val="22"/>
                <w:szCs w:val="20"/>
                <w:lang w:val="ro-MD"/>
              </w:rPr>
              <w:t>738110</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9.</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lang w:val="ro-MD"/>
              </w:rPr>
              <w:t>Verlan Tatiana</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1962</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sz w:val="22"/>
                <w:szCs w:val="22"/>
                <w:lang w:val="ro-MD"/>
              </w:rPr>
              <w:t>matematician</w:t>
            </w:r>
          </w:p>
          <w:p>
            <w:pPr>
              <w:pStyle w:val="Style14"/>
              <w:widowControl/>
              <w:bidi w:val="0"/>
              <w:ind w:left="0" w:right="0" w:hanging="0"/>
              <w:jc w:val="left"/>
              <w:textAlignment w:val="auto"/>
              <w:rPr>
                <w:rFonts w:ascii="Times New Roman" w:hAnsi="Times New Roman"/>
                <w:bCs/>
                <w:sz w:val="22"/>
                <w:szCs w:val="22"/>
                <w:lang w:val="ro-MD"/>
              </w:rPr>
            </w:pPr>
            <w:r>
              <w:rPr>
                <w:bCs/>
                <w:sz w:val="22"/>
                <w:szCs w:val="22"/>
                <w:lang w:val="ro-MD"/>
              </w:rPr>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fără grad</w:t>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bază</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 xml:space="preserve">Cercetător ştiinţific </w:t>
            </w:r>
          </w:p>
          <w:p>
            <w:pPr>
              <w:pStyle w:val="Style14"/>
              <w:widowControl/>
              <w:bidi w:val="0"/>
              <w:ind w:left="0" w:right="0" w:hanging="0"/>
              <w:jc w:val="left"/>
              <w:textAlignment w:val="auto"/>
              <w:rPr>
                <w:lang w:val="ro-MD"/>
              </w:rPr>
            </w:pPr>
            <w:r>
              <w:rPr>
                <w:bCs/>
                <w:sz w:val="22"/>
                <w:szCs w:val="20"/>
                <w:lang w:val="ro-MD"/>
              </w:rPr>
              <w:t>738110</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10.</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lang w:val="ro-MD"/>
              </w:rPr>
              <w:t>Petic Mircea</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1980</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sz w:val="22"/>
                <w:szCs w:val="22"/>
                <w:lang w:val="ro-MD"/>
              </w:rPr>
              <w:t>122.03 Modelare, metode matematice, produse program</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doctor în informatică (2011)</w:t>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cumul</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Cercetător ştiinţific</w:t>
            </w:r>
          </w:p>
          <w:p>
            <w:pPr>
              <w:pStyle w:val="Style14"/>
              <w:widowControl/>
              <w:bidi w:val="0"/>
              <w:ind w:left="0" w:right="0" w:hanging="0"/>
              <w:jc w:val="left"/>
              <w:textAlignment w:val="auto"/>
              <w:rPr>
                <w:lang w:val="ro-MD"/>
              </w:rPr>
            </w:pPr>
            <w:r>
              <w:rPr>
                <w:bCs/>
                <w:sz w:val="22"/>
                <w:szCs w:val="20"/>
                <w:lang w:val="ro-MD"/>
              </w:rPr>
              <w:t xml:space="preserve">  </w:t>
            </w:r>
            <w:r>
              <w:rPr>
                <w:bCs/>
                <w:sz w:val="22"/>
                <w:szCs w:val="20"/>
                <w:lang w:val="ro-MD"/>
              </w:rPr>
              <w:t>738058</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11.</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pPr>
            <w:r>
              <w:rPr>
                <w:bCs/>
              </w:rPr>
              <w:t>Cojuhari</w:t>
            </w:r>
            <w:r>
              <w:rPr>
                <w:bCs/>
                <w:lang w:val="ro-MD"/>
              </w:rPr>
              <w:t xml:space="preserve"> Natalia</w:t>
            </w:r>
          </w:p>
          <w:p>
            <w:pPr>
              <w:pStyle w:val="Style14"/>
              <w:widowControl/>
              <w:bidi w:val="0"/>
              <w:ind w:left="0" w:right="0" w:hanging="0"/>
              <w:jc w:val="left"/>
              <w:textAlignment w:val="auto"/>
              <w:rPr>
                <w:rFonts w:ascii="Times New Roman" w:hAnsi="Times New Roman"/>
                <w:bCs/>
                <w:lang w:val="ro-MD"/>
              </w:rPr>
            </w:pPr>
            <w:r>
              <w:rPr>
                <w:bCs/>
                <w:lang w:val="ro-MD"/>
              </w:rPr>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1984</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sz w:val="22"/>
                <w:szCs w:val="22"/>
                <w:lang w:val="ro-MD"/>
              </w:rPr>
              <w:t>matematician</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fără grad</w:t>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bază</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Cercetător ştiinţific</w:t>
            </w:r>
          </w:p>
          <w:p>
            <w:pPr>
              <w:pStyle w:val="Style14"/>
              <w:widowControl/>
              <w:bidi w:val="0"/>
              <w:ind w:left="0" w:right="0" w:hanging="0"/>
              <w:jc w:val="left"/>
              <w:textAlignment w:val="auto"/>
              <w:rPr>
                <w:lang w:val="ro-MD"/>
              </w:rPr>
            </w:pPr>
            <w:r>
              <w:rPr>
                <w:bCs/>
                <w:sz w:val="22"/>
                <w:szCs w:val="20"/>
                <w:lang w:val="ro-MD"/>
              </w:rPr>
              <w:t>stagiar 434804</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12.</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lang w:val="ro-MD"/>
              </w:rPr>
              <w:t>Gâscă Veronica</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1985</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sz w:val="22"/>
                <w:szCs w:val="22"/>
                <w:lang w:val="ro-MD"/>
              </w:rPr>
              <w:t>matematician</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fără grad</w:t>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bază</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Cercetător ştiinţific stagiar (0256) 57085</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13.</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lang w:val="ro-MD"/>
              </w:rPr>
              <w:t>Zamşa Elena</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1983</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sz w:val="22"/>
                <w:szCs w:val="22"/>
                <w:lang w:val="ro-MD"/>
              </w:rPr>
              <w:t>matematician</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fără grad</w:t>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bază</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Cercetător ştiinţific stagiar 068135745</w:t>
            </w:r>
          </w:p>
        </w:tc>
      </w:tr>
      <w:tr>
        <w:trPr/>
        <w:tc>
          <w:tcPr>
            <w:tcW w:w="11203" w:type="dxa"/>
            <w:gridSpan w:val="7"/>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
                <w:sz w:val="26"/>
                <w:szCs w:val="20"/>
                <w:lang w:val="ro-MD"/>
              </w:rPr>
              <w:t xml:space="preserve">Laboratorul </w:t>
            </w:r>
            <w:r>
              <w:rPr>
                <w:b/>
                <w:sz w:val="26"/>
                <w:szCs w:val="20"/>
                <w:lang w:val="ro-RO"/>
              </w:rPr>
              <w:t>„Sisteme informatice”</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lang w:val="ro-MD"/>
              </w:rPr>
              <w:t>Secrieru Iulian</w:t>
            </w:r>
          </w:p>
          <w:p>
            <w:pPr>
              <w:pStyle w:val="Style14"/>
              <w:widowControl/>
              <w:bidi w:val="0"/>
              <w:ind w:left="0" w:right="0" w:hanging="0"/>
              <w:jc w:val="left"/>
              <w:textAlignment w:val="auto"/>
              <w:rPr>
                <w:rFonts w:ascii="Times New Roman" w:hAnsi="Times New Roman"/>
                <w:bCs/>
                <w:lang w:val="ro-MD"/>
              </w:rPr>
            </w:pPr>
            <w:r>
              <w:rPr>
                <w:bCs/>
                <w:lang w:val="ro-MD"/>
              </w:rPr>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1971</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sz w:val="22"/>
                <w:szCs w:val="22"/>
                <w:lang w:val="ro-MD"/>
              </w:rPr>
              <w:t>matematician</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lang w:val="ro-MD"/>
              </w:rPr>
              <w:t>fără grad</w:t>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bază</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 xml:space="preserve">Şef de laborator </w:t>
            </w:r>
          </w:p>
          <w:p>
            <w:pPr>
              <w:pStyle w:val="Style14"/>
              <w:widowControl/>
              <w:bidi w:val="0"/>
              <w:ind w:left="0" w:right="0" w:hanging="0"/>
              <w:jc w:val="left"/>
              <w:textAlignment w:val="auto"/>
              <w:rPr>
                <w:lang w:val="ro-MD"/>
              </w:rPr>
            </w:pPr>
            <w:r>
              <w:rPr>
                <w:bCs/>
                <w:sz w:val="22"/>
                <w:szCs w:val="20"/>
                <w:lang w:val="ro-MD"/>
              </w:rPr>
              <w:t>738130</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2.</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lang w:val="ro-MD"/>
              </w:rPr>
              <w:t>Gaindric Constantin</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1941</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sz w:val="22"/>
                <w:szCs w:val="22"/>
                <w:lang w:val="ro-MD"/>
              </w:rPr>
              <w:t>122.03 Modelare, metode matematice, produse program</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doctor hab. în inform. (2000)</w:t>
            </w:r>
          </w:p>
          <w:p>
            <w:pPr>
              <w:pStyle w:val="Style14"/>
              <w:widowControl/>
              <w:bidi w:val="0"/>
              <w:ind w:left="0" w:right="0" w:hanging="0"/>
              <w:jc w:val="left"/>
              <w:textAlignment w:val="auto"/>
              <w:rPr>
                <w:rFonts w:ascii="Times New Roman" w:hAnsi="Times New Roman"/>
                <w:bCs/>
                <w:sz w:val="22"/>
                <w:szCs w:val="20"/>
                <w:lang w:val="ro-MD"/>
              </w:rPr>
            </w:pPr>
            <w:r>
              <w:rPr>
                <w:bCs/>
                <w:sz w:val="22"/>
                <w:szCs w:val="20"/>
                <w:lang w:val="ro-MD"/>
              </w:rPr>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bază</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Cercetător ştiinţific principal 725012</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3.</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lang w:val="ro-MD"/>
              </w:rPr>
              <w:t>Burlaca Oleg</w:t>
            </w:r>
          </w:p>
          <w:p>
            <w:pPr>
              <w:pStyle w:val="Style14"/>
              <w:widowControl/>
              <w:bidi w:val="0"/>
              <w:ind w:left="0" w:right="0" w:hanging="0"/>
              <w:jc w:val="left"/>
              <w:textAlignment w:val="auto"/>
              <w:rPr>
                <w:rFonts w:ascii="Times New Roman" w:hAnsi="Times New Roman"/>
                <w:bCs/>
                <w:lang w:val="ro-MD"/>
              </w:rPr>
            </w:pPr>
            <w:r>
              <w:rPr>
                <w:bCs/>
                <w:lang w:val="ro-MD"/>
              </w:rPr>
            </w:r>
          </w:p>
          <w:p>
            <w:pPr>
              <w:pStyle w:val="Style14"/>
              <w:widowControl/>
              <w:bidi w:val="0"/>
              <w:ind w:left="0" w:right="0" w:hanging="0"/>
              <w:jc w:val="left"/>
              <w:textAlignment w:val="auto"/>
              <w:rPr>
                <w:rFonts w:ascii="Times New Roman" w:hAnsi="Times New Roman"/>
                <w:bCs/>
                <w:lang w:val="ro-MD"/>
              </w:rPr>
            </w:pPr>
            <w:r>
              <w:rPr>
                <w:bCs/>
                <w:lang w:val="ro-MD"/>
              </w:rPr>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1979</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sz w:val="22"/>
                <w:szCs w:val="22"/>
                <w:lang w:val="ro-MD"/>
              </w:rPr>
              <w:t>122.03 Modelare, metode matematice, produse program</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 xml:space="preserve">doctor  în informatică (2006) </w:t>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bază</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Cercetător ştiinţific 738130</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4.</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lang w:val="ro-MD"/>
              </w:rPr>
              <w:t>Ţiţchiev Inga</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1977</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sz w:val="22"/>
                <w:szCs w:val="22"/>
                <w:lang w:val="ro-MD"/>
              </w:rPr>
              <w:t>122.03 Modelare, metode matematice, produse program</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doctor  în informatică (2007)</w:t>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bază</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Cercetător ştiinţi</w:t>
            </w:r>
            <w:r>
              <w:rPr>
                <w:bCs/>
                <w:sz w:val="22"/>
                <w:szCs w:val="20"/>
                <w:lang w:val="ro-MD"/>
              </w:rPr>
              <w:t xml:space="preserve">fic coordonator </w:t>
            </w:r>
          </w:p>
          <w:p>
            <w:pPr>
              <w:pStyle w:val="Style14"/>
              <w:widowControl/>
              <w:bidi w:val="0"/>
              <w:ind w:left="0" w:right="0" w:hanging="0"/>
              <w:jc w:val="left"/>
              <w:textAlignment w:val="auto"/>
              <w:rPr>
                <w:lang w:val="ro-MD"/>
              </w:rPr>
            </w:pPr>
            <w:r>
              <w:rPr>
                <w:bCs/>
                <w:sz w:val="22"/>
                <w:szCs w:val="20"/>
                <w:lang w:val="ro-MD"/>
              </w:rPr>
              <w:t>738130  068944500</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5.</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lang w:val="ro-MD"/>
              </w:rPr>
              <w:t>Popcova Olga</w:t>
            </w:r>
          </w:p>
          <w:p>
            <w:pPr>
              <w:pStyle w:val="Style14"/>
              <w:widowControl/>
              <w:bidi w:val="0"/>
              <w:ind w:left="0" w:right="0" w:hanging="0"/>
              <w:jc w:val="left"/>
              <w:textAlignment w:val="auto"/>
              <w:rPr>
                <w:rFonts w:ascii="Times New Roman" w:hAnsi="Times New Roman"/>
                <w:bCs/>
                <w:lang w:val="ro-MD"/>
              </w:rPr>
            </w:pPr>
            <w:r>
              <w:rPr>
                <w:bCs/>
                <w:lang w:val="ro-MD"/>
              </w:rPr>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1979</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sz w:val="22"/>
                <w:szCs w:val="22"/>
                <w:lang w:val="ro-MD"/>
              </w:rPr>
              <w:t>matematician</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lang w:val="ro-MD"/>
              </w:rPr>
              <w:t>fără grad</w:t>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bază</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 xml:space="preserve">Cercetător ştiinţific </w:t>
            </w:r>
          </w:p>
          <w:p>
            <w:pPr>
              <w:pStyle w:val="Style14"/>
              <w:widowControl/>
              <w:bidi w:val="0"/>
              <w:ind w:left="0" w:right="0" w:hanging="0"/>
              <w:jc w:val="left"/>
              <w:textAlignment w:val="auto"/>
              <w:rPr>
                <w:lang w:val="ro-MD"/>
              </w:rPr>
            </w:pPr>
            <w:r>
              <w:rPr>
                <w:bCs/>
                <w:sz w:val="22"/>
                <w:szCs w:val="20"/>
                <w:lang w:val="ro-MD"/>
              </w:rPr>
              <w:t>738130</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6.</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lang w:val="ro-MD"/>
              </w:rPr>
              <w:t>Bogatencov Petru</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1953</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sz w:val="22"/>
                <w:szCs w:val="22"/>
                <w:lang w:val="ro-MD"/>
              </w:rPr>
              <w:t>232.02 C</w:t>
            </w:r>
            <w:r>
              <w:rPr>
                <w:rFonts w:cs="Times New Roman CE" w:ascii="Times New Roman CE" w:hAnsi="Times New Roman CE"/>
                <w:bCs/>
                <w:sz w:val="22"/>
                <w:szCs w:val="22"/>
                <w:lang w:val="ro-MD"/>
              </w:rPr>
              <w:t>alculatoare, sisteme de calcul şi reţele informaţionale</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doctor  în şt. tehnice (1991)</w:t>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bază</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Cercetător ştiinţific coordonator</w:t>
            </w:r>
          </w:p>
          <w:p>
            <w:pPr>
              <w:pStyle w:val="Style14"/>
              <w:widowControl/>
              <w:bidi w:val="0"/>
              <w:ind w:left="0" w:right="0" w:hanging="0"/>
              <w:jc w:val="left"/>
              <w:textAlignment w:val="auto"/>
              <w:rPr>
                <w:lang w:val="ro-MD"/>
              </w:rPr>
            </w:pPr>
            <w:r>
              <w:rPr>
                <w:bCs/>
                <w:sz w:val="22"/>
                <w:szCs w:val="20"/>
                <w:lang w:val="ro-MD"/>
              </w:rPr>
              <w:t>739827  069151334</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7.</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lang w:val="ro-MD"/>
              </w:rPr>
              <w:t>Iliuha Nicolai</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1969</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sz w:val="22"/>
                <w:szCs w:val="22"/>
                <w:lang w:val="ro-MD"/>
              </w:rPr>
              <w:t>informatician</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fără grad</w:t>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bază</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Cercetător ştiinţific</w:t>
            </w:r>
          </w:p>
          <w:p>
            <w:pPr>
              <w:pStyle w:val="Style14"/>
              <w:widowControl/>
              <w:bidi w:val="0"/>
              <w:ind w:left="0" w:right="0" w:hanging="0"/>
              <w:jc w:val="left"/>
              <w:textAlignment w:val="auto"/>
              <w:rPr>
                <w:lang w:val="ro-MD"/>
              </w:rPr>
            </w:pPr>
            <w:r>
              <w:rPr>
                <w:bCs/>
                <w:sz w:val="22"/>
                <w:szCs w:val="20"/>
                <w:lang w:val="ro-MD"/>
              </w:rPr>
              <w:t>738058 069651585</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8.</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lang w:val="ro-MD"/>
              </w:rPr>
              <w:t>Albu Viaceslav</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1960</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sz w:val="22"/>
                <w:szCs w:val="22"/>
                <w:lang w:val="ro-MD"/>
              </w:rPr>
              <w:t>matematician</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fără grad</w:t>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bază</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Cercetător ştiinţific</w:t>
            </w:r>
          </w:p>
          <w:p>
            <w:pPr>
              <w:pStyle w:val="Style14"/>
              <w:widowControl/>
              <w:bidi w:val="0"/>
              <w:ind w:left="0" w:right="0" w:hanging="0"/>
              <w:jc w:val="left"/>
              <w:textAlignment w:val="auto"/>
              <w:rPr>
                <w:lang w:val="ro-MD"/>
              </w:rPr>
            </w:pPr>
            <w:r>
              <w:rPr>
                <w:bCs/>
                <w:sz w:val="22"/>
                <w:szCs w:val="20"/>
                <w:lang w:val="ro-MD"/>
              </w:rPr>
              <w:t>069463393</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9.</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lang w:val="ro-MD"/>
              </w:rPr>
              <w:t>Corlat Andrei</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1957</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sz w:val="22"/>
                <w:szCs w:val="22"/>
                <w:lang w:val="ro-MD"/>
              </w:rPr>
              <w:t>113.01  Teoria proba</w:t>
            </w:r>
            <w:r>
              <w:rPr>
                <w:rFonts w:cs="Times New Roman CE" w:ascii="Times New Roman CE" w:hAnsi="Times New Roman CE"/>
                <w:bCs/>
                <w:sz w:val="22"/>
                <w:szCs w:val="22"/>
                <w:lang w:val="ro-MD"/>
              </w:rPr>
              <w:t>bilităţilor şi statistica matematică</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doctor  în şt.f-m. (1994)</w:t>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cumul intern</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Cercetător ştiinţific superior 482601</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10.</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lang w:val="ro-MD"/>
              </w:rPr>
              <w:t>Macari Dorin</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1993</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sz w:val="22"/>
                <w:szCs w:val="22"/>
                <w:lang w:val="ro-MD"/>
              </w:rPr>
              <w:t>informatician</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fără grad</w:t>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bază</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Cercetător ştiinţific stagiar  026 926731</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11.</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lang w:val="ro-MD"/>
              </w:rPr>
              <w:t>Horoş Grigorie</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1994</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sz w:val="22"/>
                <w:szCs w:val="22"/>
                <w:lang w:val="ro-MD"/>
              </w:rPr>
              <w:t>informatician</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fără grad</w:t>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bază</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Cercetător ştiinţific stagiar 068501503</w:t>
            </w:r>
          </w:p>
        </w:tc>
      </w:tr>
      <w:tr>
        <w:trPr/>
        <w:tc>
          <w:tcPr>
            <w:tcW w:w="10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12.</w:t>
            </w:r>
          </w:p>
        </w:tc>
        <w:tc>
          <w:tcPr>
            <w:tcW w:w="207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lang w:val="ro-MD"/>
              </w:rPr>
              <w:t>Degteariov Nichita</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bCs/>
                <w:sz w:val="22"/>
                <w:szCs w:val="20"/>
                <w:lang w:val="ro-MD"/>
              </w:rPr>
              <w:t>1990</w:t>
            </w:r>
          </w:p>
        </w:tc>
        <w:tc>
          <w:tcPr>
            <w:tcW w:w="228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bCs/>
                <w:sz w:val="22"/>
                <w:szCs w:val="22"/>
                <w:lang w:val="ro-MD"/>
              </w:rPr>
              <w:t>informatician</w:t>
            </w:r>
          </w:p>
        </w:tc>
        <w:tc>
          <w:tcPr>
            <w:tcW w:w="1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fără grad</w:t>
            </w:r>
          </w:p>
        </w:tc>
        <w:tc>
          <w:tcPr>
            <w:tcW w:w="102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center"/>
              <w:textAlignment w:val="auto"/>
              <w:rPr>
                <w:lang w:val="ro-MD"/>
              </w:rPr>
            </w:pPr>
            <w:r>
              <w:rPr>
                <w:rFonts w:cs="Times New Roman CE" w:ascii="Times New Roman CE" w:hAnsi="Times New Roman CE"/>
                <w:bCs/>
                <w:sz w:val="22"/>
                <w:szCs w:val="20"/>
                <w:lang w:val="ro-MD"/>
              </w:rPr>
              <w:t>bază</w:t>
            </w:r>
          </w:p>
        </w:tc>
        <w:tc>
          <w:tcPr>
            <w:tcW w:w="215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4"/>
              <w:widowControl/>
              <w:bidi w:val="0"/>
              <w:ind w:left="0" w:right="0" w:hanging="0"/>
              <w:jc w:val="left"/>
              <w:textAlignment w:val="auto"/>
              <w:rPr>
                <w:lang w:val="ro-MD"/>
              </w:rPr>
            </w:pPr>
            <w:r>
              <w:rPr>
                <w:rFonts w:cs="Times New Roman CE" w:ascii="Times New Roman CE" w:hAnsi="Times New Roman CE"/>
                <w:bCs/>
                <w:sz w:val="22"/>
                <w:szCs w:val="20"/>
                <w:lang w:val="ro-MD"/>
              </w:rPr>
              <w:t>Cercetător ştiinţific stagiar 068385111</w:t>
            </w:r>
          </w:p>
        </w:tc>
      </w:tr>
    </w:tbl>
    <w:p>
      <w:pPr>
        <w:pStyle w:val="Normal"/>
        <w:widowControl/>
        <w:bidi w:val="0"/>
        <w:ind w:left="0" w:right="0" w:hanging="0"/>
        <w:jc w:val="left"/>
        <w:textAlignment w:val="auto"/>
        <w:rPr>
          <w:rFonts w:ascii="Times New Roman" w:hAnsi="Times New Roman"/>
          <w:sz w:val="20"/>
          <w:szCs w:val="20"/>
          <w:lang w:val="ro-MD"/>
        </w:rPr>
      </w:pPr>
      <w:r>
        <w:rPr>
          <w:sz w:val="20"/>
          <w:szCs w:val="20"/>
          <w:lang w:val="ro-MD"/>
        </w:rPr>
      </w:r>
    </w:p>
    <w:p>
      <w:pPr>
        <w:pStyle w:val="Normal"/>
        <w:widowControl/>
        <w:bidi w:val="0"/>
        <w:ind w:left="0" w:right="0" w:hanging="0"/>
        <w:jc w:val="left"/>
        <w:textAlignment w:val="auto"/>
        <w:rPr>
          <w:rFonts w:ascii="Times New Roman" w:hAnsi="Times New Roman"/>
          <w:sz w:val="20"/>
          <w:szCs w:val="20"/>
          <w:lang w:val="ro-MD"/>
        </w:rPr>
      </w:pPr>
      <w:r>
        <w:rPr>
          <w:sz w:val="20"/>
          <w:szCs w:val="20"/>
          <w:lang w:val="ro-MD"/>
        </w:rPr>
      </w:r>
    </w:p>
    <w:p>
      <w:pPr>
        <w:pStyle w:val="Normal"/>
        <w:widowControl/>
        <w:bidi w:val="0"/>
        <w:ind w:left="0" w:right="0" w:hanging="0"/>
        <w:jc w:val="left"/>
        <w:textAlignment w:val="auto"/>
        <w:rPr>
          <w:rFonts w:ascii="Times New Roman" w:hAnsi="Times New Roman"/>
          <w:sz w:val="20"/>
          <w:szCs w:val="20"/>
          <w:lang w:val="ro-MD"/>
        </w:rPr>
      </w:pPr>
      <w:r>
        <w:rPr>
          <w:sz w:val="20"/>
          <w:szCs w:val="20"/>
          <w:lang w:val="ro-MD"/>
        </w:rPr>
      </w:r>
    </w:p>
    <w:p>
      <w:pPr>
        <w:pStyle w:val="Normal"/>
        <w:widowControl/>
        <w:bidi w:val="0"/>
        <w:ind w:left="0" w:right="0" w:hanging="0"/>
        <w:jc w:val="left"/>
        <w:textAlignment w:val="auto"/>
        <w:rPr>
          <w:rFonts w:ascii="Times New Roman" w:hAnsi="Times New Roman"/>
          <w:sz w:val="20"/>
          <w:szCs w:val="20"/>
          <w:lang w:val="ro-MD"/>
        </w:rPr>
      </w:pPr>
      <w:r>
        <w:rPr>
          <w:sz w:val="20"/>
          <w:szCs w:val="20"/>
          <w:lang w:val="ro-MD"/>
        </w:rPr>
      </w:r>
    </w:p>
    <w:p>
      <w:pPr>
        <w:pStyle w:val="Normal"/>
        <w:widowControl/>
        <w:bidi w:val="0"/>
        <w:ind w:left="0" w:right="-2016" w:firstLine="708"/>
        <w:jc w:val="left"/>
        <w:textAlignment w:val="auto"/>
        <w:rPr>
          <w:lang w:val="ro-MD"/>
        </w:rPr>
      </w:pPr>
      <w:r>
        <w:rPr>
          <w:rFonts w:cs="Times New Roman CE" w:ascii="Times New Roman CE" w:hAnsi="Times New Roman CE"/>
          <w:bCs/>
          <w:sz w:val="22"/>
          <w:lang w:val="ro-MD"/>
        </w:rPr>
        <w:t>Secretarul ştiinţific</w:t>
      </w:r>
      <w:r>
        <w:rPr>
          <w:b/>
          <w:bCs/>
          <w:sz w:val="22"/>
          <w:lang w:val="ro-MD"/>
        </w:rPr>
        <w:t xml:space="preserve"> ___________________________</w:t>
        <w:tab/>
        <w:t xml:space="preserve"> </w:t>
      </w:r>
      <w:r>
        <w:rPr>
          <w:bCs/>
          <w:sz w:val="22"/>
          <w:lang w:val="ro-MD"/>
        </w:rPr>
        <w:t>NAVAL Elvira</w:t>
      </w:r>
    </w:p>
    <w:p>
      <w:pPr>
        <w:pStyle w:val="Normal"/>
        <w:widowControl/>
        <w:bidi w:val="0"/>
        <w:ind w:left="0" w:right="-2016" w:hanging="0"/>
        <w:jc w:val="left"/>
        <w:textAlignment w:val="auto"/>
        <w:rPr>
          <w:rFonts w:ascii="Times New Roman" w:hAnsi="Times New Roman"/>
          <w:bCs/>
          <w:sz w:val="22"/>
          <w:lang w:val="ro-MD"/>
        </w:rPr>
      </w:pPr>
      <w:r>
        <w:rPr>
          <w:bCs/>
          <w:sz w:val="22"/>
          <w:lang w:val="ro-MD"/>
        </w:rPr>
      </w:r>
    </w:p>
    <w:p>
      <w:pPr>
        <w:pStyle w:val="Normal"/>
        <w:widowControl/>
        <w:bidi w:val="0"/>
        <w:ind w:left="0" w:right="-2016" w:hanging="0"/>
        <w:jc w:val="left"/>
        <w:textAlignment w:val="auto"/>
        <w:rPr>
          <w:rFonts w:ascii="Times New Roman" w:hAnsi="Times New Roman"/>
          <w:bCs/>
          <w:sz w:val="22"/>
          <w:lang w:val="ro-MD"/>
        </w:rPr>
      </w:pPr>
      <w:r>
        <w:rPr>
          <w:bCs/>
          <w:sz w:val="22"/>
          <w:lang w:val="ro-MD"/>
        </w:rPr>
      </w:r>
    </w:p>
    <w:p>
      <w:pPr>
        <w:pStyle w:val="Normal"/>
        <w:widowControl/>
        <w:bidi w:val="0"/>
        <w:ind w:left="0" w:right="-2016" w:hanging="0"/>
        <w:jc w:val="left"/>
        <w:textAlignment w:val="auto"/>
        <w:rPr>
          <w:rFonts w:ascii="Times New Roman" w:hAnsi="Times New Roman"/>
          <w:b/>
          <w:b/>
          <w:lang w:val="fr-FR"/>
        </w:rPr>
      </w:pPr>
      <w:r>
        <w:rPr>
          <w:b/>
          <w:lang w:val="fr-FR"/>
        </w:rPr>
      </w:r>
    </w:p>
    <w:p>
      <w:pPr>
        <w:pStyle w:val="1"/>
        <w:keepNext/>
        <w:widowControl/>
        <w:numPr>
          <w:ilvl w:val="0"/>
          <w:numId w:val="0"/>
        </w:numPr>
        <w:bidi w:val="0"/>
        <w:spacing w:before="0" w:after="0"/>
        <w:ind w:left="993" w:right="0" w:hanging="0"/>
        <w:jc w:val="left"/>
        <w:textAlignment w:val="auto"/>
        <w:outlineLvl w:val="0"/>
        <w:rPr>
          <w:b w:val="false"/>
          <w:b w:val="false"/>
          <w:lang w:val="fr-FR"/>
        </w:rPr>
      </w:pPr>
      <w:bookmarkStart w:id="178" w:name="_Toc469651923"/>
      <w:r>
        <w:rPr>
          <w:rFonts w:cs="Times New Roman" w:ascii="Times New Roman" w:hAnsi="Times New Roman"/>
          <w:b w:val="false"/>
          <w:lang w:val="fr-FR"/>
        </w:rPr>
        <w:t xml:space="preserve">Lista  </w:t>
      </w:r>
      <w:r>
        <w:rPr>
          <w:rFonts w:cs="Times New Roman CE" w:ascii="Times New Roman CE" w:hAnsi="Times New Roman CE"/>
          <w:b w:val="false"/>
          <w:lang w:val="fr-FR"/>
        </w:rPr>
        <w:t>doctoranzilor organizaţiei la 31.</w:t>
      </w:r>
      <w:bookmarkEnd w:id="178"/>
      <w:r>
        <w:rPr>
          <w:rFonts w:cs="Times New Roman" w:ascii="Times New Roman" w:hAnsi="Times New Roman"/>
          <w:b w:val="false"/>
          <w:lang w:val="fr-FR"/>
        </w:rPr>
        <w:t>12. 2016  pe subdiviziuni</w:t>
      </w:r>
    </w:p>
    <w:p>
      <w:pPr>
        <w:pStyle w:val="Normal"/>
        <w:widowControl/>
        <w:bidi w:val="0"/>
        <w:ind w:left="0" w:right="0" w:hanging="0"/>
        <w:jc w:val="center"/>
        <w:textAlignment w:val="auto"/>
        <w:rPr>
          <w:rFonts w:ascii="Times New Roman" w:hAnsi="Times New Roman"/>
          <w:b/>
          <w:b/>
          <w:lang w:val="ro-RO"/>
        </w:rPr>
      </w:pPr>
      <w:r>
        <w:rPr>
          <w:b/>
          <w:lang w:val="ro-RO"/>
        </w:rPr>
      </w:r>
    </w:p>
    <w:tbl>
      <w:tblPr>
        <w:tblW w:w="10456" w:type="dxa"/>
        <w:jc w:val="left"/>
        <w:tblInd w:w="56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3" w:type="dxa"/>
          <w:bottom w:w="0" w:type="dxa"/>
          <w:right w:w="108" w:type="dxa"/>
        </w:tblCellMar>
      </w:tblPr>
      <w:tblGrid>
        <w:gridCol w:w="1044"/>
        <w:gridCol w:w="1274"/>
        <w:gridCol w:w="70"/>
        <w:gridCol w:w="1566"/>
        <w:gridCol w:w="45"/>
        <w:gridCol w:w="676"/>
        <w:gridCol w:w="3224"/>
        <w:gridCol w:w="2556"/>
      </w:tblGrid>
      <w:tr>
        <w:trPr/>
        <w:tc>
          <w:tcPr>
            <w:tcW w:w="10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RO"/>
              </w:rPr>
            </w:pPr>
            <w:r>
              <w:rPr>
                <w:sz w:val="22"/>
                <w:szCs w:val="22"/>
                <w:lang w:val="ro-RO"/>
              </w:rPr>
              <w:t>Nr. d/o</w:t>
            </w:r>
          </w:p>
        </w:tc>
        <w:tc>
          <w:tcPr>
            <w:tcW w:w="12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RO"/>
              </w:rPr>
            </w:pPr>
            <w:r>
              <w:rPr>
                <w:sz w:val="22"/>
                <w:szCs w:val="22"/>
                <w:lang w:val="ro-RO"/>
              </w:rPr>
              <w:t>Numele, prenumele</w:t>
            </w:r>
          </w:p>
        </w:tc>
        <w:tc>
          <w:tcPr>
            <w:tcW w:w="163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RO"/>
              </w:rPr>
            </w:pPr>
            <w:r>
              <w:rPr>
                <w:rFonts w:cs="Times New Roman CE" w:ascii="Times New Roman CE" w:hAnsi="Times New Roman CE"/>
                <w:sz w:val="22"/>
                <w:szCs w:val="22"/>
                <w:lang w:val="ro-RO"/>
              </w:rPr>
              <w:t>Codul şi denumirea specialităţii</w:t>
            </w:r>
          </w:p>
        </w:tc>
        <w:tc>
          <w:tcPr>
            <w:tcW w:w="72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RO"/>
              </w:rPr>
            </w:pPr>
            <w:r>
              <w:rPr>
                <w:sz w:val="22"/>
                <w:szCs w:val="22"/>
                <w:lang w:val="ro-RO"/>
              </w:rPr>
              <w:t>Anul de studii</w:t>
            </w:r>
          </w:p>
        </w:tc>
        <w:tc>
          <w:tcPr>
            <w:tcW w:w="322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RO"/>
              </w:rPr>
            </w:pPr>
            <w:r>
              <w:rPr>
                <w:rFonts w:cs="Times New Roman CE" w:ascii="Times New Roman CE" w:hAnsi="Times New Roman CE"/>
                <w:sz w:val="22"/>
                <w:szCs w:val="22"/>
                <w:lang w:val="ro-RO"/>
              </w:rPr>
              <w:t>Conducător. Numele, prenumele, gradul şi titlul ştiinţific</w:t>
            </w:r>
          </w:p>
        </w:tc>
        <w:tc>
          <w:tcPr>
            <w:tcW w:w="25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RO"/>
              </w:rPr>
            </w:pPr>
            <w:r>
              <w:rPr>
                <w:sz w:val="22"/>
                <w:szCs w:val="22"/>
                <w:lang w:val="ro-RO"/>
              </w:rPr>
              <w:t xml:space="preserve">Forma de studii </w:t>
            </w:r>
          </w:p>
          <w:p>
            <w:pPr>
              <w:pStyle w:val="Normal"/>
              <w:widowControl/>
              <w:bidi w:val="0"/>
              <w:ind w:left="0" w:right="0" w:hanging="0"/>
              <w:jc w:val="center"/>
              <w:textAlignment w:val="auto"/>
              <w:rPr>
                <w:lang w:val="ro-RO"/>
              </w:rPr>
            </w:pPr>
            <w:r>
              <w:rPr>
                <w:rFonts w:cs="Times New Roman CE" w:ascii="Times New Roman CE" w:hAnsi="Times New Roman CE"/>
                <w:sz w:val="22"/>
                <w:szCs w:val="22"/>
                <w:lang w:val="ro-RO"/>
              </w:rPr>
              <w:t>(la zi/ fără frecvenţă)</w:t>
            </w:r>
          </w:p>
        </w:tc>
      </w:tr>
      <w:tr>
        <w:trPr/>
        <w:tc>
          <w:tcPr>
            <w:tcW w:w="10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RO"/>
              </w:rPr>
            </w:pPr>
            <w:r>
              <w:rPr>
                <w:b/>
                <w:sz w:val="22"/>
                <w:szCs w:val="22"/>
                <w:lang w:val="ro-RO"/>
              </w:rPr>
              <w:t>1</w:t>
            </w:r>
          </w:p>
        </w:tc>
        <w:tc>
          <w:tcPr>
            <w:tcW w:w="12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RO"/>
              </w:rPr>
            </w:pPr>
            <w:r>
              <w:rPr>
                <w:b/>
                <w:sz w:val="22"/>
                <w:szCs w:val="22"/>
                <w:lang w:val="ro-RO"/>
              </w:rPr>
              <w:t>2</w:t>
            </w:r>
          </w:p>
        </w:tc>
        <w:tc>
          <w:tcPr>
            <w:tcW w:w="163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RO"/>
              </w:rPr>
            </w:pPr>
            <w:r>
              <w:rPr>
                <w:b/>
                <w:sz w:val="22"/>
                <w:szCs w:val="22"/>
                <w:lang w:val="ro-RO"/>
              </w:rPr>
              <w:t>3</w:t>
            </w:r>
          </w:p>
        </w:tc>
        <w:tc>
          <w:tcPr>
            <w:tcW w:w="72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RO"/>
              </w:rPr>
            </w:pPr>
            <w:r>
              <w:rPr>
                <w:b/>
                <w:sz w:val="22"/>
                <w:szCs w:val="22"/>
                <w:lang w:val="ro-RO"/>
              </w:rPr>
              <w:t>4</w:t>
            </w:r>
          </w:p>
        </w:tc>
        <w:tc>
          <w:tcPr>
            <w:tcW w:w="322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RO"/>
              </w:rPr>
            </w:pPr>
            <w:r>
              <w:rPr>
                <w:b/>
                <w:sz w:val="22"/>
                <w:szCs w:val="22"/>
                <w:lang w:val="ro-RO"/>
              </w:rPr>
              <w:t>5</w:t>
            </w:r>
          </w:p>
        </w:tc>
        <w:tc>
          <w:tcPr>
            <w:tcW w:w="25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RO"/>
              </w:rPr>
            </w:pPr>
            <w:r>
              <w:rPr>
                <w:b/>
                <w:sz w:val="22"/>
                <w:szCs w:val="22"/>
                <w:lang w:val="ro-RO"/>
              </w:rPr>
              <w:t>6</w:t>
            </w:r>
          </w:p>
        </w:tc>
      </w:tr>
      <w:tr>
        <w:trPr/>
        <w:tc>
          <w:tcPr>
            <w:tcW w:w="10455" w:type="dxa"/>
            <w:gridSpan w:val="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RO"/>
              </w:rPr>
            </w:pPr>
            <w:r>
              <w:rPr>
                <w:b/>
                <w:i/>
                <w:sz w:val="22"/>
                <w:szCs w:val="22"/>
                <w:lang w:val="ro-RO"/>
              </w:rPr>
              <w:t>Laboratorul „</w:t>
            </w:r>
            <w:r>
              <w:rPr>
                <w:rFonts w:cs="Times New Roman CE" w:ascii="Times New Roman CE" w:hAnsi="Times New Roman CE"/>
                <w:b/>
                <w:i/>
                <w:sz w:val="22"/>
                <w:szCs w:val="22"/>
                <w:lang w:val="ro-RO"/>
              </w:rPr>
              <w:t>Algebră şi topologie</w:t>
            </w:r>
            <w:r>
              <w:rPr>
                <w:b/>
                <w:i/>
                <w:sz w:val="22"/>
                <w:szCs w:val="22"/>
                <w:lang w:val="ro-RO"/>
              </w:rPr>
              <w:t>”</w:t>
            </w:r>
          </w:p>
        </w:tc>
      </w:tr>
      <w:tr>
        <w:trPr/>
        <w:tc>
          <w:tcPr>
            <w:tcW w:w="10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RO"/>
              </w:rPr>
            </w:pPr>
            <w:r>
              <w:rPr>
                <w:sz w:val="22"/>
                <w:szCs w:val="22"/>
                <w:lang w:val="ro-RO"/>
              </w:rPr>
              <w:t>1.</w:t>
            </w:r>
          </w:p>
        </w:tc>
        <w:tc>
          <w:tcPr>
            <w:tcW w:w="134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 xml:space="preserve">Popa Alexandru </w:t>
            </w:r>
          </w:p>
        </w:tc>
        <w:tc>
          <w:tcPr>
            <w:tcW w:w="161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108" w:right="0" w:hanging="0"/>
              <w:jc w:val="left"/>
              <w:textAlignment w:val="auto"/>
              <w:rPr>
                <w:lang w:val="ro-RO"/>
              </w:rPr>
            </w:pPr>
            <w:r>
              <w:rPr>
                <w:rFonts w:cs="Times New Roman CE" w:ascii="Times New Roman CE" w:hAnsi="Times New Roman CE"/>
                <w:sz w:val="22"/>
                <w:szCs w:val="22"/>
                <w:lang w:val="ro-RO"/>
              </w:rPr>
              <w:t>111.04  Geometrie şi topologie</w:t>
            </w:r>
          </w:p>
        </w:tc>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RO"/>
              </w:rPr>
            </w:pPr>
            <w:r>
              <w:rPr>
                <w:sz w:val="22"/>
                <w:szCs w:val="22"/>
                <w:lang w:val="ro-RO"/>
              </w:rPr>
              <w:t>3</w:t>
            </w:r>
          </w:p>
        </w:tc>
        <w:tc>
          <w:tcPr>
            <w:tcW w:w="322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 xml:space="preserve">DAMIAN Florin, </w:t>
            </w:r>
            <w:r>
              <w:rPr>
                <w:rFonts w:cs="Times New Roman CE" w:ascii="Times New Roman CE" w:hAnsi="Times New Roman CE"/>
                <w:sz w:val="22"/>
                <w:szCs w:val="22"/>
                <w:lang w:val="ro-RO"/>
              </w:rPr>
              <w:t>doctor în ştiinţe fizico-matematice, conferenţiar universitar,</w:t>
            </w:r>
          </w:p>
        </w:tc>
        <w:tc>
          <w:tcPr>
            <w:tcW w:w="25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fără frecvenţă</w:t>
            </w:r>
          </w:p>
          <w:p>
            <w:pPr>
              <w:pStyle w:val="Normal"/>
              <w:widowControl/>
              <w:bidi w:val="0"/>
              <w:ind w:left="0" w:right="0" w:hanging="0"/>
              <w:jc w:val="left"/>
              <w:textAlignment w:val="auto"/>
              <w:rPr>
                <w:lang w:val="ro-RO"/>
              </w:rPr>
            </w:pPr>
            <w:r>
              <w:rPr>
                <w:sz w:val="22"/>
                <w:szCs w:val="22"/>
                <w:lang w:val="ro-RO"/>
              </w:rPr>
              <w:t>(contract)</w:t>
            </w:r>
          </w:p>
          <w:p>
            <w:pPr>
              <w:pStyle w:val="Normal"/>
              <w:widowControl/>
              <w:bidi w:val="0"/>
              <w:ind w:left="0" w:right="0" w:hanging="0"/>
              <w:jc w:val="left"/>
              <w:textAlignment w:val="auto"/>
              <w:rPr>
                <w:lang w:val="ro-RO"/>
              </w:rPr>
            </w:pPr>
            <w:r>
              <w:rPr>
                <w:sz w:val="22"/>
                <w:szCs w:val="22"/>
                <w:lang w:val="ro-RO"/>
              </w:rPr>
              <w:t>Chi</w:t>
            </w:r>
            <w:r>
              <w:rPr>
                <w:rFonts w:cs="Times New Roman CE" w:ascii="Times New Roman CE" w:hAnsi="Times New Roman CE"/>
                <w:sz w:val="22"/>
                <w:szCs w:val="22"/>
                <w:lang w:val="ro-RO"/>
              </w:rPr>
              <w:t>şinău, str. Studenţ</w:t>
            </w:r>
            <w:r>
              <w:rPr>
                <w:sz w:val="22"/>
                <w:szCs w:val="22"/>
                <w:lang w:val="ro-RO"/>
              </w:rPr>
              <w:t xml:space="preserve">ilor, 7, </w:t>
            </w:r>
          </w:p>
          <w:p>
            <w:pPr>
              <w:pStyle w:val="Normal"/>
              <w:widowControl/>
              <w:bidi w:val="0"/>
              <w:ind w:left="0" w:right="0" w:hanging="0"/>
              <w:jc w:val="left"/>
              <w:textAlignment w:val="auto"/>
              <w:rPr>
                <w:lang w:val="ro-RO"/>
              </w:rPr>
            </w:pPr>
            <w:r>
              <w:rPr>
                <w:sz w:val="22"/>
                <w:szCs w:val="22"/>
                <w:lang w:val="ro-RO"/>
              </w:rPr>
              <w:t>bl.3, ap.11</w:t>
            </w:r>
          </w:p>
          <w:p>
            <w:pPr>
              <w:pStyle w:val="Normal"/>
              <w:widowControl/>
              <w:bidi w:val="0"/>
              <w:ind w:left="0" w:right="0" w:hanging="0"/>
              <w:jc w:val="left"/>
              <w:textAlignment w:val="auto"/>
              <w:rPr/>
            </w:pPr>
            <w:hyperlink r:id="rId96">
              <w:r>
                <w:rPr>
                  <w:webHidden/>
                  <w:rStyle w:val="Style5"/>
                  <w:color w:val="0000FF"/>
                  <w:sz w:val="22"/>
                  <w:szCs w:val="22"/>
                  <w:u w:val="single"/>
                  <w:lang w:val="ro-RO"/>
                </w:rPr>
                <w:t>alpopa@gmail.com</w:t>
              </w:r>
            </w:hyperlink>
          </w:p>
        </w:tc>
      </w:tr>
      <w:tr>
        <w:trPr/>
        <w:tc>
          <w:tcPr>
            <w:tcW w:w="10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RO"/>
              </w:rPr>
            </w:pPr>
            <w:r>
              <w:rPr>
                <w:sz w:val="22"/>
                <w:szCs w:val="22"/>
                <w:lang w:val="ro-RO"/>
              </w:rPr>
              <w:t>2.</w:t>
            </w:r>
          </w:p>
        </w:tc>
        <w:tc>
          <w:tcPr>
            <w:tcW w:w="134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Diduric (Croitoru) Natalia</w:t>
            </w:r>
          </w:p>
        </w:tc>
        <w:tc>
          <w:tcPr>
            <w:tcW w:w="161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en-US"/>
              </w:rPr>
            </w:pPr>
            <w:r>
              <w:rPr>
                <w:rFonts w:cs="Times New Roman CE" w:ascii="Times New Roman CE" w:hAnsi="Times New Roman CE"/>
                <w:color w:val="000000"/>
                <w:lang w:val="en-US"/>
              </w:rPr>
              <w:t>111.03 – logica matematică, algebră şi teoria numerilor</w:t>
            </w:r>
          </w:p>
          <w:p>
            <w:pPr>
              <w:pStyle w:val="Normal"/>
              <w:widowControl/>
              <w:bidi w:val="0"/>
              <w:ind w:left="-108" w:right="0" w:hanging="0"/>
              <w:jc w:val="left"/>
              <w:textAlignment w:val="auto"/>
              <w:rPr>
                <w:rFonts w:ascii="Times New Roman" w:hAnsi="Times New Roman"/>
                <w:sz w:val="22"/>
                <w:szCs w:val="22"/>
                <w:lang w:val="en-US"/>
              </w:rPr>
            </w:pPr>
            <w:r>
              <w:rPr>
                <w:sz w:val="22"/>
                <w:szCs w:val="22"/>
                <w:lang w:val="en-US"/>
              </w:rPr>
            </w:r>
          </w:p>
        </w:tc>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RO"/>
              </w:rPr>
            </w:pPr>
            <w:r>
              <w:rPr>
                <w:sz w:val="22"/>
                <w:szCs w:val="22"/>
                <w:lang w:val="ro-RO"/>
              </w:rPr>
              <w:t>1</w:t>
            </w:r>
          </w:p>
        </w:tc>
        <w:tc>
          <w:tcPr>
            <w:tcW w:w="322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dr . hab. ŞERBACOV Victor</w:t>
            </w:r>
          </w:p>
          <w:p>
            <w:pPr>
              <w:pStyle w:val="Normal"/>
              <w:widowControl/>
              <w:bidi w:val="0"/>
              <w:ind w:left="0" w:right="0" w:hanging="0"/>
              <w:jc w:val="left"/>
              <w:textAlignment w:val="auto"/>
              <w:rPr>
                <w:lang w:val="ro-RO"/>
              </w:rPr>
            </w:pPr>
            <w:r>
              <w:rPr>
                <w:sz w:val="22"/>
                <w:szCs w:val="22"/>
                <w:lang w:val="ro-RO"/>
              </w:rPr>
              <w:t>dr. hab. CIOBAN Mitrofan</w:t>
            </w:r>
          </w:p>
        </w:tc>
        <w:tc>
          <w:tcPr>
            <w:tcW w:w="25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fără frecvenţă</w:t>
            </w:r>
          </w:p>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or. Tiraspol, str. Păcii, 24, (cămin, ap.210)</w:t>
            </w:r>
          </w:p>
        </w:tc>
      </w:tr>
      <w:tr>
        <w:trPr/>
        <w:tc>
          <w:tcPr>
            <w:tcW w:w="10455" w:type="dxa"/>
            <w:gridSpan w:val="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RO"/>
              </w:rPr>
            </w:pPr>
            <w:r>
              <w:rPr>
                <w:b/>
                <w:i/>
                <w:sz w:val="22"/>
                <w:szCs w:val="22"/>
                <w:lang w:val="ro-RO"/>
              </w:rPr>
              <w:t>Laboratorul „Sisteme de programare”</w:t>
            </w:r>
          </w:p>
        </w:tc>
      </w:tr>
      <w:tr>
        <w:trPr/>
        <w:tc>
          <w:tcPr>
            <w:tcW w:w="10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RO"/>
              </w:rPr>
            </w:pPr>
            <w:r>
              <w:rPr>
                <w:sz w:val="22"/>
                <w:szCs w:val="22"/>
                <w:lang w:val="ro-RO"/>
              </w:rPr>
              <w:t>3.</w:t>
            </w:r>
          </w:p>
        </w:tc>
        <w:tc>
          <w:tcPr>
            <w:tcW w:w="12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Gr</w:t>
            </w:r>
            <w:r>
              <w:rPr>
                <w:rFonts w:cs="Times New Roman CE" w:ascii="Times New Roman CE" w:hAnsi="Times New Roman CE"/>
                <w:sz w:val="22"/>
                <w:szCs w:val="22"/>
                <w:lang w:val="ro-RO"/>
              </w:rPr>
              <w:t>inşpun Vadim</w:t>
            </w:r>
          </w:p>
        </w:tc>
        <w:tc>
          <w:tcPr>
            <w:tcW w:w="163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122.03 – Modelare, metode matematice, produse program</w:t>
            </w:r>
          </w:p>
        </w:tc>
        <w:tc>
          <w:tcPr>
            <w:tcW w:w="72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RO"/>
              </w:rPr>
            </w:pPr>
            <w:r>
              <w:rPr>
                <w:sz w:val="22"/>
                <w:szCs w:val="22"/>
                <w:lang w:val="ro-RO"/>
              </w:rPr>
              <w:t>3</w:t>
            </w:r>
          </w:p>
        </w:tc>
        <w:tc>
          <w:tcPr>
            <w:tcW w:w="322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Liudmila B</w:t>
            </w:r>
            <w:r>
              <w:rPr>
                <w:rFonts w:cs="Times New Roman CE" w:ascii="Times New Roman CE" w:hAnsi="Times New Roman CE"/>
                <w:sz w:val="22"/>
                <w:szCs w:val="22"/>
                <w:lang w:val="ro-RO"/>
              </w:rPr>
              <w:t>URŢEVA, doctor în informatică, conferenţiar cercetător</w:t>
            </w:r>
          </w:p>
        </w:tc>
        <w:tc>
          <w:tcPr>
            <w:tcW w:w="25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fără frecvenţă (contract)</w:t>
            </w:r>
          </w:p>
          <w:p>
            <w:pPr>
              <w:pStyle w:val="Normal"/>
              <w:widowControl/>
              <w:bidi w:val="0"/>
              <w:ind w:left="0" w:right="0" w:hanging="0"/>
              <w:jc w:val="left"/>
              <w:textAlignment w:val="auto"/>
              <w:rPr>
                <w:lang w:val="ro-RO"/>
              </w:rPr>
            </w:pPr>
            <w:r>
              <w:rPr>
                <w:sz w:val="22"/>
                <w:szCs w:val="22"/>
                <w:lang w:val="ro-RO"/>
              </w:rPr>
              <w:t>SUA VA Verginia, or.Asburh, str.Laburnum Sg, nr.43760</w:t>
            </w:r>
          </w:p>
        </w:tc>
      </w:tr>
      <w:tr>
        <w:trPr/>
        <w:tc>
          <w:tcPr>
            <w:tcW w:w="10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RO"/>
              </w:rPr>
            </w:pPr>
            <w:r>
              <w:rPr>
                <w:sz w:val="22"/>
                <w:szCs w:val="22"/>
                <w:lang w:val="ro-RO"/>
              </w:rPr>
              <w:t>4.</w:t>
            </w:r>
          </w:p>
        </w:tc>
        <w:tc>
          <w:tcPr>
            <w:tcW w:w="12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Caftanatov Olesea</w:t>
            </w:r>
          </w:p>
        </w:tc>
        <w:tc>
          <w:tcPr>
            <w:tcW w:w="163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sz w:val="22"/>
                <w:szCs w:val="22"/>
                <w:lang w:val="ro-RO"/>
              </w:rPr>
              <w:t>121.03</w:t>
            </w:r>
            <w:r>
              <w:rPr>
                <w:i/>
              </w:rPr>
              <w:t xml:space="preserve"> </w:t>
            </w:r>
            <w:r>
              <w:rPr>
                <w:sz w:val="22"/>
                <w:szCs w:val="22"/>
                <w:lang w:val="ro-RO"/>
              </w:rPr>
              <w:t>– Programarea calculatoarelor</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tc>
        <w:tc>
          <w:tcPr>
            <w:tcW w:w="72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RO"/>
              </w:rPr>
            </w:pPr>
            <w:r>
              <w:rPr>
                <w:sz w:val="22"/>
                <w:szCs w:val="22"/>
                <w:lang w:val="ro-RO"/>
              </w:rPr>
              <w:t>1</w:t>
            </w:r>
          </w:p>
        </w:tc>
        <w:tc>
          <w:tcPr>
            <w:tcW w:w="322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dr.hab. COJOCARU Svetlana</w:t>
            </w:r>
          </w:p>
        </w:tc>
        <w:tc>
          <w:tcPr>
            <w:tcW w:w="25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cu</w:t>
            </w:r>
            <w:r>
              <w:rPr>
                <w:rFonts w:cs="Times New Roman CE" w:ascii="Times New Roman CE" w:hAnsi="Times New Roman CE"/>
                <w:sz w:val="22"/>
                <w:szCs w:val="22"/>
                <w:lang w:val="ro-RO"/>
              </w:rPr>
              <w:t xml:space="preserve"> frecvenţă</w:t>
            </w:r>
          </w:p>
          <w:p>
            <w:pPr>
              <w:pStyle w:val="Normal"/>
              <w:widowControl/>
              <w:bidi w:val="0"/>
              <w:ind w:left="0" w:right="0" w:hanging="0"/>
              <w:jc w:val="left"/>
              <w:textAlignment w:val="auto"/>
              <w:rPr>
                <w:lang w:val="ro-RO"/>
              </w:rPr>
            </w:pPr>
            <w:r>
              <w:rPr>
                <w:sz w:val="22"/>
                <w:szCs w:val="22"/>
                <w:lang w:val="ro-RO"/>
              </w:rPr>
              <w:t>F</w:t>
            </w:r>
            <w:r>
              <w:rPr>
                <w:rFonts w:cs="Times New Roman CE" w:ascii="Times New Roman CE" w:hAnsi="Times New Roman CE"/>
                <w:sz w:val="22"/>
                <w:szCs w:val="22"/>
                <w:lang w:val="ro-RO"/>
              </w:rPr>
              <w:t>ăleşti</w:t>
            </w:r>
            <w:r>
              <w:rPr>
                <w:sz w:val="22"/>
                <w:szCs w:val="22"/>
                <w:lang w:val="ro-RO"/>
              </w:rPr>
              <w:t>, str. Sadoveanu, 6</w:t>
            </w:r>
          </w:p>
        </w:tc>
      </w:tr>
      <w:tr>
        <w:trPr/>
        <w:tc>
          <w:tcPr>
            <w:tcW w:w="10455" w:type="dxa"/>
            <w:gridSpan w:val="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RO"/>
              </w:rPr>
            </w:pPr>
            <w:r>
              <w:rPr>
                <w:b/>
                <w:i/>
                <w:sz w:val="22"/>
                <w:szCs w:val="22"/>
                <w:lang w:val="ro-RO"/>
              </w:rPr>
              <w:t>Laboratorul „Sisteme informatice”</w:t>
            </w:r>
          </w:p>
        </w:tc>
      </w:tr>
      <w:tr>
        <w:trPr/>
        <w:tc>
          <w:tcPr>
            <w:tcW w:w="10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RO"/>
              </w:rPr>
            </w:pPr>
            <w:r>
              <w:rPr>
                <w:sz w:val="22"/>
                <w:szCs w:val="22"/>
                <w:lang w:val="ro-RO"/>
              </w:rPr>
              <w:t>5.</w:t>
            </w:r>
          </w:p>
        </w:tc>
        <w:tc>
          <w:tcPr>
            <w:tcW w:w="12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Coliban Andrei</w:t>
            </w:r>
          </w:p>
        </w:tc>
        <w:tc>
          <w:tcPr>
            <w:tcW w:w="163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sz w:val="22"/>
                <w:szCs w:val="22"/>
                <w:lang w:val="ro-RO"/>
              </w:rPr>
              <w:t>122.03 – Modelare, metode matematice, produse program</w:t>
            </w:r>
          </w:p>
        </w:tc>
        <w:tc>
          <w:tcPr>
            <w:tcW w:w="72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RO"/>
              </w:rPr>
            </w:pPr>
            <w:r>
              <w:rPr>
                <w:sz w:val="22"/>
                <w:szCs w:val="22"/>
                <w:lang w:val="ro-RO"/>
              </w:rPr>
              <w:t>2</w:t>
            </w:r>
          </w:p>
        </w:tc>
        <w:tc>
          <w:tcPr>
            <w:tcW w:w="322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 xml:space="preserve">GAINDRIC Constantin, doctor hab. </w:t>
            </w:r>
            <w:r>
              <w:rPr>
                <w:rFonts w:cs="Times New Roman CE" w:ascii="Times New Roman CE" w:hAnsi="Times New Roman CE"/>
                <w:sz w:val="22"/>
                <w:szCs w:val="22"/>
                <w:lang w:val="ro-RO"/>
              </w:rPr>
              <w:t>În informatică, prof</w:t>
            </w:r>
            <w:r>
              <w:rPr>
                <w:sz w:val="22"/>
                <w:szCs w:val="22"/>
                <w:lang w:val="ro-RO"/>
              </w:rPr>
              <w:t>esor universitar, membru corespondent</w:t>
            </w:r>
            <w:r>
              <w:rPr>
                <w:rFonts w:cs="Times New Roman CE" w:ascii="Times New Roman CE" w:hAnsi="Times New Roman CE"/>
                <w:sz w:val="22"/>
                <w:szCs w:val="22"/>
                <w:lang w:val="ro-RO"/>
              </w:rPr>
              <w:t xml:space="preserve"> AŞM;</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tc>
        <w:tc>
          <w:tcPr>
            <w:tcW w:w="25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 xml:space="preserve">fără frecvenţă </w:t>
            </w:r>
          </w:p>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Căinari, Căuşeni</w:t>
            </w:r>
            <w:r>
              <w:rPr>
                <w:sz w:val="22"/>
                <w:szCs w:val="22"/>
                <w:lang w:val="ro-RO"/>
              </w:rPr>
              <w:t xml:space="preserve">, str. Alexandru cel Bun, 5A, </w:t>
            </w:r>
          </w:p>
          <w:p>
            <w:pPr>
              <w:pStyle w:val="Normal"/>
              <w:widowControl/>
              <w:bidi w:val="0"/>
              <w:ind w:left="0" w:right="0" w:hanging="0"/>
              <w:jc w:val="left"/>
              <w:textAlignment w:val="auto"/>
              <w:rPr>
                <w:lang w:val="ro-RO"/>
              </w:rPr>
            </w:pPr>
            <w:r>
              <w:rPr>
                <w:sz w:val="22"/>
                <w:szCs w:val="22"/>
                <w:lang w:val="ro-RO"/>
              </w:rPr>
              <w:t>ap. 16</w:t>
            </w:r>
          </w:p>
        </w:tc>
      </w:tr>
      <w:tr>
        <w:trPr/>
        <w:tc>
          <w:tcPr>
            <w:tcW w:w="10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RO"/>
              </w:rPr>
            </w:pPr>
            <w:r>
              <w:rPr>
                <w:sz w:val="22"/>
                <w:szCs w:val="22"/>
                <w:lang w:val="ro-RO"/>
              </w:rPr>
              <w:t>6.</w:t>
            </w:r>
          </w:p>
        </w:tc>
        <w:tc>
          <w:tcPr>
            <w:tcW w:w="12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Gancev Alexandr</w:t>
            </w:r>
          </w:p>
        </w:tc>
        <w:tc>
          <w:tcPr>
            <w:tcW w:w="163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sz w:val="22"/>
                <w:szCs w:val="22"/>
                <w:lang w:val="ro-RO"/>
              </w:rPr>
              <w:t>122.03 – Modelare, metode matematice, produse program</w:t>
            </w:r>
          </w:p>
        </w:tc>
        <w:tc>
          <w:tcPr>
            <w:tcW w:w="72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RO"/>
              </w:rPr>
            </w:pPr>
            <w:r>
              <w:rPr>
                <w:sz w:val="22"/>
                <w:szCs w:val="22"/>
                <w:lang w:val="ro-RO"/>
              </w:rPr>
              <w:t>2</w:t>
            </w:r>
          </w:p>
        </w:tc>
        <w:tc>
          <w:tcPr>
            <w:tcW w:w="322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 xml:space="preserve">GAINDRIC </w:t>
            </w:r>
            <w:r>
              <w:rPr>
                <w:rFonts w:cs="Times New Roman CE" w:ascii="Times New Roman CE" w:hAnsi="Times New Roman CE"/>
                <w:sz w:val="22"/>
                <w:szCs w:val="22"/>
                <w:lang w:val="ro-RO"/>
              </w:rPr>
              <w:t>Constantin, doctor hab. În informatică, prof</w:t>
            </w:r>
            <w:r>
              <w:rPr>
                <w:sz w:val="22"/>
                <w:szCs w:val="22"/>
                <w:lang w:val="ro-RO"/>
              </w:rPr>
              <w:t>esor universitar, membru corespondent</w:t>
            </w:r>
            <w:r>
              <w:rPr>
                <w:rFonts w:cs="Times New Roman CE" w:ascii="Times New Roman CE" w:hAnsi="Times New Roman CE"/>
                <w:sz w:val="22"/>
                <w:szCs w:val="22"/>
                <w:lang w:val="ro-RO"/>
              </w:rPr>
              <w:t xml:space="preserve"> AŞM;</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tc>
        <w:tc>
          <w:tcPr>
            <w:tcW w:w="25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 xml:space="preserve">fără frecvenţă </w:t>
            </w:r>
          </w:p>
          <w:p>
            <w:pPr>
              <w:pStyle w:val="Normal"/>
              <w:widowControl/>
              <w:bidi w:val="0"/>
              <w:ind w:left="0" w:right="0" w:hanging="0"/>
              <w:jc w:val="left"/>
              <w:textAlignment w:val="auto"/>
              <w:rPr>
                <w:lang w:val="ro-RO"/>
              </w:rPr>
            </w:pPr>
            <w:r>
              <w:rPr>
                <w:sz w:val="22"/>
                <w:szCs w:val="22"/>
                <w:lang w:val="ro-RO"/>
              </w:rPr>
              <w:t>C</w:t>
            </w:r>
            <w:r>
              <w:rPr>
                <w:rFonts w:cs="Times New Roman CE" w:ascii="Times New Roman CE" w:hAnsi="Times New Roman CE"/>
                <w:sz w:val="22"/>
                <w:szCs w:val="22"/>
                <w:lang w:val="ro-RO"/>
              </w:rPr>
              <w:t>ăinari, Căuşeni</w:t>
            </w:r>
          </w:p>
        </w:tc>
      </w:tr>
      <w:tr>
        <w:trPr/>
        <w:tc>
          <w:tcPr>
            <w:tcW w:w="104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RO"/>
              </w:rPr>
            </w:pPr>
            <w:r>
              <w:rPr>
                <w:sz w:val="22"/>
                <w:szCs w:val="22"/>
                <w:lang w:val="ro-RO"/>
              </w:rPr>
              <w:t>7.</w:t>
            </w:r>
          </w:p>
        </w:tc>
        <w:tc>
          <w:tcPr>
            <w:tcW w:w="127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Siutkin Oleg</w:t>
            </w:r>
          </w:p>
        </w:tc>
        <w:tc>
          <w:tcPr>
            <w:tcW w:w="163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122.03 – Modelare, metode matematice, produse program</w:t>
            </w:r>
          </w:p>
        </w:tc>
        <w:tc>
          <w:tcPr>
            <w:tcW w:w="72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ro-RO"/>
              </w:rPr>
            </w:pPr>
            <w:r>
              <w:rPr>
                <w:sz w:val="22"/>
                <w:szCs w:val="22"/>
                <w:lang w:val="ro-RO"/>
              </w:rPr>
              <w:t>2</w:t>
            </w:r>
          </w:p>
        </w:tc>
        <w:tc>
          <w:tcPr>
            <w:tcW w:w="322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CORLAT Andrei, doctor în informatică, conferenţiar universitar</w:t>
            </w:r>
          </w:p>
        </w:tc>
        <w:tc>
          <w:tcPr>
            <w:tcW w:w="25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fără frecvenţă</w:t>
            </w:r>
          </w:p>
          <w:p>
            <w:pPr>
              <w:pStyle w:val="Normal"/>
              <w:widowControl/>
              <w:bidi w:val="0"/>
              <w:ind w:left="0" w:right="0" w:hanging="0"/>
              <w:jc w:val="left"/>
              <w:textAlignment w:val="auto"/>
              <w:rPr>
                <w:lang w:val="ro-RO"/>
              </w:rPr>
            </w:pPr>
            <w:r>
              <w:rPr>
                <w:sz w:val="22"/>
                <w:szCs w:val="22"/>
                <w:lang w:val="ro-RO"/>
              </w:rPr>
              <w:t>Chi</w:t>
            </w:r>
            <w:r>
              <w:rPr>
                <w:rFonts w:cs="Times New Roman CE" w:ascii="Times New Roman CE" w:hAnsi="Times New Roman CE"/>
                <w:sz w:val="22"/>
                <w:szCs w:val="22"/>
                <w:lang w:val="ro-RO"/>
              </w:rPr>
              <w:t xml:space="preserve">şinău, str. </w:t>
            </w:r>
            <w:r>
              <w:rPr>
                <w:sz w:val="22"/>
                <w:szCs w:val="22"/>
                <w:lang w:val="ro-RO"/>
              </w:rPr>
              <w:t>Gheorghe Asachi, 60, bl.1, ap.24</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tc>
      </w:tr>
    </w:tbl>
    <w:p>
      <w:pPr>
        <w:pStyle w:val="Normal"/>
        <w:widowControl/>
        <w:bidi w:val="0"/>
        <w:ind w:left="1620" w:right="-2016" w:hanging="0"/>
        <w:jc w:val="left"/>
        <w:textAlignment w:val="auto"/>
        <w:rPr>
          <w:rFonts w:ascii="Times New Roman" w:hAnsi="Times New Roman"/>
          <w:bCs/>
          <w:i/>
          <w:i/>
          <w:sz w:val="22"/>
          <w:szCs w:val="22"/>
          <w:lang w:val="ro-MD"/>
        </w:rPr>
      </w:pPr>
      <w:r>
        <w:rPr>
          <w:bCs/>
          <w:i/>
          <w:sz w:val="22"/>
          <w:szCs w:val="22"/>
          <w:lang w:val="ro-MD"/>
        </w:rPr>
      </w:r>
    </w:p>
    <w:p>
      <w:pPr>
        <w:pStyle w:val="Normal"/>
        <w:widowControl/>
        <w:bidi w:val="0"/>
        <w:ind w:left="0" w:right="0" w:hanging="0"/>
        <w:jc w:val="left"/>
        <w:textAlignment w:val="auto"/>
        <w:rPr>
          <w:lang w:val="ro-MD"/>
        </w:rPr>
      </w:pPr>
      <w:r>
        <w:rPr>
          <w:bCs/>
          <w:sz w:val="22"/>
          <w:lang w:val="ro-MD"/>
        </w:rPr>
        <w:t xml:space="preserve">Secretarul </w:t>
      </w:r>
      <w:r>
        <w:rPr>
          <w:rFonts w:cs="Times New Roman CE" w:ascii="Times New Roman CE" w:hAnsi="Times New Roman CE"/>
          <w:bCs/>
          <w:sz w:val="22"/>
          <w:lang w:val="ro-MD"/>
        </w:rPr>
        <w:t>ştiinţific</w:t>
      </w:r>
      <w:r>
        <w:rPr>
          <w:bCs/>
          <w:i/>
          <w:sz w:val="22"/>
          <w:szCs w:val="22"/>
          <w:lang w:val="ro-MD"/>
        </w:rPr>
        <w:t xml:space="preserve"> __________________________________ </w:t>
      </w:r>
      <w:r>
        <w:rPr>
          <w:bCs/>
          <w:sz w:val="22"/>
          <w:szCs w:val="22"/>
          <w:lang w:val="ro-MD"/>
        </w:rPr>
        <w:t>NAVAL Elvira</w:t>
      </w:r>
      <w:r>
        <w:rPr>
          <w:bCs/>
          <w:i/>
          <w:sz w:val="22"/>
          <w:szCs w:val="22"/>
          <w:lang w:val="ro-MD"/>
        </w:rPr>
        <w:tab/>
      </w:r>
      <w:r>
        <w:rPr>
          <w:bCs/>
          <w:i/>
          <w:sz w:val="22"/>
          <w:lang w:val="ro-MD"/>
        </w:rPr>
        <w:tab/>
        <w:tab/>
        <w:tab/>
        <w:tab/>
        <w:tab/>
        <w:tab/>
        <w:tab/>
        <w:tab/>
      </w:r>
    </w:p>
    <w:p>
      <w:pPr>
        <w:pStyle w:val="1"/>
        <w:keepNext/>
        <w:widowControl/>
        <w:numPr>
          <w:ilvl w:val="0"/>
          <w:numId w:val="0"/>
        </w:numPr>
        <w:bidi w:val="0"/>
        <w:spacing w:before="0" w:after="0"/>
        <w:ind w:left="0" w:right="0" w:hanging="0"/>
        <w:jc w:val="left"/>
        <w:textAlignment w:val="auto"/>
        <w:outlineLvl w:val="0"/>
        <w:rPr>
          <w:b w:val="false"/>
          <w:b w:val="false"/>
          <w:lang w:val="fr-FR"/>
        </w:rPr>
      </w:pPr>
      <w:bookmarkStart w:id="179" w:name="_Forma_7.1."/>
      <w:bookmarkStart w:id="180" w:name="_Toc469651924"/>
      <w:bookmarkStart w:id="181" w:name="_Forma_7"/>
      <w:bookmarkEnd w:id="180"/>
      <w:bookmarkEnd w:id="181"/>
      <w:r>
        <w:rPr>
          <w:rFonts w:cs="Times New Roman CE" w:ascii="Times New Roman CE" w:hAnsi="Times New Roman CE"/>
          <w:b w:val="false"/>
          <w:lang w:val="fr-FR"/>
        </w:rPr>
        <w:t>Date  privind deplasările şi stagiile cercetătorilor peste hotare în anul 201</w:t>
      </w:r>
      <w:bookmarkEnd w:id="179"/>
      <w:r>
        <w:rPr>
          <w:rFonts w:cs="Times New Roman" w:ascii="Times New Roman" w:hAnsi="Times New Roman"/>
          <w:b w:val="false"/>
          <w:lang w:val="fr-FR"/>
        </w:rPr>
        <w:t>6</w:t>
      </w:r>
    </w:p>
    <w:p>
      <w:pPr>
        <w:pStyle w:val="1"/>
        <w:keepNext/>
        <w:widowControl/>
        <w:numPr>
          <w:ilvl w:val="0"/>
          <w:numId w:val="0"/>
        </w:numPr>
        <w:bidi w:val="0"/>
        <w:spacing w:before="0" w:after="0"/>
        <w:ind w:left="0" w:right="0" w:hanging="0"/>
        <w:jc w:val="left"/>
        <w:textAlignment w:val="auto"/>
        <w:outlineLvl w:val="0"/>
        <w:rPr>
          <w:b w:val="false"/>
          <w:b w:val="false"/>
        </w:rPr>
      </w:pPr>
      <w:bookmarkStart w:id="182" w:name="_Toc469651925"/>
      <w:bookmarkEnd w:id="182"/>
      <w:r>
        <w:rPr>
          <w:rFonts w:cs="Times New Roman" w:ascii="Times New Roman" w:hAnsi="Times New Roman"/>
          <w:b w:val="false"/>
          <w:lang w:val="fr-FR"/>
        </w:rPr>
        <w:t>(Forma 7.1.)</w:t>
      </w:r>
    </w:p>
    <w:p>
      <w:pPr>
        <w:pStyle w:val="Normal"/>
        <w:widowControl/>
        <w:bidi w:val="0"/>
        <w:ind w:left="6096" w:right="0" w:hanging="0"/>
        <w:jc w:val="left"/>
        <w:textAlignment w:val="auto"/>
        <w:rPr>
          <w:lang w:val="ro-MD"/>
        </w:rPr>
      </w:pPr>
      <w:r>
        <w:rPr>
          <w:sz w:val="22"/>
          <w:szCs w:val="22"/>
          <w:lang w:val="ro-MD"/>
        </w:rPr>
        <w:t xml:space="preserve">         </w:t>
      </w:r>
      <w:r>
        <w:rPr>
          <w:rFonts w:cs="Times New Roman CE" w:ascii="Times New Roman CE" w:hAnsi="Times New Roman CE"/>
          <w:sz w:val="22"/>
          <w:szCs w:val="22"/>
          <w:lang w:val="ro-MD"/>
        </w:rPr>
        <w:t>Anexă la Raportul</w:t>
      </w:r>
      <w:r>
        <w:rPr>
          <w:sz w:val="22"/>
          <w:szCs w:val="22"/>
          <w:lang w:val="ro-MD"/>
        </w:rPr>
        <w:t xml:space="preserve"> de activitate al </w:t>
      </w:r>
      <w:r>
        <w:rPr>
          <w:i/>
          <w:sz w:val="22"/>
          <w:szCs w:val="22"/>
          <w:lang w:val="ro-MD"/>
        </w:rPr>
        <w:t>Institutul de Matematic</w:t>
      </w:r>
      <w:r>
        <w:rPr>
          <w:rFonts w:cs="Times New Roman CE" w:ascii="Times New Roman CE" w:hAnsi="Times New Roman CE"/>
          <w:i/>
          <w:sz w:val="22"/>
          <w:szCs w:val="22"/>
          <w:lang w:val="ro-RO"/>
        </w:rPr>
        <w:t>ă şi Informatică</w:t>
      </w:r>
    </w:p>
    <w:p>
      <w:pPr>
        <w:pStyle w:val="Normal"/>
        <w:widowControl/>
        <w:bidi w:val="0"/>
        <w:ind w:left="0" w:right="0" w:hanging="0"/>
        <w:jc w:val="right"/>
        <w:textAlignment w:val="auto"/>
        <w:rPr>
          <w:rFonts w:ascii="Times New Roman" w:hAnsi="Times New Roman"/>
          <w:sz w:val="22"/>
          <w:szCs w:val="22"/>
          <w:lang w:val="ro-MD"/>
        </w:rPr>
      </w:pPr>
      <w:r>
        <w:rPr>
          <w:sz w:val="22"/>
          <w:szCs w:val="22"/>
          <w:lang w:val="ro-MD"/>
        </w:rPr>
      </w:r>
    </w:p>
    <w:tbl>
      <w:tblPr>
        <w:tblW w:w="10316" w:type="dxa"/>
        <w:jc w:val="left"/>
        <w:tblInd w:w="-75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3" w:type="dxa"/>
          <w:bottom w:w="0" w:type="dxa"/>
          <w:right w:w="108" w:type="dxa"/>
        </w:tblCellMar>
      </w:tblPr>
      <w:tblGrid>
        <w:gridCol w:w="676"/>
        <w:gridCol w:w="2304"/>
        <w:gridCol w:w="2229"/>
        <w:gridCol w:w="3688"/>
        <w:gridCol w:w="1419"/>
      </w:tblGrid>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sz w:val="22"/>
                <w:szCs w:val="22"/>
              </w:rPr>
              <w:t>Nr. d/o</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en-US"/>
              </w:rPr>
            </w:pPr>
            <w:r>
              <w:rPr>
                <w:sz w:val="22"/>
                <w:szCs w:val="22"/>
                <w:lang w:val="en-US"/>
              </w:rPr>
              <w:t>Nu</w:t>
            </w:r>
            <w:r>
              <w:rPr>
                <w:rFonts w:cs="Times New Roman CE" w:ascii="Times New Roman CE" w:hAnsi="Times New Roman CE"/>
                <w:sz w:val="22"/>
                <w:szCs w:val="22"/>
                <w:lang w:val="en-US"/>
              </w:rPr>
              <w:t>mele, prenumele, gradul şi titlul ştiinţific</w:t>
            </w:r>
          </w:p>
          <w:p>
            <w:pPr>
              <w:pStyle w:val="Normal"/>
              <w:widowControl/>
              <w:bidi w:val="0"/>
              <w:ind w:left="0" w:right="0" w:hanging="0"/>
              <w:jc w:val="center"/>
              <w:textAlignment w:val="auto"/>
              <w:rPr/>
            </w:pPr>
            <w:r>
              <w:rPr>
                <w:rFonts w:cs="Times New Roman CE" w:ascii="Times New Roman CE" w:hAnsi="Times New Roman CE"/>
                <w:sz w:val="22"/>
                <w:szCs w:val="22"/>
              </w:rPr>
              <w:t>Anul naşterii</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rFonts w:cs="Times New Roman CE" w:ascii="Times New Roman CE" w:hAnsi="Times New Roman CE"/>
                <w:sz w:val="22"/>
                <w:szCs w:val="22"/>
              </w:rPr>
              <w:t>Ţara, denumirea organizaţiei vizitate</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rFonts w:cs="Times New Roman CE" w:ascii="Times New Roman CE" w:hAnsi="Times New Roman CE"/>
                <w:sz w:val="22"/>
                <w:szCs w:val="22"/>
              </w:rPr>
              <w:t>Scopul vizitei. Descrierea succintă a activităţilor (realizarea proiectelor comune,  stagiu, participări la manifestări ştiinţifice)</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rFonts w:cs="Times New Roman CE" w:ascii="Times New Roman CE" w:hAnsi="Times New Roman CE"/>
                <w:sz w:val="22"/>
                <w:szCs w:val="22"/>
              </w:rPr>
              <w:t>Termenul deplasării</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sz w:val="22"/>
                <w:szCs w:val="22"/>
              </w:rPr>
              <w:t>1.</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lang w:val="ro-MD"/>
              </w:rPr>
              <w:t>Şubă Alexandru</w:t>
            </w:r>
          </w:p>
          <w:p>
            <w:pPr>
              <w:pStyle w:val="Normal"/>
              <w:widowControl/>
              <w:bidi w:val="0"/>
              <w:ind w:left="0" w:right="0" w:hanging="0"/>
              <w:jc w:val="left"/>
              <w:textAlignment w:val="auto"/>
              <w:rPr>
                <w:lang w:val="ro-MD"/>
              </w:rPr>
            </w:pPr>
            <w:r>
              <w:rPr>
                <w:rFonts w:cs="Times New Roman CE" w:ascii="Times New Roman CE" w:hAnsi="Times New Roman CE"/>
                <w:lang w:val="ro-MD"/>
              </w:rPr>
              <w:t>dr. hab. în şt.f.-m., prof. unif.,</w:t>
            </w:r>
          </w:p>
          <w:p>
            <w:pPr>
              <w:pStyle w:val="Normal"/>
              <w:widowControl/>
              <w:bidi w:val="0"/>
              <w:ind w:left="0" w:right="0" w:hanging="0"/>
              <w:jc w:val="left"/>
              <w:textAlignment w:val="auto"/>
              <w:rPr>
                <w:lang w:val="ro-MD"/>
              </w:rPr>
            </w:pPr>
            <w:r>
              <w:rPr>
                <w:lang w:val="ro-MD"/>
              </w:rPr>
              <w:t>1953</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lang w:val="ro-MD"/>
              </w:rPr>
              <w:t>Belarus, Minsk, Universitatea de Stat</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2080" w:leader="none"/>
              </w:tabs>
              <w:bidi w:val="0"/>
              <w:ind w:left="0" w:right="0" w:hanging="0"/>
              <w:jc w:val="left"/>
              <w:textAlignment w:val="auto"/>
              <w:rPr/>
            </w:pPr>
            <w:r>
              <w:rPr/>
              <w:t>P</w:t>
            </w:r>
            <w:r>
              <w:rPr>
                <w:rFonts w:cs="Times New Roman CE" w:ascii="Times New Roman CE" w:hAnsi="Times New Roman CE"/>
              </w:rPr>
              <w:t>entru efectuarea cercetărilor în cadrul proiectului FP7-PEOPLE-2012-IRSES-316338</w:t>
            </w:r>
            <w:r>
              <w:rPr>
                <w:rStyle w:val="Hps"/>
              </w:rPr>
              <w:t xml:space="preserve">. </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02.01.2016</w:t>
            </w:r>
          </w:p>
          <w:p>
            <w:pPr>
              <w:pStyle w:val="Normal"/>
              <w:widowControl/>
              <w:bidi w:val="0"/>
              <w:ind w:left="0" w:right="0" w:hanging="0"/>
              <w:jc w:val="center"/>
              <w:textAlignment w:val="auto"/>
              <w:rPr/>
            </w:pPr>
            <w:r>
              <w:rPr/>
              <w:t>11.02.2016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sz w:val="22"/>
                <w:szCs w:val="22"/>
              </w:rPr>
              <w:t>2.</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Vulpe Nicolae</w:t>
            </w:r>
          </w:p>
          <w:p>
            <w:pPr>
              <w:pStyle w:val="Normal"/>
              <w:widowControl/>
              <w:bidi w:val="0"/>
              <w:ind w:left="0" w:right="0" w:hanging="0"/>
              <w:jc w:val="left"/>
              <w:textAlignment w:val="auto"/>
              <w:rPr/>
            </w:pPr>
            <w:r>
              <w:rPr>
                <w:rFonts w:cs="Times New Roman CE" w:ascii="Times New Roman CE" w:hAnsi="Times New Roman CE"/>
              </w:rPr>
              <w:t>dr. hab. în şt.f.-m. , prof. unif, m.c.</w:t>
            </w:r>
          </w:p>
          <w:p>
            <w:pPr>
              <w:pStyle w:val="Normal"/>
              <w:widowControl/>
              <w:bidi w:val="0"/>
              <w:ind w:left="0" w:right="0" w:hanging="0"/>
              <w:jc w:val="left"/>
              <w:textAlignment w:val="auto"/>
              <w:rPr/>
            </w:pPr>
            <w:r>
              <w:rPr/>
              <w:t>1949</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Brazilia, Sao Carlos, Universitatea din Sao Carlos</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rFonts w:cs="Times New Roman CE" w:ascii="Times New Roman CE" w:hAnsi="Times New Roman CE"/>
              </w:rPr>
              <w:t xml:space="preserve"> </w:t>
            </w:r>
            <w:r>
              <w:rPr>
                <w:rFonts w:cs="Times New Roman CE" w:ascii="Times New Roman CE" w:hAnsi="Times New Roman CE"/>
              </w:rPr>
              <w:t>Pentru colaborări  ştiinţifice în comun cu specialiştii din domeniu.</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25.01.2016</w:t>
            </w:r>
          </w:p>
          <w:p>
            <w:pPr>
              <w:pStyle w:val="Normal"/>
              <w:widowControl/>
              <w:bidi w:val="0"/>
              <w:ind w:left="0" w:right="0" w:hanging="0"/>
              <w:jc w:val="center"/>
              <w:textAlignment w:val="auto"/>
              <w:rPr/>
            </w:pPr>
            <w:r>
              <w:rPr/>
              <w:t>25.03.2016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sz w:val="22"/>
                <w:szCs w:val="22"/>
              </w:rPr>
              <w:t>3.</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Iliuha Nicolai</w:t>
            </w:r>
          </w:p>
          <w:p>
            <w:pPr>
              <w:pStyle w:val="Normal"/>
              <w:widowControl/>
              <w:bidi w:val="0"/>
              <w:ind w:left="0" w:right="0" w:hanging="0"/>
              <w:jc w:val="left"/>
              <w:textAlignment w:val="auto"/>
              <w:rPr/>
            </w:pPr>
            <w:r>
              <w:rPr/>
              <w:t>1964</w:t>
            </w:r>
          </w:p>
          <w:p>
            <w:pPr>
              <w:pStyle w:val="Normal"/>
              <w:widowControl/>
              <w:bidi w:val="0"/>
              <w:ind w:left="0" w:right="0" w:hanging="0"/>
              <w:jc w:val="left"/>
              <w:textAlignment w:val="auto"/>
              <w:rPr>
                <w:rFonts w:ascii="Times New Roman" w:hAnsi="Times New Roman"/>
              </w:rPr>
            </w:pPr>
            <w:r>
              <w:rPr/>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lang w:val="ro-MD"/>
              </w:rPr>
              <w:t>Olanda, Utrecht</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lang w:val="en-US"/>
              </w:rPr>
              <w:t>Participarea la „GEANT Testbeds Service (GTS) Tech+Futures Workshop 2”</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15.02.2016</w:t>
            </w:r>
          </w:p>
          <w:p>
            <w:pPr>
              <w:pStyle w:val="Normal"/>
              <w:widowControl/>
              <w:bidi w:val="0"/>
              <w:ind w:left="0" w:right="0" w:hanging="0"/>
              <w:jc w:val="center"/>
              <w:textAlignment w:val="auto"/>
              <w:rPr/>
            </w:pPr>
            <w:r>
              <w:rPr/>
              <w:t>18.02.2016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sz w:val="22"/>
                <w:szCs w:val="22"/>
              </w:rPr>
              <w:t>4.</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Iliuha Nicolai</w:t>
            </w:r>
          </w:p>
          <w:p>
            <w:pPr>
              <w:pStyle w:val="Normal"/>
              <w:widowControl/>
              <w:bidi w:val="0"/>
              <w:ind w:left="0" w:right="0" w:hanging="0"/>
              <w:jc w:val="left"/>
              <w:textAlignment w:val="auto"/>
              <w:rPr/>
            </w:pPr>
            <w:r>
              <w:rPr/>
              <w:t>1964</w:t>
            </w:r>
          </w:p>
          <w:p>
            <w:pPr>
              <w:pStyle w:val="Normal"/>
              <w:widowControl/>
              <w:bidi w:val="0"/>
              <w:ind w:left="0" w:right="0" w:hanging="0"/>
              <w:jc w:val="left"/>
              <w:textAlignment w:val="auto"/>
              <w:rPr>
                <w:rFonts w:ascii="Times New Roman" w:hAnsi="Times New Roman"/>
              </w:rPr>
            </w:pPr>
            <w:r>
              <w:rPr/>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lang w:val="ro-MD"/>
              </w:rPr>
              <w:t>Austria, Viena</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Participarea la „Anual GEANT Project Symposium”</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07.03.2016</w:t>
            </w:r>
          </w:p>
          <w:p>
            <w:pPr>
              <w:pStyle w:val="Normal"/>
              <w:widowControl/>
              <w:bidi w:val="0"/>
              <w:ind w:left="0" w:right="0" w:hanging="0"/>
              <w:jc w:val="center"/>
              <w:textAlignment w:val="auto"/>
              <w:rPr/>
            </w:pPr>
            <w:r>
              <w:rPr/>
              <w:t>10.03.2016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sz w:val="22"/>
                <w:szCs w:val="22"/>
              </w:rPr>
              <w:t>5.</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lang w:val="fr-FR"/>
              </w:rPr>
              <w:t>Bogatencov Petru</w:t>
            </w:r>
          </w:p>
          <w:p>
            <w:pPr>
              <w:pStyle w:val="Normal"/>
              <w:widowControl/>
              <w:bidi w:val="0"/>
              <w:ind w:left="0" w:right="0" w:hanging="0"/>
              <w:jc w:val="left"/>
              <w:textAlignment w:val="auto"/>
              <w:rPr>
                <w:lang w:val="fr-FR"/>
              </w:rPr>
            </w:pPr>
            <w:r>
              <w:rPr>
                <w:rFonts w:cs="Times New Roman CE" w:ascii="Times New Roman CE" w:hAnsi="Times New Roman CE"/>
                <w:lang w:val="fr-FR"/>
              </w:rPr>
              <w:t xml:space="preserve">dr. în şt. teh., </w:t>
            </w:r>
          </w:p>
          <w:p>
            <w:pPr>
              <w:pStyle w:val="Normal"/>
              <w:widowControl/>
              <w:bidi w:val="0"/>
              <w:ind w:left="0" w:right="0" w:hanging="0"/>
              <w:jc w:val="left"/>
              <w:textAlignment w:val="auto"/>
              <w:rPr/>
            </w:pPr>
            <w:r>
              <w:rPr>
                <w:rFonts w:cs="Times New Roman CE" w:ascii="Times New Roman CE" w:hAnsi="Times New Roman CE"/>
              </w:rPr>
              <w:t>c.ş.s., 1953</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lang w:val="ro-MD"/>
              </w:rPr>
              <w:t>Austria, Viena</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Participarea la „Anual GEANT Project Symposium”</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08.03.2016</w:t>
            </w:r>
          </w:p>
          <w:p>
            <w:pPr>
              <w:pStyle w:val="Normal"/>
              <w:widowControl/>
              <w:bidi w:val="0"/>
              <w:ind w:left="0" w:right="0" w:hanging="0"/>
              <w:jc w:val="center"/>
              <w:textAlignment w:val="auto"/>
              <w:rPr/>
            </w:pPr>
            <w:r>
              <w:rPr/>
              <w:t>12.03.2016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sz w:val="22"/>
                <w:szCs w:val="22"/>
              </w:rPr>
              <w:t>6.</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lang w:val="fr-FR"/>
              </w:rPr>
              <w:t>Bogatencov Petru</w:t>
            </w:r>
          </w:p>
          <w:p>
            <w:pPr>
              <w:pStyle w:val="Normal"/>
              <w:widowControl/>
              <w:bidi w:val="0"/>
              <w:ind w:left="0" w:right="0" w:hanging="0"/>
              <w:jc w:val="left"/>
              <w:textAlignment w:val="auto"/>
              <w:rPr>
                <w:lang w:val="fr-FR"/>
              </w:rPr>
            </w:pPr>
            <w:r>
              <w:rPr>
                <w:rFonts w:cs="Times New Roman CE" w:ascii="Times New Roman CE" w:hAnsi="Times New Roman CE"/>
                <w:lang w:val="fr-FR"/>
              </w:rPr>
              <w:t xml:space="preserve">dr. în şt. teh., </w:t>
            </w:r>
          </w:p>
          <w:p>
            <w:pPr>
              <w:pStyle w:val="Normal"/>
              <w:widowControl/>
              <w:bidi w:val="0"/>
              <w:ind w:left="0" w:right="0" w:hanging="0"/>
              <w:jc w:val="left"/>
              <w:textAlignment w:val="auto"/>
              <w:rPr/>
            </w:pPr>
            <w:r>
              <w:rPr>
                <w:rFonts w:cs="Times New Roman CE" w:ascii="Times New Roman CE" w:hAnsi="Times New Roman CE"/>
              </w:rPr>
              <w:t>c.ş.s., 1953</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lang w:val="ro-MD"/>
              </w:rPr>
              <w:t>Olanda, Utrecht</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rFonts w:cs="Times New Roman CE" w:ascii="Times New Roman CE" w:hAnsi="Times New Roman CE"/>
                <w:lang w:val="en-US"/>
              </w:rPr>
              <w:t>Participarea la întruniri „GEANT project Assembly Meeting” şi „E@P_Connect project workshop”</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14.03.2016</w:t>
            </w:r>
          </w:p>
          <w:p>
            <w:pPr>
              <w:pStyle w:val="Normal"/>
              <w:widowControl/>
              <w:bidi w:val="0"/>
              <w:ind w:left="0" w:right="0" w:hanging="0"/>
              <w:jc w:val="center"/>
              <w:textAlignment w:val="auto"/>
              <w:rPr/>
            </w:pPr>
            <w:r>
              <w:rPr/>
              <w:t>18.03.2016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sz w:val="22"/>
                <w:szCs w:val="22"/>
              </w:rPr>
              <w:t>7.</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 xml:space="preserve">Gaindric Constantin </w:t>
            </w:r>
          </w:p>
          <w:p>
            <w:pPr>
              <w:pStyle w:val="Normal"/>
              <w:widowControl/>
              <w:bidi w:val="0"/>
              <w:ind w:left="0" w:right="0" w:hanging="0"/>
              <w:jc w:val="left"/>
              <w:textAlignment w:val="auto"/>
              <w:rPr/>
            </w:pPr>
            <w:r>
              <w:rPr/>
              <w:t xml:space="preserve"> </w:t>
            </w:r>
            <w:r>
              <w:rPr/>
              <w:t>dr. hab. în inform.,</w:t>
            </w:r>
          </w:p>
          <w:p>
            <w:pPr>
              <w:pStyle w:val="Normal"/>
              <w:widowControl/>
              <w:bidi w:val="0"/>
              <w:ind w:left="0" w:right="0" w:hanging="0"/>
              <w:jc w:val="left"/>
              <w:textAlignment w:val="auto"/>
              <w:rPr/>
            </w:pPr>
            <w:r>
              <w:rPr/>
              <w:t xml:space="preserve"> </w:t>
            </w:r>
            <w:r>
              <w:rPr/>
              <w:t xml:space="preserve">prof. univ., </w:t>
            </w:r>
            <w:r>
              <w:rPr>
                <w:lang w:val="ro-MD"/>
              </w:rPr>
              <w:t>1941</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lang w:val="ro-MD"/>
              </w:rPr>
              <w:t>România, Iaşi,</w:t>
            </w:r>
          </w:p>
          <w:p>
            <w:pPr>
              <w:pStyle w:val="Normal"/>
              <w:widowControl/>
              <w:bidi w:val="0"/>
              <w:ind w:left="0" w:right="0" w:hanging="0"/>
              <w:jc w:val="left"/>
              <w:textAlignment w:val="auto"/>
              <w:rPr>
                <w:lang w:val="fr-FR"/>
              </w:rPr>
            </w:pPr>
            <w:r>
              <w:rPr>
                <w:rFonts w:cs="Times New Roman CE" w:ascii="Times New Roman CE" w:hAnsi="Times New Roman CE"/>
                <w:lang w:val="fr-FR"/>
              </w:rPr>
              <w:t xml:space="preserve">Institutul de Informatică Teoretică al AR </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rFonts w:cs="Times New Roman CE" w:ascii="Times New Roman CE" w:hAnsi="Times New Roman CE"/>
                <w:lang w:val="fr-FR"/>
              </w:rPr>
              <w:t>Pentru discuţii cu prof. H. Costin şi V. Apopei în privinţa posibilităţii formării unui consorţiu pentru prezentarea unui proiect de cercetare în cadrul Horizon-2020</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23.03.2016</w:t>
            </w:r>
          </w:p>
          <w:p>
            <w:pPr>
              <w:pStyle w:val="Normal"/>
              <w:widowControl/>
              <w:bidi w:val="0"/>
              <w:ind w:left="0" w:right="0" w:hanging="0"/>
              <w:jc w:val="center"/>
              <w:textAlignment w:val="auto"/>
              <w:rPr/>
            </w:pPr>
            <w:r>
              <w:rPr/>
              <w:t>25.03.2016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sz w:val="22"/>
                <w:szCs w:val="22"/>
              </w:rPr>
              <w:t>8.</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lang w:val="en-US"/>
              </w:rPr>
              <w:t>Cojocaru Svetlana</w:t>
            </w:r>
          </w:p>
          <w:p>
            <w:pPr>
              <w:pStyle w:val="Normal"/>
              <w:widowControl/>
              <w:bidi w:val="0"/>
              <w:ind w:left="0" w:right="0" w:hanging="0"/>
              <w:jc w:val="left"/>
              <w:textAlignment w:val="auto"/>
              <w:rPr>
                <w:lang w:val="en-US"/>
              </w:rPr>
            </w:pPr>
            <w:r>
              <w:rPr>
                <w:lang w:val="en-US"/>
              </w:rPr>
              <w:t>dr. hab. în infor.</w:t>
            </w:r>
          </w:p>
          <w:p>
            <w:pPr>
              <w:pStyle w:val="Normal"/>
              <w:widowControl/>
              <w:bidi w:val="0"/>
              <w:ind w:left="0" w:right="0" w:hanging="0"/>
              <w:jc w:val="left"/>
              <w:textAlignment w:val="auto"/>
              <w:rPr/>
            </w:pPr>
            <w:r>
              <w:rPr/>
              <w:t>prof. cerc., 1952</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lang w:val="ro-MD"/>
              </w:rPr>
              <w:t>România, Iaşi,</w:t>
            </w:r>
          </w:p>
          <w:p>
            <w:pPr>
              <w:pStyle w:val="Normal"/>
              <w:widowControl/>
              <w:bidi w:val="0"/>
              <w:ind w:left="0" w:right="0" w:hanging="0"/>
              <w:jc w:val="left"/>
              <w:textAlignment w:val="auto"/>
              <w:rPr>
                <w:lang w:val="fr-FR"/>
              </w:rPr>
            </w:pPr>
            <w:r>
              <w:rPr>
                <w:rFonts w:cs="Times New Roman CE" w:ascii="Times New Roman CE" w:hAnsi="Times New Roman CE"/>
                <w:lang w:val="fr-FR"/>
              </w:rPr>
              <w:t xml:space="preserve">Institutul de Informatică Teoretică al AR </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rFonts w:cs="Times New Roman CE" w:ascii="Times New Roman CE" w:hAnsi="Times New Roman CE"/>
                <w:lang w:val="fr-FR"/>
              </w:rPr>
              <w:t>Pentru discuţii cu prof. H. Costin şi V. Apopei în privinţa posibilităţii formării unui consorţiu pentru prezentarea unui proiect de cerceta</w:t>
            </w:r>
            <w:r>
              <w:rPr>
                <w:lang w:val="fr-FR"/>
              </w:rPr>
              <w:t>re în cadrul Horizon-2020</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23.03.2016</w:t>
            </w:r>
          </w:p>
          <w:p>
            <w:pPr>
              <w:pStyle w:val="Normal"/>
              <w:widowControl/>
              <w:bidi w:val="0"/>
              <w:ind w:left="0" w:right="0" w:hanging="0"/>
              <w:jc w:val="center"/>
              <w:textAlignment w:val="auto"/>
              <w:rPr/>
            </w:pPr>
            <w:r>
              <w:rPr/>
              <w:t>25.03.2016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sz w:val="22"/>
                <w:szCs w:val="22"/>
              </w:rPr>
              <w:t>9</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lang w:val="en-US"/>
              </w:rPr>
              <w:t xml:space="preserve"> </w:t>
            </w:r>
            <w:r>
              <w:rPr>
                <w:lang w:val="en-US"/>
              </w:rPr>
              <w:t>Driuma Valeriu</w:t>
            </w:r>
          </w:p>
          <w:p>
            <w:pPr>
              <w:pStyle w:val="Normal"/>
              <w:widowControl/>
              <w:bidi w:val="0"/>
              <w:ind w:left="0" w:right="0" w:hanging="0"/>
              <w:jc w:val="left"/>
              <w:textAlignment w:val="auto"/>
              <w:rPr>
                <w:lang w:val="en-US"/>
              </w:rPr>
            </w:pPr>
            <w:r>
              <w:rPr>
                <w:rFonts w:cs="Times New Roman CE" w:ascii="Times New Roman CE" w:hAnsi="Times New Roman CE"/>
                <w:lang w:val="en-US"/>
              </w:rPr>
              <w:t xml:space="preserve"> </w:t>
            </w:r>
            <w:r>
              <w:rPr>
                <w:rFonts w:cs="Times New Roman CE" w:ascii="Times New Roman CE" w:hAnsi="Times New Roman CE"/>
                <w:lang w:val="en-US"/>
              </w:rPr>
              <w:t xml:space="preserve">dr. în şt.f.-m., </w:t>
            </w:r>
          </w:p>
          <w:p>
            <w:pPr>
              <w:pStyle w:val="Normal"/>
              <w:widowControl/>
              <w:bidi w:val="0"/>
              <w:ind w:left="0" w:right="0" w:hanging="0"/>
              <w:jc w:val="left"/>
              <w:textAlignment w:val="auto"/>
              <w:rPr/>
            </w:pPr>
            <w:r>
              <w:rPr/>
              <w:t>conf.cerc., 1946</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 xml:space="preserve">Rusia, </w:t>
            </w:r>
          </w:p>
          <w:p>
            <w:pPr>
              <w:pStyle w:val="Normal"/>
              <w:widowControl/>
              <w:bidi w:val="0"/>
              <w:ind w:left="0" w:right="0" w:hanging="0"/>
              <w:jc w:val="left"/>
              <w:textAlignment w:val="auto"/>
              <w:rPr/>
            </w:pPr>
            <w:r>
              <w:rPr>
                <w:rFonts w:cs="Times New Roman CE" w:ascii="Times New Roman CE" w:hAnsi="Times New Roman CE"/>
              </w:rPr>
              <w:t>Moscova, Universitatea Naţională de Cercetări Nucleare din Dubna</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 xml:space="preserve">Participarea la </w:t>
            </w:r>
            <w:r>
              <w:rPr>
                <w:rStyle w:val="Hps"/>
                <w:rFonts w:cs="Times New Roman CE" w:ascii="Times New Roman CE" w:hAnsi="Times New Roman CE"/>
              </w:rPr>
              <w:t>lucrările</w:t>
            </w:r>
            <w:r>
              <w:rPr>
                <w:rStyle w:val="Hps"/>
              </w:rPr>
              <w:t xml:space="preserve"> C</w:t>
            </w:r>
            <w:r>
              <w:rPr>
                <w:rStyle w:val="Hps"/>
                <w:rFonts w:cs="Times New Roman CE" w:ascii="Times New Roman CE" w:hAnsi="Times New Roman CE"/>
              </w:rPr>
              <w:t>onferinţei Internaţionale „</w:t>
            </w:r>
            <w:r>
              <w:rPr>
                <w:rStyle w:val="Hps"/>
              </w:rPr>
              <w:t>Проблемы математической и теоретической физики и математическое моделирование” (05-07.04.2016)</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01.04.2016</w:t>
            </w:r>
          </w:p>
          <w:p>
            <w:pPr>
              <w:pStyle w:val="Normal"/>
              <w:widowControl/>
              <w:bidi w:val="0"/>
              <w:ind w:left="0" w:right="0" w:hanging="0"/>
              <w:jc w:val="center"/>
              <w:textAlignment w:val="auto"/>
              <w:rPr/>
            </w:pPr>
            <w:r>
              <w:rPr/>
              <w:t>14.04.2016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sz w:val="22"/>
                <w:szCs w:val="22"/>
              </w:rPr>
              <w:t>10</w:t>
            </w:r>
            <w:r>
              <w:rPr>
                <w:sz w:val="22"/>
                <w:szCs w:val="22"/>
                <w:lang w:val="en-US"/>
              </w:rPr>
              <w:t>.</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lang w:val="en-US"/>
              </w:rPr>
              <w:t>Bogatencov Petru,</w:t>
            </w:r>
          </w:p>
          <w:p>
            <w:pPr>
              <w:pStyle w:val="Normal"/>
              <w:widowControl/>
              <w:bidi w:val="0"/>
              <w:ind w:left="0" w:right="0" w:hanging="0"/>
              <w:jc w:val="left"/>
              <w:textAlignment w:val="auto"/>
              <w:rPr>
                <w:lang w:val="en-US"/>
              </w:rPr>
            </w:pPr>
            <w:r>
              <w:rPr>
                <w:rFonts w:cs="Times New Roman CE" w:ascii="Times New Roman CE" w:hAnsi="Times New Roman CE"/>
                <w:lang w:val="en-US"/>
              </w:rPr>
              <w:t>dr. în şt. teh., c.ş.s.,</w:t>
            </w:r>
          </w:p>
          <w:p>
            <w:pPr>
              <w:pStyle w:val="Normal"/>
              <w:widowControl/>
              <w:bidi w:val="0"/>
              <w:ind w:left="0" w:right="0" w:hanging="0"/>
              <w:jc w:val="left"/>
              <w:textAlignment w:val="auto"/>
              <w:rPr/>
            </w:pPr>
            <w:r>
              <w:rPr/>
              <w:t>1953</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lang w:val="ro-MD"/>
              </w:rPr>
              <w:t xml:space="preserve">Olanda, </w:t>
            </w:r>
            <w:r>
              <w:rPr/>
              <w:t>Amsterdam</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rFonts w:cs="Times New Roman CE" w:ascii="Times New Roman CE" w:hAnsi="Times New Roman CE"/>
              </w:rPr>
              <w:t>Participarea la Conferinţa „EGI 2016” (06-08.04.2016)</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05.04.2016</w:t>
            </w:r>
          </w:p>
          <w:p>
            <w:pPr>
              <w:pStyle w:val="Normal"/>
              <w:widowControl/>
              <w:bidi w:val="0"/>
              <w:ind w:left="0" w:right="0" w:hanging="0"/>
              <w:jc w:val="center"/>
              <w:textAlignment w:val="auto"/>
              <w:rPr/>
            </w:pPr>
            <w:r>
              <w:rPr/>
              <w:t>09.04.2016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sz w:val="22"/>
                <w:szCs w:val="22"/>
              </w:rPr>
              <w:t>11.</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lang w:val="ro-MD"/>
              </w:rPr>
              <w:t>Şubă Alexandr</w:t>
            </w:r>
            <w:r>
              <w:rPr>
                <w:lang w:val="ro-MD"/>
              </w:rPr>
              <w:t>u,</w:t>
            </w:r>
          </w:p>
          <w:p>
            <w:pPr>
              <w:pStyle w:val="Normal"/>
              <w:widowControl/>
              <w:bidi w:val="0"/>
              <w:ind w:left="0" w:right="0" w:hanging="0"/>
              <w:jc w:val="left"/>
              <w:textAlignment w:val="auto"/>
              <w:rPr>
                <w:lang w:val="ro-MD"/>
              </w:rPr>
            </w:pPr>
            <w:r>
              <w:rPr>
                <w:rFonts w:cs="Times New Roman CE" w:ascii="Times New Roman CE" w:hAnsi="Times New Roman CE"/>
                <w:lang w:val="ro-MD"/>
              </w:rPr>
              <w:t>dr. hab. în şt.f.-m., prof. unif., 1953</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lang w:val="ro-MD"/>
              </w:rPr>
              <w:t>Belarus, Minsk, Universitatea de Stat</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2080" w:leader="none"/>
              </w:tabs>
              <w:bidi w:val="0"/>
              <w:ind w:left="0" w:right="0" w:hanging="0"/>
              <w:jc w:val="left"/>
              <w:textAlignment w:val="auto"/>
              <w:rPr/>
            </w:pPr>
            <w:r>
              <w:rPr/>
              <w:t>P</w:t>
            </w:r>
            <w:r>
              <w:rPr>
                <w:rFonts w:cs="Times New Roman CE" w:ascii="Times New Roman CE" w:hAnsi="Times New Roman CE"/>
              </w:rPr>
              <w:t>entru efectuarea cercetărilor în cadr</w:t>
            </w:r>
            <w:r>
              <w:rPr/>
              <w:t>ul proiectului FP7-PEOPLE-2012-IRSES-316338</w:t>
            </w:r>
            <w:r>
              <w:rPr>
                <w:rStyle w:val="Hps"/>
              </w:rPr>
              <w:t xml:space="preserve">. </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17.04.2016</w:t>
            </w:r>
          </w:p>
          <w:p>
            <w:pPr>
              <w:pStyle w:val="Normal"/>
              <w:widowControl/>
              <w:bidi w:val="0"/>
              <w:ind w:left="0" w:right="0" w:hanging="0"/>
              <w:jc w:val="center"/>
              <w:textAlignment w:val="auto"/>
              <w:rPr/>
            </w:pPr>
            <w:r>
              <w:rPr/>
              <w:t>23.05.2016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sz w:val="22"/>
                <w:szCs w:val="22"/>
              </w:rPr>
              <w:t>12.</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lang w:val="fr-FR"/>
              </w:rPr>
              <w:t>Bujac Cristina,</w:t>
            </w:r>
          </w:p>
          <w:p>
            <w:pPr>
              <w:pStyle w:val="Normal"/>
              <w:widowControl/>
              <w:bidi w:val="0"/>
              <w:ind w:left="0" w:right="0" w:hanging="0"/>
              <w:jc w:val="left"/>
              <w:textAlignment w:val="auto"/>
              <w:rPr>
                <w:lang w:val="fr-FR"/>
              </w:rPr>
            </w:pPr>
            <w:r>
              <w:rPr>
                <w:rFonts w:cs="Times New Roman CE" w:ascii="Times New Roman CE" w:hAnsi="Times New Roman CE"/>
                <w:lang w:val="fr-FR"/>
              </w:rPr>
              <w:t>dr. în şt. mat., 1978</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lang w:val="ro-MD"/>
              </w:rPr>
              <w:t>Belarus, Minsk, Universitatea de Stat</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2080" w:leader="none"/>
              </w:tabs>
              <w:bidi w:val="0"/>
              <w:ind w:left="0" w:right="0" w:hanging="0"/>
              <w:jc w:val="left"/>
              <w:textAlignment w:val="auto"/>
              <w:rPr/>
            </w:pPr>
            <w:r>
              <w:rPr/>
              <w:t>P</w:t>
            </w:r>
            <w:r>
              <w:rPr>
                <w:rFonts w:cs="Times New Roman CE" w:ascii="Times New Roman CE" w:hAnsi="Times New Roman CE"/>
              </w:rPr>
              <w:t>entru  efectuarea cercetărilor în cadrul proiectului FP7-PEOPLE-2012-IRSES-316338</w:t>
            </w:r>
            <w:r>
              <w:rPr>
                <w:rStyle w:val="Hps"/>
              </w:rPr>
              <w:t xml:space="preserve">. </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17.04.2016</w:t>
            </w:r>
          </w:p>
          <w:p>
            <w:pPr>
              <w:pStyle w:val="Normal"/>
              <w:widowControl/>
              <w:bidi w:val="0"/>
              <w:ind w:left="0" w:right="0" w:hanging="0"/>
              <w:jc w:val="center"/>
              <w:textAlignment w:val="auto"/>
              <w:rPr/>
            </w:pPr>
            <w:r>
              <w:rPr/>
              <w:t>23.05.2016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sz w:val="22"/>
                <w:szCs w:val="22"/>
              </w:rPr>
              <w:t>13.</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Bogatencov Petru,</w:t>
            </w:r>
          </w:p>
          <w:p>
            <w:pPr>
              <w:pStyle w:val="Normal"/>
              <w:widowControl/>
              <w:bidi w:val="0"/>
              <w:ind w:left="0" w:right="0" w:hanging="0"/>
              <w:jc w:val="left"/>
              <w:textAlignment w:val="auto"/>
              <w:rPr/>
            </w:pPr>
            <w:r>
              <w:rPr>
                <w:rFonts w:cs="Times New Roman CE" w:ascii="Times New Roman CE" w:hAnsi="Times New Roman CE"/>
              </w:rPr>
              <w:t>dr. în şt. teh., c.ş.s.,</w:t>
            </w:r>
          </w:p>
          <w:p>
            <w:pPr>
              <w:pStyle w:val="Normal"/>
              <w:widowControl/>
              <w:bidi w:val="0"/>
              <w:ind w:left="0" w:right="0" w:hanging="0"/>
              <w:jc w:val="left"/>
              <w:textAlignment w:val="auto"/>
              <w:rPr/>
            </w:pPr>
            <w:r>
              <w:rPr/>
              <w:t>1953</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lang w:val="ro-MD"/>
              </w:rPr>
              <w:t>Belgia, Brussels</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lang w:val="fr-FR"/>
              </w:rPr>
              <w:t>Participarea la întruniri „H2020 Future Internet Forum”</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20.04.2016</w:t>
            </w:r>
          </w:p>
          <w:p>
            <w:pPr>
              <w:pStyle w:val="Normal"/>
              <w:widowControl/>
              <w:bidi w:val="0"/>
              <w:ind w:left="0" w:right="0" w:hanging="0"/>
              <w:jc w:val="center"/>
              <w:textAlignment w:val="auto"/>
              <w:rPr/>
            </w:pPr>
            <w:r>
              <w:rPr/>
              <w:t>22.04.2016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sz w:val="22"/>
                <w:szCs w:val="22"/>
              </w:rPr>
              <w:t>14.</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Bogatencov Petru,</w:t>
            </w:r>
          </w:p>
          <w:p>
            <w:pPr>
              <w:pStyle w:val="Normal"/>
              <w:widowControl/>
              <w:bidi w:val="0"/>
              <w:ind w:left="0" w:right="0" w:hanging="0"/>
              <w:jc w:val="left"/>
              <w:textAlignment w:val="auto"/>
              <w:rPr/>
            </w:pPr>
            <w:r>
              <w:rPr>
                <w:rFonts w:cs="Times New Roman CE" w:ascii="Times New Roman CE" w:hAnsi="Times New Roman CE"/>
              </w:rPr>
              <w:t>dr. în şt. teh., c.ş.s.,</w:t>
            </w:r>
          </w:p>
          <w:p>
            <w:pPr>
              <w:pStyle w:val="Normal"/>
              <w:widowControl/>
              <w:bidi w:val="0"/>
              <w:ind w:left="0" w:right="0" w:hanging="0"/>
              <w:jc w:val="left"/>
              <w:textAlignment w:val="auto"/>
              <w:rPr/>
            </w:pPr>
            <w:r>
              <w:rPr/>
              <w:t>1953</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Polonia, Poznan</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rFonts w:cs="Times New Roman CE" w:ascii="Times New Roman CE" w:hAnsi="Times New Roman CE"/>
                <w:lang w:val="en-US"/>
              </w:rPr>
              <w:t>Participarea la întîlnirile „E@PConnect SC project meeting” şi „E@PConnect services deplopment Workshop”</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03.05.2016</w:t>
            </w:r>
          </w:p>
          <w:p>
            <w:pPr>
              <w:pStyle w:val="Normal"/>
              <w:widowControl/>
              <w:bidi w:val="0"/>
              <w:ind w:left="0" w:right="0" w:hanging="0"/>
              <w:jc w:val="center"/>
              <w:textAlignment w:val="auto"/>
              <w:rPr/>
            </w:pPr>
            <w:r>
              <w:rPr/>
              <w:t>07.05.2016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sz w:val="22"/>
                <w:szCs w:val="22"/>
              </w:rPr>
              <w:t>15.</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Baltag Valeriu,</w:t>
            </w:r>
          </w:p>
          <w:p>
            <w:pPr>
              <w:pStyle w:val="Normal"/>
              <w:widowControl/>
              <w:bidi w:val="0"/>
              <w:ind w:left="0" w:right="0" w:hanging="0"/>
              <w:jc w:val="left"/>
              <w:textAlignment w:val="auto"/>
              <w:rPr/>
            </w:pPr>
            <w:r>
              <w:rPr>
                <w:rFonts w:cs="Times New Roman CE" w:ascii="Times New Roman CE" w:hAnsi="Times New Roman CE"/>
              </w:rPr>
              <w:t>dr. în şt.f.-m.,</w:t>
            </w:r>
          </w:p>
          <w:p>
            <w:pPr>
              <w:pStyle w:val="Normal"/>
              <w:widowControl/>
              <w:bidi w:val="0"/>
              <w:ind w:left="0" w:right="0" w:hanging="0"/>
              <w:jc w:val="left"/>
              <w:textAlignment w:val="auto"/>
              <w:rPr/>
            </w:pPr>
            <w:r>
              <w:rPr>
                <w:rFonts w:cs="Times New Roman CE" w:ascii="Times New Roman CE" w:hAnsi="Times New Roman CE"/>
              </w:rPr>
              <w:t>cer.şt. sup</w:t>
            </w:r>
            <w:r>
              <w:rPr/>
              <w:t>er.</w:t>
            </w:r>
          </w:p>
          <w:p>
            <w:pPr>
              <w:pStyle w:val="Normal"/>
              <w:widowControl/>
              <w:bidi w:val="0"/>
              <w:ind w:left="0" w:right="0" w:hanging="0"/>
              <w:jc w:val="left"/>
              <w:textAlignment w:val="auto"/>
              <w:rPr/>
            </w:pPr>
            <w:r>
              <w:rPr/>
              <w:t>1957</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Albania, Tirana</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rFonts w:cs="Times New Roman CE" w:ascii="Times New Roman CE" w:hAnsi="Times New Roman CE"/>
                <w:lang w:val="fr-FR"/>
              </w:rPr>
              <w:t>Participarea la Olimpiada Balcanică de Matematică 2016</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04.05.2016</w:t>
            </w:r>
          </w:p>
          <w:p>
            <w:pPr>
              <w:pStyle w:val="Normal"/>
              <w:widowControl/>
              <w:bidi w:val="0"/>
              <w:ind w:left="0" w:right="0" w:hanging="0"/>
              <w:jc w:val="center"/>
              <w:textAlignment w:val="auto"/>
              <w:rPr/>
            </w:pPr>
            <w:r>
              <w:rPr/>
              <w:t>10.05.2016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sz w:val="22"/>
                <w:szCs w:val="22"/>
              </w:rPr>
              <w:t>16.</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lang w:val="fr-FR"/>
              </w:rPr>
              <w:t>Secrieru Grigore,</w:t>
            </w:r>
          </w:p>
          <w:p>
            <w:pPr>
              <w:pStyle w:val="Normal"/>
              <w:widowControl/>
              <w:bidi w:val="0"/>
              <w:ind w:left="0" w:right="0" w:hanging="0"/>
              <w:jc w:val="left"/>
              <w:textAlignment w:val="auto"/>
              <w:rPr>
                <w:lang w:val="fr-FR"/>
              </w:rPr>
            </w:pPr>
            <w:r>
              <w:rPr>
                <w:lang w:val="fr-FR"/>
              </w:rPr>
              <w:t>dr. în infor.,conf. universitar, 1942</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rFonts w:cs="Times New Roman CE" w:ascii="Times New Roman CE" w:hAnsi="Times New Roman CE"/>
              </w:rPr>
              <w:t>România, Bucureşti,</w:t>
            </w:r>
          </w:p>
          <w:p>
            <w:pPr>
              <w:pStyle w:val="Normal"/>
              <w:widowControl/>
              <w:bidi w:val="0"/>
              <w:ind w:left="0" w:right="0" w:hanging="0"/>
              <w:jc w:val="left"/>
              <w:textAlignment w:val="auto"/>
              <w:rPr/>
            </w:pPr>
            <w:r>
              <w:rPr/>
              <w:t>Academia Romana</w:t>
            </w:r>
          </w:p>
          <w:p>
            <w:pPr>
              <w:pStyle w:val="Normal"/>
              <w:widowControl/>
              <w:bidi w:val="0"/>
              <w:ind w:left="0" w:right="0" w:hanging="0"/>
              <w:jc w:val="left"/>
              <w:textAlignment w:val="auto"/>
              <w:rPr/>
            </w:pPr>
            <w:r>
              <w:rPr/>
              <w:t>Institutul de Mecanica Solidelor</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 xml:space="preserve">Participarea la </w:t>
            </w:r>
            <w:r>
              <w:rPr>
                <w:rStyle w:val="Hps"/>
              </w:rPr>
              <w:t>Conferin</w:t>
            </w:r>
            <w:r>
              <w:rPr>
                <w:rStyle w:val="Hps"/>
                <w:rFonts w:cs="Times New Roman CE" w:ascii="Times New Roman CE" w:hAnsi="Times New Roman CE"/>
              </w:rPr>
              <w:t>ţa Ştiinţifică Internaţională SISOM (09.05-15.05.2016)</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08.05.2016</w:t>
            </w:r>
          </w:p>
          <w:p>
            <w:pPr>
              <w:pStyle w:val="Normal"/>
              <w:widowControl/>
              <w:bidi w:val="0"/>
              <w:ind w:left="0" w:right="0" w:hanging="0"/>
              <w:jc w:val="center"/>
              <w:textAlignment w:val="auto"/>
              <w:rPr/>
            </w:pPr>
            <w:r>
              <w:rPr/>
              <w:t>15.05.2016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sz w:val="22"/>
                <w:szCs w:val="22"/>
              </w:rPr>
              <w:t>17.</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rFonts w:cs="Times New Roman CE" w:ascii="Times New Roman CE" w:hAnsi="Times New Roman CE"/>
              </w:rPr>
              <w:t>Guţuleac Elena,</w:t>
            </w:r>
          </w:p>
          <w:p>
            <w:pPr>
              <w:pStyle w:val="Normal"/>
              <w:widowControl/>
              <w:bidi w:val="0"/>
              <w:ind w:left="0" w:right="0" w:hanging="0"/>
              <w:jc w:val="left"/>
              <w:textAlignment w:val="auto"/>
              <w:rPr/>
            </w:pPr>
            <w:r>
              <w:rPr>
                <w:rFonts w:cs="Times New Roman CE" w:ascii="Times New Roman CE" w:hAnsi="Times New Roman CE"/>
              </w:rPr>
              <w:t>dr. în şt. mat., 1979</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rFonts w:cs="Times New Roman CE" w:ascii="Times New Roman CE" w:hAnsi="Times New Roman CE"/>
              </w:rPr>
              <w:t>România, Bucureşti,</w:t>
            </w:r>
          </w:p>
          <w:p>
            <w:pPr>
              <w:pStyle w:val="Normal"/>
              <w:widowControl/>
              <w:bidi w:val="0"/>
              <w:ind w:left="0" w:right="0" w:hanging="0"/>
              <w:jc w:val="left"/>
              <w:textAlignment w:val="auto"/>
              <w:rPr/>
            </w:pPr>
            <w:r>
              <w:rPr/>
              <w:t>Academia Romana</w:t>
            </w:r>
          </w:p>
          <w:p>
            <w:pPr>
              <w:pStyle w:val="Normal"/>
              <w:widowControl/>
              <w:bidi w:val="0"/>
              <w:ind w:left="0" w:right="0" w:hanging="0"/>
              <w:jc w:val="left"/>
              <w:textAlignment w:val="auto"/>
              <w:rPr/>
            </w:pPr>
            <w:r>
              <w:rPr/>
              <w:t>Institutul de Mecanica Solidelor</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 xml:space="preserve">Participarea la </w:t>
            </w:r>
            <w:r>
              <w:rPr>
                <w:rStyle w:val="Hps"/>
              </w:rPr>
              <w:t>C</w:t>
            </w:r>
            <w:r>
              <w:rPr>
                <w:rStyle w:val="Hps"/>
                <w:rFonts w:cs="Times New Roman CE" w:ascii="Times New Roman CE" w:hAnsi="Times New Roman CE"/>
              </w:rPr>
              <w:t>onferinţa Ştiinţifică Internaţională SISOM (09.05-</w:t>
            </w:r>
            <w:r>
              <w:rPr>
                <w:rStyle w:val="Hps"/>
              </w:rPr>
              <w:t>15.05.2016)</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08.05.2016</w:t>
            </w:r>
          </w:p>
          <w:p>
            <w:pPr>
              <w:pStyle w:val="Normal"/>
              <w:widowControl/>
              <w:bidi w:val="0"/>
              <w:ind w:left="0" w:right="0" w:hanging="0"/>
              <w:jc w:val="center"/>
              <w:textAlignment w:val="auto"/>
              <w:rPr/>
            </w:pPr>
            <w:r>
              <w:rPr/>
              <w:t>15.05.2016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sz w:val="22"/>
                <w:szCs w:val="22"/>
              </w:rPr>
              <w:t>18.</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Vulpe Nicolae,</w:t>
            </w:r>
          </w:p>
          <w:p>
            <w:pPr>
              <w:pStyle w:val="Normal"/>
              <w:widowControl/>
              <w:bidi w:val="0"/>
              <w:ind w:left="0" w:right="0" w:hanging="0"/>
              <w:jc w:val="left"/>
              <w:textAlignment w:val="auto"/>
              <w:rPr/>
            </w:pPr>
            <w:r>
              <w:rPr>
                <w:rFonts w:cs="Times New Roman CE" w:ascii="Times New Roman CE" w:hAnsi="Times New Roman CE"/>
              </w:rPr>
              <w:t>dr. hab. în şt.f.-m. , prof. unif, 1949</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Spania,</w:t>
            </w:r>
          </w:p>
          <w:p>
            <w:pPr>
              <w:pStyle w:val="Normal"/>
              <w:widowControl/>
              <w:bidi w:val="0"/>
              <w:ind w:left="0" w:right="0" w:hanging="0"/>
              <w:jc w:val="left"/>
              <w:textAlignment w:val="auto"/>
              <w:rPr/>
            </w:pPr>
            <w:r>
              <w:rPr/>
              <w:t>Barcelona,</w:t>
            </w:r>
          </w:p>
          <w:p>
            <w:pPr>
              <w:pStyle w:val="Normal"/>
              <w:widowControl/>
              <w:bidi w:val="0"/>
              <w:ind w:left="0" w:right="0" w:hanging="0"/>
              <w:jc w:val="left"/>
              <w:textAlignment w:val="auto"/>
              <w:rPr/>
            </w:pPr>
            <w:r>
              <w:rPr>
                <w:rFonts w:cs="Times New Roman CE" w:ascii="Times New Roman CE" w:hAnsi="Times New Roman CE"/>
              </w:rPr>
              <w:t>Universitatea Autonomă</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rFonts w:cs="Times New Roman CE" w:ascii="Times New Roman CE" w:hAnsi="Times New Roman CE"/>
                <w:lang w:val="en-US"/>
              </w:rPr>
              <w:t>Colaborare ştiinţifică cu specialişti din domeniul ecuaţiilor diferenţiale</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17.05.2016</w:t>
            </w:r>
          </w:p>
          <w:p>
            <w:pPr>
              <w:pStyle w:val="Normal"/>
              <w:widowControl/>
              <w:bidi w:val="0"/>
              <w:ind w:left="0" w:right="0" w:hanging="0"/>
              <w:jc w:val="center"/>
              <w:textAlignment w:val="auto"/>
              <w:rPr/>
            </w:pPr>
            <w:r>
              <w:rPr/>
              <w:t>16.07.2016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sz w:val="22"/>
                <w:szCs w:val="22"/>
              </w:rPr>
              <w:t>19.</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lang w:val="en-US"/>
              </w:rPr>
              <w:t>Petic Mircea</w:t>
            </w:r>
          </w:p>
          <w:p>
            <w:pPr>
              <w:pStyle w:val="Normal"/>
              <w:widowControl/>
              <w:bidi w:val="0"/>
              <w:ind w:left="0" w:right="0" w:hanging="0"/>
              <w:jc w:val="left"/>
              <w:textAlignment w:val="auto"/>
              <w:rPr>
                <w:lang w:val="en-US"/>
              </w:rPr>
            </w:pPr>
            <w:r>
              <w:rPr>
                <w:lang w:val="en-US"/>
              </w:rPr>
              <w:t>dr. în inform., 1983</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sz w:val="22"/>
                <w:szCs w:val="22"/>
              </w:rPr>
              <w:t>Ucraina, Kiev</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lang w:val="fr-FR"/>
              </w:rPr>
              <w:t xml:space="preserve">Participarea la </w:t>
            </w:r>
            <w:r>
              <w:rPr>
                <w:rStyle w:val="Hps"/>
                <w:rFonts w:cs="Times New Roman CE" w:ascii="Times New Roman CE" w:hAnsi="Times New Roman CE"/>
                <w:lang w:val="fr-FR"/>
              </w:rPr>
              <w:t>Conferinţa Internaţională SAIT 2016</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26.05.2016</w:t>
            </w:r>
          </w:p>
          <w:p>
            <w:pPr>
              <w:pStyle w:val="Normal"/>
              <w:widowControl/>
              <w:bidi w:val="0"/>
              <w:ind w:left="0" w:right="0" w:hanging="0"/>
              <w:jc w:val="center"/>
              <w:textAlignment w:val="auto"/>
              <w:rPr/>
            </w:pPr>
            <w:r>
              <w:rPr/>
              <w:t>02.06.2016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sz w:val="22"/>
                <w:szCs w:val="22"/>
              </w:rPr>
              <w:t>20.</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rFonts w:cs="Times New Roman CE" w:ascii="Times New Roman CE" w:hAnsi="Times New Roman CE"/>
              </w:rPr>
              <w:t>Ţiţchiev Inga</w:t>
            </w:r>
          </w:p>
          <w:p>
            <w:pPr>
              <w:pStyle w:val="Normal"/>
              <w:widowControl/>
              <w:bidi w:val="0"/>
              <w:ind w:left="0" w:right="0" w:hanging="0"/>
              <w:jc w:val="left"/>
              <w:textAlignment w:val="auto"/>
              <w:rPr/>
            </w:pPr>
            <w:r>
              <w:rPr/>
              <w:t>dr. în inform.,</w:t>
            </w:r>
          </w:p>
          <w:p>
            <w:pPr>
              <w:pStyle w:val="Normal"/>
              <w:widowControl/>
              <w:bidi w:val="0"/>
              <w:ind w:left="0" w:right="0" w:hanging="0"/>
              <w:jc w:val="left"/>
              <w:textAlignment w:val="auto"/>
              <w:rPr/>
            </w:pPr>
            <w:r>
              <w:rPr/>
              <w:t>conf. univers., 1977</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sz w:val="22"/>
                <w:szCs w:val="22"/>
              </w:rPr>
              <w:t>Ucraina, Kiev</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lang w:val="fr-FR"/>
              </w:rPr>
              <w:t xml:space="preserve">Participarea la </w:t>
            </w:r>
            <w:r>
              <w:rPr>
                <w:rStyle w:val="Hps"/>
                <w:rFonts w:cs="Times New Roman CE" w:ascii="Times New Roman CE" w:hAnsi="Times New Roman CE"/>
                <w:lang w:val="fr-FR"/>
              </w:rPr>
              <w:t>Conferinţa Internaţională SAIT 2016</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26.05.2016</w:t>
            </w:r>
          </w:p>
          <w:p>
            <w:pPr>
              <w:pStyle w:val="Normal"/>
              <w:widowControl/>
              <w:bidi w:val="0"/>
              <w:ind w:left="0" w:right="0" w:hanging="0"/>
              <w:jc w:val="center"/>
              <w:textAlignment w:val="auto"/>
              <w:rPr/>
            </w:pPr>
            <w:r>
              <w:rPr/>
              <w:t>02.06.2016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sz w:val="22"/>
                <w:szCs w:val="22"/>
              </w:rPr>
              <w:t>21.</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Iliuha Nicolai, 1964</w:t>
            </w:r>
          </w:p>
          <w:p>
            <w:pPr>
              <w:pStyle w:val="Normal"/>
              <w:widowControl/>
              <w:bidi w:val="0"/>
              <w:ind w:left="0" w:right="0" w:hanging="0"/>
              <w:jc w:val="left"/>
              <w:textAlignment w:val="auto"/>
              <w:rPr>
                <w:rFonts w:ascii="Times New Roman" w:hAnsi="Times New Roman"/>
              </w:rPr>
            </w:pPr>
            <w:r>
              <w:rPr/>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lang w:val="ro-MD"/>
              </w:rPr>
              <w:t>Spania, Malaga</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lang w:val="en-US"/>
              </w:rPr>
              <w:t>Participarea la GEANT4 Phase 2 JRA2 „Network Service Development” Activity All Hands Meeting and Kick Off</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31.05.2016</w:t>
            </w:r>
          </w:p>
          <w:p>
            <w:pPr>
              <w:pStyle w:val="Normal"/>
              <w:widowControl/>
              <w:bidi w:val="0"/>
              <w:ind w:left="0" w:right="0" w:hanging="0"/>
              <w:jc w:val="center"/>
              <w:textAlignment w:val="auto"/>
              <w:rPr/>
            </w:pPr>
            <w:r>
              <w:rPr/>
              <w:t>04.06.2016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22</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Degteariov Nichita,</w:t>
            </w:r>
          </w:p>
          <w:p>
            <w:pPr>
              <w:pStyle w:val="Normal"/>
              <w:widowControl/>
              <w:bidi w:val="0"/>
              <w:ind w:left="0" w:right="0" w:hanging="0"/>
              <w:jc w:val="left"/>
              <w:textAlignment w:val="auto"/>
              <w:rPr/>
            </w:pPr>
            <w:r>
              <w:rPr/>
              <w:t>1990</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lang w:val="ro-MD"/>
              </w:rPr>
              <w:t>Spania, Malaga</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lang w:val="en-US"/>
              </w:rPr>
              <w:t>Participarea la GEANT4 Phase 2 JRA2 „Network Service Development” Activity All Hands Meeting and Kick Off</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31.05.2016</w:t>
            </w:r>
          </w:p>
          <w:p>
            <w:pPr>
              <w:pStyle w:val="Normal"/>
              <w:widowControl/>
              <w:bidi w:val="0"/>
              <w:ind w:left="0" w:right="0" w:hanging="0"/>
              <w:jc w:val="center"/>
              <w:textAlignment w:val="auto"/>
              <w:rPr/>
            </w:pPr>
            <w:r>
              <w:rPr/>
              <w:t>04.06.2016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23.</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Lozovanu Dmitrii,</w:t>
            </w:r>
          </w:p>
          <w:p>
            <w:pPr>
              <w:pStyle w:val="Normal"/>
              <w:widowControl/>
              <w:bidi w:val="0"/>
              <w:ind w:left="0" w:right="0" w:hanging="0"/>
              <w:jc w:val="left"/>
              <w:textAlignment w:val="auto"/>
              <w:rPr/>
            </w:pPr>
            <w:r>
              <w:rPr>
                <w:rFonts w:cs="Times New Roman CE" w:ascii="Times New Roman CE" w:hAnsi="Times New Roman CE"/>
              </w:rPr>
              <w:t>dr. hab. în şt.f.-m., prof. unif., 1948</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lang w:val="en-US"/>
              </w:rPr>
              <w:t>Italia, Milan,</w:t>
            </w:r>
          </w:p>
          <w:p>
            <w:pPr>
              <w:pStyle w:val="Normal"/>
              <w:widowControl/>
              <w:bidi w:val="0"/>
              <w:ind w:left="0" w:right="0" w:hanging="0"/>
              <w:jc w:val="left"/>
              <w:textAlignment w:val="auto"/>
              <w:rPr>
                <w:lang w:val="en-US"/>
              </w:rPr>
            </w:pPr>
            <w:r>
              <w:rPr>
                <w:lang w:val="en-US"/>
              </w:rPr>
              <w:t>Universitatea din Milan</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 xml:space="preserve">Participarea la </w:t>
            </w:r>
            <w:r>
              <w:rPr>
                <w:rStyle w:val="Hps"/>
              </w:rPr>
              <w:t>C</w:t>
            </w:r>
            <w:r>
              <w:rPr>
                <w:rStyle w:val="Hps"/>
                <w:rFonts w:cs="Times New Roman CE" w:ascii="Times New Roman CE" w:hAnsi="Times New Roman CE"/>
              </w:rPr>
              <w:t xml:space="preserve">onferinţa Internaţională CTW-2016 (06-08.06.2016) </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05.06.2016</w:t>
            </w:r>
          </w:p>
          <w:p>
            <w:pPr>
              <w:pStyle w:val="Normal"/>
              <w:widowControl/>
              <w:bidi w:val="0"/>
              <w:ind w:left="0" w:right="0" w:hanging="0"/>
              <w:jc w:val="center"/>
              <w:textAlignment w:val="auto"/>
              <w:rPr/>
            </w:pPr>
            <w:r>
              <w:rPr/>
              <w:t>09.06.2016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24</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Bogatencov Petru,</w:t>
            </w:r>
          </w:p>
          <w:p>
            <w:pPr>
              <w:pStyle w:val="Normal"/>
              <w:widowControl/>
              <w:bidi w:val="0"/>
              <w:ind w:left="0" w:right="0" w:hanging="0"/>
              <w:jc w:val="left"/>
              <w:textAlignment w:val="auto"/>
              <w:rPr/>
            </w:pPr>
            <w:r>
              <w:rPr>
                <w:rFonts w:cs="Times New Roman CE" w:ascii="Times New Roman CE" w:hAnsi="Times New Roman CE"/>
              </w:rPr>
              <w:t>dr. în şt. teh., c.ş.s.,</w:t>
            </w:r>
          </w:p>
          <w:p>
            <w:pPr>
              <w:pStyle w:val="Normal"/>
              <w:widowControl/>
              <w:bidi w:val="0"/>
              <w:ind w:left="0" w:right="0" w:hanging="0"/>
              <w:jc w:val="left"/>
              <w:textAlignment w:val="auto"/>
              <w:rPr/>
            </w:pPr>
            <w:r>
              <w:rPr/>
              <w:t>1953</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lang w:val="ro-MD"/>
              </w:rPr>
              <w:t>Cehia, Praga</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lang w:val="en-US"/>
              </w:rPr>
              <w:t>Participarea la confer</w:t>
            </w:r>
            <w:r>
              <w:rPr>
                <w:rFonts w:cs="Times New Roman CE" w:ascii="Times New Roman CE" w:hAnsi="Times New Roman CE"/>
                <w:lang w:val="en-US"/>
              </w:rPr>
              <w:t>inţa „TNC-Networking Conference 2016” şi „EaPConnect project meeting”</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11.06.2016</w:t>
            </w:r>
          </w:p>
          <w:p>
            <w:pPr>
              <w:pStyle w:val="Normal"/>
              <w:widowControl/>
              <w:bidi w:val="0"/>
              <w:ind w:left="0" w:right="0" w:hanging="0"/>
              <w:jc w:val="center"/>
              <w:textAlignment w:val="auto"/>
              <w:rPr/>
            </w:pPr>
            <w:r>
              <w:rPr/>
              <w:t>17.06.2016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25.</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lang w:val="ro-MD"/>
              </w:rPr>
              <w:t>Şubă Alexandru,</w:t>
            </w:r>
          </w:p>
          <w:p>
            <w:pPr>
              <w:pStyle w:val="Normal"/>
              <w:widowControl/>
              <w:bidi w:val="0"/>
              <w:ind w:left="0" w:right="0" w:hanging="0"/>
              <w:jc w:val="left"/>
              <w:textAlignment w:val="auto"/>
              <w:rPr>
                <w:lang w:val="ro-MD"/>
              </w:rPr>
            </w:pPr>
            <w:r>
              <w:rPr>
                <w:rFonts w:cs="Times New Roman CE" w:ascii="Times New Roman CE" w:hAnsi="Times New Roman CE"/>
                <w:lang w:val="ro-MD"/>
              </w:rPr>
              <w:t>dr. hab. în şt.f.-m., prof. unif., 1953</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lang w:val="ro-MD"/>
              </w:rPr>
              <w:t>Belarus, Minsk, Universitatea de Stat</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2080" w:leader="none"/>
              </w:tabs>
              <w:bidi w:val="0"/>
              <w:ind w:left="0" w:right="0" w:hanging="0"/>
              <w:jc w:val="left"/>
              <w:textAlignment w:val="auto"/>
              <w:rPr/>
            </w:pPr>
            <w:r>
              <w:rPr/>
              <w:t>P</w:t>
            </w:r>
            <w:r>
              <w:rPr>
                <w:rFonts w:cs="Times New Roman CE" w:ascii="Times New Roman CE" w:hAnsi="Times New Roman CE"/>
              </w:rPr>
              <w:t>entru efectuarea cercetărilor în cadrul proiectului FP7-PEOPLE-2</w:t>
            </w:r>
            <w:r>
              <w:rPr/>
              <w:t>012-IRSES-316338</w:t>
            </w:r>
            <w:r>
              <w:rPr>
                <w:rStyle w:val="Hps"/>
              </w:rPr>
              <w:t>.</w:t>
            </w:r>
          </w:p>
          <w:p>
            <w:pPr>
              <w:pStyle w:val="Normal"/>
              <w:widowControl/>
              <w:tabs>
                <w:tab w:val="left" w:pos="2080" w:leader="none"/>
              </w:tabs>
              <w:bidi w:val="0"/>
              <w:ind w:left="0" w:right="0" w:hanging="0"/>
              <w:jc w:val="left"/>
              <w:textAlignment w:val="auto"/>
              <w:rPr/>
            </w:pPr>
            <w:r>
              <w:rPr>
                <w:rStyle w:val="Hps"/>
              </w:rPr>
              <w:t xml:space="preserve"> </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01.07.2016</w:t>
            </w:r>
          </w:p>
          <w:p>
            <w:pPr>
              <w:pStyle w:val="Normal"/>
              <w:widowControl/>
              <w:bidi w:val="0"/>
              <w:ind w:left="0" w:right="0" w:hanging="0"/>
              <w:jc w:val="center"/>
              <w:textAlignment w:val="auto"/>
              <w:rPr/>
            </w:pPr>
            <w:r>
              <w:rPr/>
              <w:t>31.07.2016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26.</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rFonts w:cs="Times New Roman CE" w:ascii="Times New Roman CE" w:hAnsi="Times New Roman CE"/>
              </w:rPr>
              <w:t>Vacaraş Olga, 1986</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lang w:val="ro-MD"/>
              </w:rPr>
              <w:t>Belarus, Minsk, Universitatea de Stat</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2080" w:leader="none"/>
              </w:tabs>
              <w:bidi w:val="0"/>
              <w:ind w:left="0" w:right="0" w:hanging="0"/>
              <w:jc w:val="left"/>
              <w:textAlignment w:val="auto"/>
              <w:rPr/>
            </w:pPr>
            <w:r>
              <w:rPr/>
              <w:t>P</w:t>
            </w:r>
            <w:r>
              <w:rPr>
                <w:rFonts w:cs="Times New Roman CE" w:ascii="Times New Roman CE" w:hAnsi="Times New Roman CE"/>
              </w:rPr>
              <w:t>entru efectuarea cercetărilor în cadrul proiectului FP7-PEOPLE-2012-IRSES-316338</w:t>
            </w:r>
            <w:r>
              <w:rPr>
                <w:rStyle w:val="Hps"/>
              </w:rPr>
              <w:t xml:space="preserve">. </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01.07.2016</w:t>
            </w:r>
          </w:p>
          <w:p>
            <w:pPr>
              <w:pStyle w:val="Normal"/>
              <w:widowControl/>
              <w:bidi w:val="0"/>
              <w:ind w:left="0" w:right="0" w:hanging="0"/>
              <w:jc w:val="center"/>
              <w:textAlignment w:val="auto"/>
              <w:rPr/>
            </w:pPr>
            <w:r>
              <w:rPr/>
              <w:t>31.07.2016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27.</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Baltag Valeriu,</w:t>
            </w:r>
          </w:p>
          <w:p>
            <w:pPr>
              <w:pStyle w:val="Normal"/>
              <w:widowControl/>
              <w:bidi w:val="0"/>
              <w:ind w:left="0" w:right="0" w:hanging="0"/>
              <w:jc w:val="left"/>
              <w:textAlignment w:val="auto"/>
              <w:rPr/>
            </w:pPr>
            <w:r>
              <w:rPr>
                <w:rFonts w:cs="Times New Roman CE" w:ascii="Times New Roman CE" w:hAnsi="Times New Roman CE"/>
              </w:rPr>
              <w:t>dr. în şt.f.-m., conf.cer</w:t>
            </w:r>
            <w:r>
              <w:rPr/>
              <w:t>c., 1957</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China, Hong Kong</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rFonts w:cs="Times New Roman CE" w:ascii="Times New Roman CE" w:hAnsi="Times New Roman CE"/>
                <w:lang w:val="fr-FR"/>
              </w:rPr>
              <w:t>Participarea la Olimpiada Internaţională de Matematică 2016</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05.07.2016</w:t>
            </w:r>
          </w:p>
          <w:p>
            <w:pPr>
              <w:pStyle w:val="Normal"/>
              <w:widowControl/>
              <w:bidi w:val="0"/>
              <w:ind w:left="0" w:right="0" w:hanging="0"/>
              <w:jc w:val="center"/>
              <w:textAlignment w:val="auto"/>
              <w:rPr/>
            </w:pPr>
            <w:r>
              <w:rPr/>
              <w:t>17.07.2016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28.</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en-US"/>
              </w:rPr>
            </w:pPr>
            <w:r>
              <w:rPr>
                <w:lang w:val="en-US"/>
              </w:rPr>
              <w:t xml:space="preserve"> </w:t>
            </w:r>
            <w:r>
              <w:rPr>
                <w:lang w:val="en-US"/>
              </w:rPr>
              <w:t>Driuma Valeriu,</w:t>
            </w:r>
          </w:p>
          <w:p>
            <w:pPr>
              <w:pStyle w:val="Normal"/>
              <w:widowControl/>
              <w:bidi w:val="0"/>
              <w:ind w:left="0" w:right="0" w:hanging="0"/>
              <w:jc w:val="both"/>
              <w:textAlignment w:val="auto"/>
              <w:rPr>
                <w:lang w:val="en-US"/>
              </w:rPr>
            </w:pPr>
            <w:r>
              <w:rPr>
                <w:rFonts w:cs="Times New Roman CE" w:ascii="Times New Roman CE" w:hAnsi="Times New Roman CE"/>
                <w:lang w:val="en-US"/>
              </w:rPr>
              <w:t xml:space="preserve"> </w:t>
            </w:r>
            <w:r>
              <w:rPr>
                <w:rFonts w:cs="Times New Roman CE" w:ascii="Times New Roman CE" w:hAnsi="Times New Roman CE"/>
                <w:lang w:val="en-US"/>
              </w:rPr>
              <w:t>dr. în şt.f.-m.,</w:t>
            </w:r>
          </w:p>
          <w:p>
            <w:pPr>
              <w:pStyle w:val="Normal"/>
              <w:widowControl/>
              <w:bidi w:val="0"/>
              <w:ind w:left="0" w:right="0" w:hanging="0"/>
              <w:jc w:val="both"/>
              <w:textAlignment w:val="auto"/>
              <w:rPr/>
            </w:pPr>
            <w:r>
              <w:rPr/>
              <w:t>conf.cerc., 1946</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 xml:space="preserve">Rusia, </w:t>
            </w:r>
          </w:p>
          <w:p>
            <w:pPr>
              <w:pStyle w:val="Normal"/>
              <w:widowControl/>
              <w:bidi w:val="0"/>
              <w:ind w:left="0" w:right="0" w:hanging="0"/>
              <w:jc w:val="left"/>
              <w:textAlignment w:val="auto"/>
              <w:rPr/>
            </w:pPr>
            <w:r>
              <w:rPr/>
              <w:t>Moscova, Universitatea de Stat din Vladimir</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 xml:space="preserve">Participarea la </w:t>
            </w:r>
            <w:r>
              <w:rPr>
                <w:rStyle w:val="Hps"/>
              </w:rPr>
              <w:t>(Международная конференция по дифференциальным уравнениям и динамическим системам)</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06.07.2016</w:t>
            </w:r>
          </w:p>
          <w:p>
            <w:pPr>
              <w:pStyle w:val="Normal"/>
              <w:widowControl/>
              <w:bidi w:val="0"/>
              <w:ind w:left="0" w:right="0" w:hanging="0"/>
              <w:jc w:val="center"/>
              <w:textAlignment w:val="auto"/>
              <w:rPr/>
            </w:pPr>
            <w:r>
              <w:rPr/>
              <w:t>22.07.2016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29.</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Lozovanu Dmitrii,</w:t>
            </w:r>
          </w:p>
          <w:p>
            <w:pPr>
              <w:pStyle w:val="Normal"/>
              <w:widowControl/>
              <w:bidi w:val="0"/>
              <w:ind w:left="0" w:right="0" w:hanging="0"/>
              <w:jc w:val="left"/>
              <w:textAlignment w:val="auto"/>
              <w:rPr/>
            </w:pPr>
            <w:r>
              <w:rPr>
                <w:rFonts w:cs="Times New Roman CE" w:ascii="Times New Roman CE" w:hAnsi="Times New Roman CE"/>
              </w:rPr>
              <w:t>dr. hab. în şt.f.-m., prof. unif., 1948</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lang w:val="en-US"/>
              </w:rPr>
              <w:t>Rusia, Saint Petersburg,</w:t>
            </w:r>
          </w:p>
          <w:p>
            <w:pPr>
              <w:pStyle w:val="Normal"/>
              <w:widowControl/>
              <w:bidi w:val="0"/>
              <w:ind w:left="0" w:right="0" w:hanging="0"/>
              <w:jc w:val="left"/>
              <w:textAlignment w:val="auto"/>
              <w:rPr>
                <w:lang w:val="en-US"/>
              </w:rPr>
            </w:pPr>
            <w:r>
              <w:rPr>
                <w:lang w:val="en-US"/>
              </w:rPr>
              <w:t>Universitatea din St.Petersburg</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 xml:space="preserve">Participarea la </w:t>
            </w:r>
            <w:r>
              <w:rPr>
                <w:rStyle w:val="Hps"/>
              </w:rPr>
              <w:t>C</w:t>
            </w:r>
            <w:r>
              <w:rPr>
                <w:rStyle w:val="Hps"/>
                <w:rFonts w:cs="Times New Roman CE" w:ascii="Times New Roman CE" w:hAnsi="Times New Roman CE"/>
              </w:rPr>
              <w:t xml:space="preserve">onferinţa Internaţională GTM-2016 </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06.07.2016</w:t>
            </w:r>
          </w:p>
          <w:p>
            <w:pPr>
              <w:pStyle w:val="Normal"/>
              <w:widowControl/>
              <w:bidi w:val="0"/>
              <w:ind w:left="0" w:right="0" w:hanging="0"/>
              <w:jc w:val="center"/>
              <w:textAlignment w:val="auto"/>
              <w:rPr/>
            </w:pPr>
            <w:r>
              <w:rPr/>
              <w:t>09.07.2016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30.</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rFonts w:cs="Times New Roman CE" w:ascii="Times New Roman CE" w:hAnsi="Times New Roman CE"/>
              </w:rPr>
              <w:t>Izbaş Vladimir,</w:t>
            </w:r>
          </w:p>
          <w:p>
            <w:pPr>
              <w:pStyle w:val="Normal"/>
              <w:widowControl/>
              <w:bidi w:val="0"/>
              <w:ind w:left="0" w:right="0" w:hanging="0"/>
              <w:jc w:val="left"/>
              <w:textAlignment w:val="auto"/>
              <w:rPr/>
            </w:pPr>
            <w:r>
              <w:rPr>
                <w:rFonts w:cs="Times New Roman CE" w:ascii="Times New Roman CE" w:hAnsi="Times New Roman CE"/>
              </w:rPr>
              <w:t>dr. în şt.f.-m., conf.cerc., 1958</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China, Hong Kong</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rFonts w:cs="Times New Roman CE" w:ascii="Times New Roman CE" w:hAnsi="Times New Roman CE"/>
                <w:lang w:val="fr-FR"/>
              </w:rPr>
              <w:t>Participarea la Olimpiada Internaţională de Matematică 2016</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08.07.2016</w:t>
            </w:r>
          </w:p>
          <w:p>
            <w:pPr>
              <w:pStyle w:val="Normal"/>
              <w:widowControl/>
              <w:bidi w:val="0"/>
              <w:ind w:left="0" w:right="0" w:hanging="0"/>
              <w:jc w:val="center"/>
              <w:textAlignment w:val="auto"/>
              <w:rPr/>
            </w:pPr>
            <w:r>
              <w:rPr/>
              <w:t>17.07.2016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31.</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Bogatencov Petru,</w:t>
            </w:r>
          </w:p>
          <w:p>
            <w:pPr>
              <w:pStyle w:val="Normal"/>
              <w:widowControl/>
              <w:bidi w:val="0"/>
              <w:ind w:left="0" w:right="0" w:hanging="0"/>
              <w:jc w:val="left"/>
              <w:textAlignment w:val="auto"/>
              <w:rPr/>
            </w:pPr>
            <w:r>
              <w:rPr>
                <w:rFonts w:cs="Times New Roman CE" w:ascii="Times New Roman CE" w:hAnsi="Times New Roman CE"/>
              </w:rPr>
              <w:t>dr. în şt. teh., c.ş.s.,</w:t>
            </w:r>
          </w:p>
          <w:p>
            <w:pPr>
              <w:pStyle w:val="Normal"/>
              <w:widowControl/>
              <w:bidi w:val="0"/>
              <w:ind w:left="0" w:right="0" w:hanging="0"/>
              <w:jc w:val="left"/>
              <w:textAlignment w:val="auto"/>
              <w:rPr/>
            </w:pPr>
            <w:r>
              <w:rPr/>
              <w:t>1953</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lang w:val="ro-MD"/>
              </w:rPr>
              <w:t>România, Constanţa</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lang w:val="en-US"/>
              </w:rPr>
              <w:t>Participar</w:t>
            </w:r>
            <w:r>
              <w:rPr>
                <w:rFonts w:cs="Times New Roman CE" w:ascii="Times New Roman CE" w:hAnsi="Times New Roman CE"/>
                <w:lang w:val="en-US"/>
              </w:rPr>
              <w:t>ea la conferinţa „</w:t>
            </w:r>
            <w:r>
              <w:rPr>
                <w:rStyle w:val="Hps"/>
                <w:lang w:val="en-US"/>
              </w:rPr>
              <w:t>Launching conference of the Black Sea Basin Joint Operational Programme 2014-2020</w:t>
            </w:r>
            <w:r>
              <w:rPr>
                <w:lang w:val="en-US"/>
              </w:rPr>
              <w:t xml:space="preserve">” </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13.07.2016</w:t>
            </w:r>
          </w:p>
          <w:p>
            <w:pPr>
              <w:pStyle w:val="Normal"/>
              <w:widowControl/>
              <w:bidi w:val="0"/>
              <w:ind w:left="0" w:right="0" w:hanging="0"/>
              <w:jc w:val="center"/>
              <w:textAlignment w:val="auto"/>
              <w:rPr/>
            </w:pPr>
            <w:r>
              <w:rPr/>
              <w:t>15.07.2016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32.</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rFonts w:cs="Times New Roman CE" w:ascii="Times New Roman CE" w:hAnsi="Times New Roman CE"/>
              </w:rPr>
              <w:t>Burţeva Liudmila,</w:t>
            </w:r>
          </w:p>
          <w:p>
            <w:pPr>
              <w:pStyle w:val="Normal"/>
              <w:widowControl/>
              <w:bidi w:val="0"/>
              <w:ind w:left="0" w:right="0" w:hanging="0"/>
              <w:jc w:val="left"/>
              <w:textAlignment w:val="auto"/>
              <w:rPr/>
            </w:pPr>
            <w:r>
              <w:rPr/>
              <w:t>dr. în inform.,conf. cer., 1967</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rFonts w:cs="Times New Roman CE" w:ascii="Times New Roman CE" w:hAnsi="Times New Roman CE"/>
                <w:lang w:val="fr-FR"/>
              </w:rPr>
              <w:t>Belarus, Minsk, Institutul Unifecat pentru Probleme de Informatică A.Ş.B</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Pent</w:t>
            </w:r>
            <w:r>
              <w:rPr>
                <w:rFonts w:cs="Times New Roman CE" w:ascii="Times New Roman CE" w:hAnsi="Times New Roman CE"/>
              </w:rPr>
              <w:t>ru efectuarea cercetărilor în cadrul proiectului</w:t>
            </w:r>
            <w:r>
              <w:rPr/>
              <w:t xml:space="preserve"> bilateral Moldo-Belarus.</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08.08.2016</w:t>
            </w:r>
          </w:p>
          <w:p>
            <w:pPr>
              <w:pStyle w:val="Normal"/>
              <w:widowControl/>
              <w:bidi w:val="0"/>
              <w:ind w:left="0" w:right="0" w:hanging="0"/>
              <w:jc w:val="center"/>
              <w:textAlignment w:val="auto"/>
              <w:rPr/>
            </w:pPr>
            <w:r>
              <w:rPr/>
              <w:t>12.08.2016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33.</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lang w:val="ro-MD"/>
              </w:rPr>
              <w:t>Alhazov Artiom,</w:t>
            </w:r>
          </w:p>
          <w:p>
            <w:pPr>
              <w:pStyle w:val="Normal"/>
              <w:widowControl/>
              <w:bidi w:val="0"/>
              <w:ind w:left="0" w:right="0" w:hanging="0"/>
              <w:jc w:val="left"/>
              <w:textAlignment w:val="auto"/>
              <w:rPr>
                <w:lang w:val="ro-MD"/>
              </w:rPr>
            </w:pPr>
            <w:r>
              <w:rPr>
                <w:rFonts w:cs="Times New Roman CE" w:ascii="Times New Roman CE" w:hAnsi="Times New Roman CE"/>
                <w:lang w:val="ro-MD"/>
              </w:rPr>
              <w:t>dr.h. în informatică,</w:t>
            </w:r>
          </w:p>
          <w:p>
            <w:pPr>
              <w:pStyle w:val="Normal"/>
              <w:widowControl/>
              <w:bidi w:val="0"/>
              <w:ind w:left="0" w:right="0" w:hanging="0"/>
              <w:jc w:val="left"/>
              <w:textAlignment w:val="auto"/>
              <w:rPr>
                <w:lang w:val="ro-MD"/>
              </w:rPr>
            </w:pPr>
            <w:r>
              <w:rPr>
                <w:lang w:val="ro-MD"/>
              </w:rPr>
              <w:t>1979</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rFonts w:cs="Times New Roman CE" w:ascii="Times New Roman CE" w:hAnsi="Times New Roman CE"/>
              </w:rPr>
              <w:t>Austria, Viena, Universitatea tehnică din Viena</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rFonts w:cs="Times New Roman CE" w:ascii="Times New Roman CE" w:hAnsi="Times New Roman CE"/>
              </w:rPr>
              <w:t>Pentru efectuarea cercetărilor în comun cu Prof. Rudolf Freund</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08.08.2016</w:t>
            </w:r>
          </w:p>
          <w:p>
            <w:pPr>
              <w:pStyle w:val="Normal"/>
              <w:widowControl/>
              <w:bidi w:val="0"/>
              <w:ind w:left="0" w:right="0" w:hanging="0"/>
              <w:jc w:val="center"/>
              <w:textAlignment w:val="auto"/>
              <w:rPr/>
            </w:pPr>
            <w:r>
              <w:rPr/>
              <w:t>21.08.2016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34.</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rFonts w:cs="Times New Roman CE" w:ascii="Times New Roman CE" w:hAnsi="Times New Roman CE"/>
                <w:lang w:val="en-US"/>
              </w:rPr>
              <w:t>Ţiţchiev Inga,</w:t>
            </w:r>
          </w:p>
          <w:p>
            <w:pPr>
              <w:pStyle w:val="Normal"/>
              <w:widowControl/>
              <w:bidi w:val="0"/>
              <w:ind w:left="0" w:right="0" w:hanging="0"/>
              <w:jc w:val="left"/>
              <w:textAlignment w:val="auto"/>
              <w:rPr>
                <w:lang w:val="en-US"/>
              </w:rPr>
            </w:pPr>
            <w:r>
              <w:rPr>
                <w:lang w:val="en-US"/>
              </w:rPr>
              <w:t>dr. în inform.,</w:t>
            </w:r>
          </w:p>
          <w:p>
            <w:pPr>
              <w:pStyle w:val="Normal"/>
              <w:widowControl/>
              <w:bidi w:val="0"/>
              <w:ind w:left="0" w:right="0" w:hanging="0"/>
              <w:jc w:val="left"/>
              <w:textAlignment w:val="auto"/>
              <w:rPr>
                <w:lang w:val="en-US"/>
              </w:rPr>
            </w:pPr>
            <w:r>
              <w:rPr>
                <w:lang w:val="en-US"/>
              </w:rPr>
              <w:t>conf. univ., 1977</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lang w:val="fr-FR"/>
              </w:rPr>
              <w:t>România,</w:t>
            </w:r>
          </w:p>
          <w:p>
            <w:pPr>
              <w:pStyle w:val="Normal"/>
              <w:widowControl/>
              <w:bidi w:val="0"/>
              <w:ind w:left="0" w:right="0" w:hanging="0"/>
              <w:jc w:val="left"/>
              <w:textAlignment w:val="auto"/>
              <w:rPr>
                <w:lang w:val="fr-FR"/>
              </w:rPr>
            </w:pPr>
            <w:r>
              <w:rPr>
                <w:lang w:val="fr-FR"/>
              </w:rPr>
              <w:t>Craiova, Universitatea din Craiova</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lang w:val="fr-FR"/>
              </w:rPr>
              <w:t xml:space="preserve">Participarea la </w:t>
            </w:r>
            <w:r>
              <w:rPr>
                <w:rStyle w:val="Hps"/>
                <w:rFonts w:cs="Times New Roman CE" w:ascii="Times New Roman CE" w:hAnsi="Times New Roman CE"/>
                <w:lang w:val="fr-FR"/>
              </w:rPr>
              <w:t>lucrările conferinţei internaţionale CAIM 2016</w:t>
            </w:r>
            <w:r>
              <w:rPr>
                <w:lang w:val="fr-FR"/>
              </w:rPr>
              <w:t xml:space="preserve"> (15 – 18 septembrie 2016)</w:t>
            </w:r>
            <w:r>
              <w:rPr>
                <w:rStyle w:val="Hps"/>
                <w:lang w:val="fr-FR"/>
              </w:rPr>
              <w:t>.</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14.09.2016</w:t>
            </w:r>
          </w:p>
          <w:p>
            <w:pPr>
              <w:pStyle w:val="Normal"/>
              <w:widowControl/>
              <w:bidi w:val="0"/>
              <w:ind w:left="0" w:right="0" w:hanging="0"/>
              <w:jc w:val="center"/>
              <w:textAlignment w:val="auto"/>
              <w:rPr/>
            </w:pPr>
            <w:r>
              <w:rPr/>
              <w:t>19.09.2016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35</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rFonts w:cs="Times New Roman CE" w:ascii="Times New Roman CE" w:hAnsi="Times New Roman CE"/>
              </w:rPr>
              <w:t>Horoş Grigorii</w:t>
            </w:r>
          </w:p>
          <w:p>
            <w:pPr>
              <w:pStyle w:val="Normal"/>
              <w:widowControl/>
              <w:bidi w:val="0"/>
              <w:ind w:left="0" w:right="0" w:hanging="0"/>
              <w:jc w:val="left"/>
              <w:textAlignment w:val="auto"/>
              <w:rPr/>
            </w:pPr>
            <w:r>
              <w:rPr/>
              <w:t>1990</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lang w:val="fr-FR"/>
              </w:rPr>
              <w:t>România,</w:t>
            </w:r>
          </w:p>
          <w:p>
            <w:pPr>
              <w:pStyle w:val="Normal"/>
              <w:widowControl/>
              <w:bidi w:val="0"/>
              <w:ind w:left="0" w:right="0" w:hanging="0"/>
              <w:jc w:val="left"/>
              <w:textAlignment w:val="auto"/>
              <w:rPr>
                <w:lang w:val="fr-FR"/>
              </w:rPr>
            </w:pPr>
            <w:r>
              <w:rPr>
                <w:lang w:val="fr-FR"/>
              </w:rPr>
              <w:t>Craiova, Universitatea din Craiova</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lang w:val="fr-FR"/>
              </w:rPr>
              <w:t xml:space="preserve">Participarea la </w:t>
            </w:r>
            <w:r>
              <w:rPr>
                <w:rStyle w:val="Hps"/>
                <w:rFonts w:cs="Times New Roman CE" w:ascii="Times New Roman CE" w:hAnsi="Times New Roman CE"/>
                <w:lang w:val="fr-FR"/>
              </w:rPr>
              <w:t>lucrările conferinţei internaţionale CAIM 2016</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14.09.2016</w:t>
            </w:r>
          </w:p>
          <w:p>
            <w:pPr>
              <w:pStyle w:val="Normal"/>
              <w:widowControl/>
              <w:bidi w:val="0"/>
              <w:ind w:left="0" w:right="0" w:hanging="0"/>
              <w:jc w:val="center"/>
              <w:textAlignment w:val="auto"/>
              <w:rPr/>
            </w:pPr>
            <w:r>
              <w:rPr/>
              <w:t>19.09.2016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36.</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lang w:val="en-US"/>
              </w:rPr>
              <w:t>Petic Mircea,</w:t>
            </w:r>
          </w:p>
          <w:p>
            <w:pPr>
              <w:pStyle w:val="Normal"/>
              <w:widowControl/>
              <w:bidi w:val="0"/>
              <w:ind w:left="0" w:right="0" w:hanging="0"/>
              <w:jc w:val="left"/>
              <w:textAlignment w:val="auto"/>
              <w:rPr>
                <w:lang w:val="en-US"/>
              </w:rPr>
            </w:pPr>
            <w:r>
              <w:rPr>
                <w:lang w:val="en-US"/>
              </w:rPr>
              <w:t>dr. în inform., 1983</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lang w:val="fr-FR"/>
              </w:rPr>
              <w:t>România,</w:t>
            </w:r>
          </w:p>
          <w:p>
            <w:pPr>
              <w:pStyle w:val="Normal"/>
              <w:widowControl/>
              <w:bidi w:val="0"/>
              <w:ind w:left="0" w:right="0" w:hanging="0"/>
              <w:jc w:val="left"/>
              <w:textAlignment w:val="auto"/>
              <w:rPr>
                <w:lang w:val="fr-FR"/>
              </w:rPr>
            </w:pPr>
            <w:r>
              <w:rPr>
                <w:lang w:val="fr-FR"/>
              </w:rPr>
              <w:t>Craiova, Universitatea din Craiova</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lang w:val="fr-FR"/>
              </w:rPr>
              <w:t xml:space="preserve">Participarea la </w:t>
            </w:r>
            <w:r>
              <w:rPr>
                <w:rStyle w:val="Hps"/>
                <w:rFonts w:cs="Times New Roman CE" w:ascii="Times New Roman CE" w:hAnsi="Times New Roman CE"/>
                <w:lang w:val="fr-FR"/>
              </w:rPr>
              <w:t>lucrările conferinţei internaţionale CAIM 2016</w:t>
            </w:r>
          </w:p>
          <w:p>
            <w:pPr>
              <w:pStyle w:val="Normal"/>
              <w:widowControl/>
              <w:bidi w:val="0"/>
              <w:ind w:left="0" w:right="0" w:hanging="0"/>
              <w:jc w:val="left"/>
              <w:textAlignment w:val="auto"/>
              <w:rPr>
                <w:rFonts w:ascii="Times New Roman" w:hAnsi="Times New Roman"/>
                <w:lang w:val="fr-FR"/>
              </w:rPr>
            </w:pPr>
            <w:r>
              <w:rPr>
                <w:lang w:val="fr-FR"/>
              </w:rPr>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14.09.2016</w:t>
            </w:r>
          </w:p>
          <w:p>
            <w:pPr>
              <w:pStyle w:val="Normal"/>
              <w:widowControl/>
              <w:bidi w:val="0"/>
              <w:ind w:left="0" w:right="0" w:hanging="0"/>
              <w:jc w:val="center"/>
              <w:textAlignment w:val="auto"/>
              <w:rPr/>
            </w:pPr>
            <w:r>
              <w:rPr/>
              <w:t>19.09.2016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37.</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lang w:val="en-US"/>
              </w:rPr>
              <w:t>Cojocaru Svetlana</w:t>
            </w:r>
          </w:p>
          <w:p>
            <w:pPr>
              <w:pStyle w:val="Normal"/>
              <w:widowControl/>
              <w:bidi w:val="0"/>
              <w:ind w:left="0" w:right="0" w:hanging="0"/>
              <w:jc w:val="left"/>
              <w:textAlignment w:val="auto"/>
              <w:rPr>
                <w:lang w:val="en-US"/>
              </w:rPr>
            </w:pPr>
            <w:r>
              <w:rPr>
                <w:lang w:val="en-US"/>
              </w:rPr>
              <w:t>dr. hab. în infor.</w:t>
            </w:r>
          </w:p>
          <w:p>
            <w:pPr>
              <w:pStyle w:val="Normal"/>
              <w:widowControl/>
              <w:bidi w:val="0"/>
              <w:ind w:left="0" w:right="0" w:hanging="0"/>
              <w:jc w:val="left"/>
              <w:textAlignment w:val="auto"/>
              <w:rPr/>
            </w:pPr>
            <w:r>
              <w:rPr/>
              <w:t>prof. cerc., 1952</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lang w:val="ro-MD"/>
              </w:rPr>
              <w:t>România, Iaşi,</w:t>
            </w:r>
          </w:p>
          <w:p>
            <w:pPr>
              <w:pStyle w:val="Normal"/>
              <w:widowControl/>
              <w:bidi w:val="0"/>
              <w:ind w:left="0" w:right="0" w:hanging="0"/>
              <w:jc w:val="left"/>
              <w:textAlignment w:val="auto"/>
              <w:rPr/>
            </w:pPr>
            <w:r>
              <w:rPr/>
              <w:t>Universitatea „A.I. Cuza”</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rFonts w:cs="Times New Roman CE" w:ascii="Times New Roman CE" w:hAnsi="Times New Roman CE"/>
                <w:lang w:val="fr-FR"/>
              </w:rPr>
              <w:t>Pentru participare în calitate de referent la susţinerea tezei de doctorat de către dna Daniela Gîfu</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22.09.2016</w:t>
            </w:r>
          </w:p>
          <w:p>
            <w:pPr>
              <w:pStyle w:val="Normal"/>
              <w:widowControl/>
              <w:bidi w:val="0"/>
              <w:ind w:left="0" w:right="0" w:hanging="0"/>
              <w:jc w:val="center"/>
              <w:textAlignment w:val="auto"/>
              <w:rPr/>
            </w:pPr>
            <w:r>
              <w:rPr/>
              <w:t>24.09.2016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38.</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Bogatencov Petru,</w:t>
            </w:r>
          </w:p>
          <w:p>
            <w:pPr>
              <w:pStyle w:val="Normal"/>
              <w:widowControl/>
              <w:bidi w:val="0"/>
              <w:ind w:left="0" w:right="0" w:hanging="0"/>
              <w:jc w:val="left"/>
              <w:textAlignment w:val="auto"/>
              <w:rPr/>
            </w:pPr>
            <w:r>
              <w:rPr>
                <w:rFonts w:cs="Times New Roman CE" w:ascii="Times New Roman CE" w:hAnsi="Times New Roman CE"/>
              </w:rPr>
              <w:t>dr. în şt. teh., c.ş.s.,</w:t>
            </w:r>
          </w:p>
          <w:p>
            <w:pPr>
              <w:pStyle w:val="Normal"/>
              <w:widowControl/>
              <w:bidi w:val="0"/>
              <w:ind w:left="0" w:right="0" w:hanging="0"/>
              <w:jc w:val="left"/>
              <w:textAlignment w:val="auto"/>
              <w:rPr/>
            </w:pPr>
            <w:r>
              <w:rPr/>
              <w:t>1953</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Slovacia, Bratislava</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lang w:val="en-US"/>
              </w:rPr>
              <w:t xml:space="preserve">Participarea </w:t>
            </w:r>
            <w:r>
              <w:rPr>
                <w:rStyle w:val="Hps"/>
                <w:rFonts w:cs="Times New Roman CE" w:ascii="Times New Roman CE" w:hAnsi="Times New Roman CE"/>
                <w:lang w:val="en-US"/>
              </w:rPr>
              <w:t>la evenimentul „EC ICT Proposers' Day 2016” (26-27.09) şi „EaPConnect project meeting”</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25.09.2016</w:t>
            </w:r>
          </w:p>
          <w:p>
            <w:pPr>
              <w:pStyle w:val="Normal"/>
              <w:widowControl/>
              <w:bidi w:val="0"/>
              <w:ind w:left="0" w:right="0" w:hanging="0"/>
              <w:jc w:val="center"/>
              <w:textAlignment w:val="auto"/>
              <w:rPr/>
            </w:pPr>
            <w:r>
              <w:rPr/>
              <w:t>28.09.2016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39.</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Popcova Olga, 1979</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Italia, Trieste</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lang w:val="en-US"/>
              </w:rPr>
              <w:t>Participarea la evenimentul regional „Macro-Regional Innovation Week</w:t>
            </w:r>
            <w:r>
              <w:rPr>
                <w:sz w:val="28"/>
                <w:szCs w:val="28"/>
                <w:lang w:val="en-US"/>
              </w:rPr>
              <w:t>”</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25.09.2016</w:t>
            </w:r>
          </w:p>
          <w:p>
            <w:pPr>
              <w:pStyle w:val="Normal"/>
              <w:widowControl/>
              <w:bidi w:val="0"/>
              <w:ind w:left="0" w:right="0" w:hanging="0"/>
              <w:jc w:val="center"/>
              <w:textAlignment w:val="auto"/>
              <w:rPr/>
            </w:pPr>
            <w:r>
              <w:rPr/>
              <w:t>01.10.2016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40.</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lang w:val="ro-MD"/>
              </w:rPr>
              <w:t>Şubă Alexandru,</w:t>
            </w:r>
          </w:p>
          <w:p>
            <w:pPr>
              <w:pStyle w:val="Normal"/>
              <w:widowControl/>
              <w:bidi w:val="0"/>
              <w:ind w:left="0" w:right="0" w:hanging="0"/>
              <w:jc w:val="left"/>
              <w:textAlignment w:val="auto"/>
              <w:rPr>
                <w:lang w:val="ro-MD"/>
              </w:rPr>
            </w:pPr>
            <w:r>
              <w:rPr>
                <w:rFonts w:cs="Times New Roman CE" w:ascii="Times New Roman CE" w:hAnsi="Times New Roman CE"/>
                <w:lang w:val="ro-MD"/>
              </w:rPr>
              <w:t>dr. hab. în şt.f.-m., prof. unif., 1953</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rFonts w:cs="Times New Roman CE" w:ascii="Times New Roman CE" w:hAnsi="Times New Roman CE"/>
                <w:lang w:val="fr-FR"/>
              </w:rPr>
              <w:t>Ucraina, Cernăuţi, Universitatea din Cernăuţi</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lang w:val="en-US"/>
              </w:rPr>
              <w:t xml:space="preserve">Participarea </w:t>
            </w:r>
            <w:r>
              <w:rPr>
                <w:rStyle w:val="Hps"/>
                <w:rFonts w:cs="Times New Roman CE" w:ascii="Times New Roman CE" w:hAnsi="Times New Roman CE"/>
                <w:lang w:val="en-US"/>
              </w:rPr>
              <w:t>la Conferinţa Ştiinţifică Internatională</w:t>
            </w:r>
            <w:r>
              <w:rPr>
                <w:lang w:val="en-US"/>
              </w:rPr>
              <w:t xml:space="preserve"> "Differential-Functional Equations and their Application"</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27.09.2016</w:t>
            </w:r>
          </w:p>
          <w:p>
            <w:pPr>
              <w:pStyle w:val="Normal"/>
              <w:widowControl/>
              <w:bidi w:val="0"/>
              <w:ind w:left="0" w:right="0" w:hanging="0"/>
              <w:jc w:val="center"/>
              <w:textAlignment w:val="auto"/>
              <w:rPr/>
            </w:pPr>
            <w:r>
              <w:rPr/>
              <w:t>01.10.2016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41.</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Bogatencov Petru,</w:t>
            </w:r>
          </w:p>
          <w:p>
            <w:pPr>
              <w:pStyle w:val="Normal"/>
              <w:widowControl/>
              <w:bidi w:val="0"/>
              <w:ind w:left="0" w:right="0" w:hanging="0"/>
              <w:jc w:val="left"/>
              <w:textAlignment w:val="auto"/>
              <w:rPr/>
            </w:pPr>
            <w:r>
              <w:rPr>
                <w:rFonts w:cs="Times New Roman CE" w:ascii="Times New Roman CE" w:hAnsi="Times New Roman CE"/>
              </w:rPr>
              <w:t>dr. în şt. teh., c.ş.s.,</w:t>
            </w:r>
          </w:p>
          <w:p>
            <w:pPr>
              <w:pStyle w:val="Normal"/>
              <w:widowControl/>
              <w:bidi w:val="0"/>
              <w:ind w:left="0" w:right="0" w:hanging="0"/>
              <w:jc w:val="left"/>
              <w:textAlignment w:val="auto"/>
              <w:rPr/>
            </w:pPr>
            <w:r>
              <w:rPr/>
              <w:t>1953</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Georgia, Tbilisi</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lang w:val="en-US"/>
              </w:rPr>
              <w:t xml:space="preserve">Participarea </w:t>
            </w:r>
            <w:r>
              <w:rPr>
                <w:rStyle w:val="Hps"/>
                <w:rFonts w:cs="Times New Roman CE" w:ascii="Times New Roman CE" w:hAnsi="Times New Roman CE"/>
                <w:lang w:val="en-US"/>
              </w:rPr>
              <w:t>la Conferinţa „EaPEC 2016 – Ist Eastern Partnership conference on e-infrastructure”</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04.10.2016</w:t>
            </w:r>
          </w:p>
          <w:p>
            <w:pPr>
              <w:pStyle w:val="Normal"/>
              <w:widowControl/>
              <w:bidi w:val="0"/>
              <w:ind w:left="0" w:right="0" w:hanging="0"/>
              <w:jc w:val="center"/>
              <w:textAlignment w:val="auto"/>
              <w:rPr/>
            </w:pPr>
            <w:r>
              <w:rPr/>
              <w:t>08.10.2016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42.</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lang w:val="en-US"/>
              </w:rPr>
              <w:t>Petic Mircea,</w:t>
            </w:r>
          </w:p>
          <w:p>
            <w:pPr>
              <w:pStyle w:val="Normal"/>
              <w:widowControl/>
              <w:bidi w:val="0"/>
              <w:ind w:left="0" w:right="0" w:hanging="0"/>
              <w:jc w:val="left"/>
              <w:textAlignment w:val="auto"/>
              <w:rPr>
                <w:lang w:val="en-US"/>
              </w:rPr>
            </w:pPr>
            <w:r>
              <w:rPr>
                <w:lang w:val="en-US"/>
              </w:rPr>
              <w:t>dr. în inform., 1983</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Cehia,</w:t>
            </w:r>
          </w:p>
          <w:p>
            <w:pPr>
              <w:pStyle w:val="Normal"/>
              <w:widowControl/>
              <w:bidi w:val="0"/>
              <w:ind w:left="0" w:right="0" w:hanging="0"/>
              <w:jc w:val="left"/>
              <w:textAlignment w:val="auto"/>
              <w:rPr/>
            </w:pPr>
            <w:r>
              <w:rPr/>
              <w:t>Praga</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lang w:val="fr-FR"/>
              </w:rPr>
              <w:t xml:space="preserve">Participarea la </w:t>
            </w:r>
            <w:r>
              <w:rPr>
                <w:rStyle w:val="Hps"/>
                <w:rFonts w:cs="Times New Roman CE" w:ascii="Times New Roman CE" w:hAnsi="Times New Roman CE"/>
                <w:lang w:val="fr-FR"/>
              </w:rPr>
              <w:t>lucrările conferinţei internaţionale ICCSEE 2016</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05.10.2016</w:t>
            </w:r>
          </w:p>
          <w:p>
            <w:pPr>
              <w:pStyle w:val="Normal"/>
              <w:widowControl/>
              <w:bidi w:val="0"/>
              <w:ind w:left="0" w:right="0" w:hanging="0"/>
              <w:jc w:val="center"/>
              <w:textAlignment w:val="auto"/>
              <w:rPr/>
            </w:pPr>
            <w:r>
              <w:rPr/>
              <w:t>08.10.2016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43.</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rFonts w:cs="Times New Roman CE" w:ascii="Times New Roman CE" w:hAnsi="Times New Roman CE"/>
                <w:lang w:val="en-US"/>
              </w:rPr>
              <w:t>Ţiţchiev Inga,</w:t>
            </w:r>
          </w:p>
          <w:p>
            <w:pPr>
              <w:pStyle w:val="Normal"/>
              <w:widowControl/>
              <w:bidi w:val="0"/>
              <w:ind w:left="0" w:right="0" w:hanging="0"/>
              <w:jc w:val="left"/>
              <w:textAlignment w:val="auto"/>
              <w:rPr>
                <w:lang w:val="en-US"/>
              </w:rPr>
            </w:pPr>
            <w:r>
              <w:rPr>
                <w:lang w:val="en-US"/>
              </w:rPr>
              <w:t>dr. în inform.,</w:t>
            </w:r>
          </w:p>
          <w:p>
            <w:pPr>
              <w:pStyle w:val="Normal"/>
              <w:widowControl/>
              <w:bidi w:val="0"/>
              <w:ind w:left="0" w:right="0" w:hanging="0"/>
              <w:jc w:val="left"/>
              <w:textAlignment w:val="auto"/>
              <w:rPr>
                <w:lang w:val="en-US"/>
              </w:rPr>
            </w:pPr>
            <w:r>
              <w:rPr>
                <w:lang w:val="en-US"/>
              </w:rPr>
              <w:t>conf. univ., 1977</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Cehia,</w:t>
            </w:r>
          </w:p>
          <w:p>
            <w:pPr>
              <w:pStyle w:val="Normal"/>
              <w:widowControl/>
              <w:bidi w:val="0"/>
              <w:ind w:left="0" w:right="0" w:hanging="0"/>
              <w:jc w:val="left"/>
              <w:textAlignment w:val="auto"/>
              <w:rPr/>
            </w:pPr>
            <w:r>
              <w:rPr/>
              <w:t>Praga</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lang w:val="fr-FR"/>
              </w:rPr>
              <w:t xml:space="preserve">Participarea la </w:t>
            </w:r>
            <w:r>
              <w:rPr>
                <w:rStyle w:val="Hps"/>
                <w:rFonts w:cs="Times New Roman CE" w:ascii="Times New Roman CE" w:hAnsi="Times New Roman CE"/>
                <w:lang w:val="fr-FR"/>
              </w:rPr>
              <w:t>lucrările conferinţei internaţion</w:t>
            </w:r>
            <w:r>
              <w:rPr>
                <w:rStyle w:val="Hps"/>
                <w:lang w:val="fr-FR"/>
              </w:rPr>
              <w:t xml:space="preserve">ale ICCSEE 2016 </w:t>
            </w:r>
          </w:p>
          <w:p>
            <w:pPr>
              <w:pStyle w:val="Normal"/>
              <w:widowControl/>
              <w:bidi w:val="0"/>
              <w:ind w:left="0" w:right="0" w:hanging="0"/>
              <w:jc w:val="left"/>
              <w:textAlignment w:val="auto"/>
              <w:rPr>
                <w:rFonts w:ascii="Times New Roman" w:hAnsi="Times New Roman"/>
                <w:lang w:val="fr-FR"/>
              </w:rPr>
            </w:pPr>
            <w:r>
              <w:rPr>
                <w:lang w:val="fr-FR"/>
              </w:rPr>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05.10.2016</w:t>
            </w:r>
          </w:p>
          <w:p>
            <w:pPr>
              <w:pStyle w:val="Normal"/>
              <w:widowControl/>
              <w:bidi w:val="0"/>
              <w:ind w:left="0" w:right="0" w:hanging="0"/>
              <w:jc w:val="center"/>
              <w:textAlignment w:val="auto"/>
              <w:rPr/>
            </w:pPr>
            <w:r>
              <w:rPr/>
              <w:t>08.10.2016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44.</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Bogatencov Petru,</w:t>
            </w:r>
          </w:p>
          <w:p>
            <w:pPr>
              <w:pStyle w:val="Normal"/>
              <w:widowControl/>
              <w:bidi w:val="0"/>
              <w:ind w:left="0" w:right="0" w:hanging="0"/>
              <w:jc w:val="left"/>
              <w:textAlignment w:val="auto"/>
              <w:rPr/>
            </w:pPr>
            <w:r>
              <w:rPr>
                <w:rFonts w:cs="Times New Roman CE" w:ascii="Times New Roman CE" w:hAnsi="Times New Roman CE"/>
              </w:rPr>
              <w:t>dr.în teh., c.ş.s,. 1953</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Serbia, Belgrad</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 xml:space="preserve">Pentru a participa </w:t>
            </w:r>
            <w:r>
              <w:rPr>
                <w:rStyle w:val="Hps"/>
              </w:rPr>
              <w:t>la întîlnirea „VI-SEEM PSC03 Meeting”.</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18.10.2016</w:t>
            </w:r>
          </w:p>
          <w:p>
            <w:pPr>
              <w:pStyle w:val="Normal"/>
              <w:widowControl/>
              <w:bidi w:val="0"/>
              <w:ind w:left="0" w:right="0" w:hanging="0"/>
              <w:jc w:val="center"/>
              <w:textAlignment w:val="auto"/>
              <w:rPr/>
            </w:pPr>
            <w:r>
              <w:rPr/>
              <w:t>21.10.2016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45.</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Vulpe Nicolae,</w:t>
            </w:r>
          </w:p>
          <w:p>
            <w:pPr>
              <w:pStyle w:val="Normal"/>
              <w:widowControl/>
              <w:bidi w:val="0"/>
              <w:ind w:left="0" w:right="0" w:hanging="0"/>
              <w:jc w:val="left"/>
              <w:textAlignment w:val="auto"/>
              <w:rPr/>
            </w:pPr>
            <w:r>
              <w:rPr>
                <w:rFonts w:cs="Times New Roman CE" w:ascii="Times New Roman CE" w:hAnsi="Times New Roman CE"/>
              </w:rPr>
              <w:t>dr. hab. în şt.f.-m., prof. unif,, 1949</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lang w:val="en-US"/>
              </w:rPr>
              <w:t>Canada, Montreal, Universitatea din Montreal</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lang w:val="en-US"/>
              </w:rPr>
              <w:t xml:space="preserve"> </w:t>
            </w:r>
            <w:r>
              <w:rPr>
                <w:rFonts w:cs="Times New Roman CE" w:ascii="Times New Roman CE" w:hAnsi="Times New Roman CE"/>
              </w:rPr>
              <w:t>Pentru continuarea cercetărilor ştiinţifice în comun cu specialiştii din domeniu.</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28.10.2016</w:t>
            </w:r>
          </w:p>
          <w:p>
            <w:pPr>
              <w:pStyle w:val="Normal"/>
              <w:widowControl/>
              <w:bidi w:val="0"/>
              <w:ind w:left="0" w:right="0" w:hanging="0"/>
              <w:jc w:val="center"/>
              <w:textAlignment w:val="auto"/>
              <w:rPr/>
            </w:pPr>
            <w:r>
              <w:rPr/>
              <w:t>23.12.2016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46</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lang w:val="fr-FR"/>
              </w:rPr>
              <w:t>Naval Elvira,</w:t>
            </w:r>
          </w:p>
          <w:p>
            <w:pPr>
              <w:pStyle w:val="Normal"/>
              <w:widowControl/>
              <w:bidi w:val="0"/>
              <w:ind w:left="0" w:right="0" w:hanging="0"/>
              <w:jc w:val="left"/>
              <w:textAlignment w:val="auto"/>
              <w:rPr>
                <w:lang w:val="fr-FR"/>
              </w:rPr>
            </w:pPr>
            <w:r>
              <w:rPr>
                <w:lang w:val="fr-FR"/>
              </w:rPr>
              <w:t>dr. în inform.,conf. cerc., 1945</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rFonts w:cs="Times New Roman CE" w:ascii="Times New Roman CE" w:hAnsi="Times New Roman CE"/>
                <w:lang w:val="fr-FR"/>
              </w:rPr>
              <w:t>România, Băile Felix, Centrul de Formare APSAP</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lang w:val="fr-FR"/>
              </w:rPr>
              <w:t>Participarea la Prog</w:t>
            </w:r>
            <w:r>
              <w:rPr>
                <w:rFonts w:cs="Times New Roman CE" w:ascii="Times New Roman CE" w:hAnsi="Times New Roman CE"/>
                <w:lang w:val="fr-FR"/>
              </w:rPr>
              <w:t>ramul de formare „Fonduri Europene Instrumente, priorităţi şi cerinţe pentru accesarea şi implementarea proiectelor cu finanţare externă”</w:t>
            </w:r>
            <w:r>
              <w:rPr>
                <w:rStyle w:val="Hps"/>
                <w:lang w:val="fr-FR"/>
              </w:rPr>
              <w:t>.</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30.10.2016</w:t>
            </w:r>
          </w:p>
          <w:p>
            <w:pPr>
              <w:pStyle w:val="Normal"/>
              <w:widowControl/>
              <w:bidi w:val="0"/>
              <w:ind w:left="0" w:right="0" w:hanging="0"/>
              <w:jc w:val="center"/>
              <w:textAlignment w:val="auto"/>
              <w:rPr/>
            </w:pPr>
            <w:r>
              <w:rPr/>
              <w:t>06.11.2016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47.</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Albu Veaceslav,</w:t>
            </w:r>
          </w:p>
          <w:p>
            <w:pPr>
              <w:pStyle w:val="Normal"/>
              <w:widowControl/>
              <w:bidi w:val="0"/>
              <w:ind w:left="0" w:right="0" w:hanging="0"/>
              <w:jc w:val="left"/>
              <w:textAlignment w:val="auto"/>
              <w:rPr/>
            </w:pPr>
            <w:r>
              <w:rPr/>
              <w:t>1960</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lang w:val="ro-MD"/>
              </w:rPr>
              <w:t>România, Iaşi,</w:t>
            </w:r>
          </w:p>
          <w:p>
            <w:pPr>
              <w:pStyle w:val="Normal"/>
              <w:widowControl/>
              <w:bidi w:val="0"/>
              <w:ind w:left="0" w:right="0" w:hanging="0"/>
              <w:jc w:val="left"/>
              <w:textAlignment w:val="auto"/>
              <w:rPr>
                <w:lang w:val="fr-FR"/>
              </w:rPr>
            </w:pPr>
            <w:r>
              <w:rPr>
                <w:rFonts w:cs="Times New Roman CE" w:ascii="Times New Roman CE" w:hAnsi="Times New Roman CE"/>
                <w:lang w:val="fr-FR"/>
              </w:rPr>
              <w:t>Institutul de Informatică Teoretică al AR, filiala Iaş</w:t>
            </w:r>
            <w:r>
              <w:rPr>
                <w:lang w:val="fr-FR"/>
              </w:rPr>
              <w:t>i</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rFonts w:cs="Times New Roman CE" w:ascii="Times New Roman CE" w:hAnsi="Times New Roman CE"/>
                <w:lang w:val="en-US"/>
              </w:rPr>
              <w:t>Participarea cu referat la lucrările mesei rotunde „Using social networks for preventing and mitigating of the effects of the disasters”</w:t>
            </w:r>
            <w:r>
              <w:rPr>
                <w:rStyle w:val="Hps"/>
                <w:lang w:val="en-US"/>
              </w:rPr>
              <w:t>.</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02.11.2016</w:t>
            </w:r>
          </w:p>
          <w:p>
            <w:pPr>
              <w:pStyle w:val="Normal"/>
              <w:widowControl/>
              <w:bidi w:val="0"/>
              <w:ind w:left="0" w:right="0" w:hanging="0"/>
              <w:jc w:val="center"/>
              <w:textAlignment w:val="auto"/>
              <w:rPr/>
            </w:pPr>
            <w:r>
              <w:rPr/>
              <w:t>03.11.2016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48.</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rFonts w:cs="Times New Roman CE" w:ascii="Times New Roman CE" w:hAnsi="Times New Roman CE"/>
                <w:lang w:val="en-US"/>
              </w:rPr>
              <w:t>Ţiţchiev Inga</w:t>
            </w:r>
          </w:p>
          <w:p>
            <w:pPr>
              <w:pStyle w:val="Normal"/>
              <w:widowControl/>
              <w:bidi w:val="0"/>
              <w:ind w:left="0" w:right="0" w:hanging="0"/>
              <w:jc w:val="left"/>
              <w:textAlignment w:val="auto"/>
              <w:rPr>
                <w:lang w:val="en-US"/>
              </w:rPr>
            </w:pPr>
            <w:r>
              <w:rPr>
                <w:lang w:val="en-US"/>
              </w:rPr>
              <w:t>dr. în inform.,</w:t>
            </w:r>
          </w:p>
          <w:p>
            <w:pPr>
              <w:pStyle w:val="Normal"/>
              <w:widowControl/>
              <w:bidi w:val="0"/>
              <w:ind w:left="0" w:right="0" w:hanging="0"/>
              <w:jc w:val="left"/>
              <w:textAlignment w:val="auto"/>
              <w:rPr>
                <w:lang w:val="en-US"/>
              </w:rPr>
            </w:pPr>
            <w:r>
              <w:rPr>
                <w:lang w:val="en-US"/>
              </w:rPr>
              <w:t>conf. univ., 1977</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lang w:val="ro-MD"/>
              </w:rPr>
              <w:t>România, Iaşi,</w:t>
            </w:r>
          </w:p>
          <w:p>
            <w:pPr>
              <w:pStyle w:val="Normal"/>
              <w:widowControl/>
              <w:bidi w:val="0"/>
              <w:ind w:left="0" w:right="0" w:hanging="0"/>
              <w:jc w:val="left"/>
              <w:textAlignment w:val="auto"/>
              <w:rPr>
                <w:lang w:val="fr-FR"/>
              </w:rPr>
            </w:pPr>
            <w:r>
              <w:rPr>
                <w:rFonts w:cs="Times New Roman CE" w:ascii="Times New Roman CE" w:hAnsi="Times New Roman CE"/>
                <w:lang w:val="fr-FR"/>
              </w:rPr>
              <w:t>Institutul de Informatică Teoretică al AR, filiala Iaşi</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rFonts w:cs="Times New Roman CE" w:ascii="Times New Roman CE" w:hAnsi="Times New Roman CE"/>
                <w:lang w:val="en-US"/>
              </w:rPr>
              <w:t>Participarea cu referat la lucrările mesei rotunde „Using social networks for preventing and mitigating of the effects of the disasters”</w:t>
            </w:r>
            <w:r>
              <w:rPr>
                <w:rStyle w:val="Hps"/>
                <w:lang w:val="en-US"/>
              </w:rPr>
              <w:t>.</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02.11.2016</w:t>
            </w:r>
          </w:p>
          <w:p>
            <w:pPr>
              <w:pStyle w:val="Normal"/>
              <w:widowControl/>
              <w:bidi w:val="0"/>
              <w:ind w:left="0" w:right="0" w:hanging="0"/>
              <w:jc w:val="center"/>
              <w:textAlignment w:val="auto"/>
              <w:rPr/>
            </w:pPr>
            <w:r>
              <w:rPr/>
              <w:t>04.11.2016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49.</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lang w:val="en-US"/>
              </w:rPr>
              <w:t>Cojocaru Svetlana</w:t>
            </w:r>
          </w:p>
          <w:p>
            <w:pPr>
              <w:pStyle w:val="Normal"/>
              <w:widowControl/>
              <w:bidi w:val="0"/>
              <w:ind w:left="0" w:right="0" w:hanging="0"/>
              <w:jc w:val="left"/>
              <w:textAlignment w:val="auto"/>
              <w:rPr>
                <w:lang w:val="en-US"/>
              </w:rPr>
            </w:pPr>
            <w:r>
              <w:rPr>
                <w:lang w:val="en-US"/>
              </w:rPr>
              <w:t>dr. hab. în infor.</w:t>
            </w:r>
          </w:p>
          <w:p>
            <w:pPr>
              <w:pStyle w:val="Normal"/>
              <w:widowControl/>
              <w:bidi w:val="0"/>
              <w:ind w:left="0" w:right="0" w:hanging="0"/>
              <w:jc w:val="left"/>
              <w:textAlignment w:val="auto"/>
              <w:rPr/>
            </w:pPr>
            <w:r>
              <w:rPr/>
              <w:t>prof.cerc., 1952</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lang w:val="ro-MD"/>
              </w:rPr>
              <w:t>România, Iaşi,</w:t>
            </w:r>
          </w:p>
          <w:p>
            <w:pPr>
              <w:pStyle w:val="Normal"/>
              <w:widowControl/>
              <w:bidi w:val="0"/>
              <w:ind w:left="0" w:right="0" w:hanging="0"/>
              <w:jc w:val="left"/>
              <w:textAlignment w:val="auto"/>
              <w:rPr>
                <w:lang w:val="fr-FR"/>
              </w:rPr>
            </w:pPr>
            <w:r>
              <w:rPr>
                <w:rFonts w:cs="Times New Roman CE" w:ascii="Times New Roman CE" w:hAnsi="Times New Roman CE"/>
                <w:lang w:val="fr-FR"/>
              </w:rPr>
              <w:t>Institutul de Informatică Teoretică al AR, filiala Iaşi</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rFonts w:cs="Times New Roman CE" w:ascii="Times New Roman CE" w:hAnsi="Times New Roman CE"/>
                <w:lang w:val="en-US"/>
              </w:rPr>
              <w:t xml:space="preserve">Participarea cu referat la lucrările mesei rotunde „Using social networks for preventing and mitigating of the effects of the disasters”, precum şi discuţii cu prof. D.Cristea şi dr. </w:t>
            </w:r>
            <w:r>
              <w:rPr>
                <w:lang w:val="fr-FR"/>
              </w:rPr>
              <w:t xml:space="preserve">V.Apopei </w:t>
            </w:r>
            <w:r>
              <w:rPr>
                <w:rFonts w:cs="Times New Roman CE" w:ascii="Times New Roman CE" w:hAnsi="Times New Roman CE"/>
                <w:lang w:val="fr-FR"/>
              </w:rPr>
              <w:t>în privinţa posibilităţii formării unui consorţiu pentu prezentarea unui proiect de cercetare în cadrul HORIZON-2020</w:t>
            </w:r>
            <w:r>
              <w:rPr>
                <w:rStyle w:val="Hps"/>
                <w:lang w:val="fr-FR"/>
              </w:rPr>
              <w:t>.</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02.11.2016</w:t>
            </w:r>
          </w:p>
          <w:p>
            <w:pPr>
              <w:pStyle w:val="Normal"/>
              <w:widowControl/>
              <w:bidi w:val="0"/>
              <w:ind w:left="0" w:right="0" w:hanging="0"/>
              <w:jc w:val="center"/>
              <w:textAlignment w:val="auto"/>
              <w:rPr/>
            </w:pPr>
            <w:r>
              <w:rPr/>
              <w:t>05.11.2016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50.</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 xml:space="preserve">Gaindric Constantin </w:t>
            </w:r>
          </w:p>
          <w:p>
            <w:pPr>
              <w:pStyle w:val="Normal"/>
              <w:widowControl/>
              <w:bidi w:val="0"/>
              <w:ind w:left="0" w:right="0" w:hanging="0"/>
              <w:jc w:val="left"/>
              <w:textAlignment w:val="auto"/>
              <w:rPr/>
            </w:pPr>
            <w:r>
              <w:rPr/>
              <w:t xml:space="preserve"> </w:t>
            </w:r>
            <w:r>
              <w:rPr/>
              <w:t>dr. hab. în inform.,</w:t>
            </w:r>
          </w:p>
          <w:p>
            <w:pPr>
              <w:pStyle w:val="Normal"/>
              <w:widowControl/>
              <w:bidi w:val="0"/>
              <w:ind w:left="0" w:right="0" w:hanging="0"/>
              <w:jc w:val="left"/>
              <w:textAlignment w:val="auto"/>
              <w:rPr/>
            </w:pPr>
            <w:r>
              <w:rPr/>
              <w:t xml:space="preserve"> </w:t>
            </w:r>
            <w:r>
              <w:rPr/>
              <w:t xml:space="preserve">prof. univ., </w:t>
            </w:r>
            <w:r>
              <w:rPr>
                <w:lang w:val="ro-MD"/>
              </w:rPr>
              <w:t>1941</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lang w:val="ro-MD"/>
              </w:rPr>
              <w:t>România, Iaşi,</w:t>
            </w:r>
          </w:p>
          <w:p>
            <w:pPr>
              <w:pStyle w:val="Normal"/>
              <w:widowControl/>
              <w:bidi w:val="0"/>
              <w:ind w:left="0" w:right="0" w:hanging="0"/>
              <w:jc w:val="left"/>
              <w:textAlignment w:val="auto"/>
              <w:rPr/>
            </w:pPr>
            <w:r>
              <w:rPr/>
              <w:t>Universitatea „A.I. Cuza”</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lang w:val="fr-FR"/>
              </w:rPr>
              <w:t>Pentru a</w:t>
            </w:r>
            <w:r>
              <w:rPr>
                <w:rFonts w:cs="Times New Roman CE" w:ascii="Times New Roman CE" w:hAnsi="Times New Roman CE"/>
                <w:lang w:val="fr-FR"/>
              </w:rPr>
              <w:t xml:space="preserve"> găsi teme comune de cercetare şi discuţii cu prof. H.Costin şi A.Iftene </w:t>
            </w:r>
            <w:r>
              <w:rPr>
                <w:rStyle w:val="Hps"/>
                <w:lang w:val="fr-FR"/>
              </w:rPr>
              <w:t>pentru prezentarea unui proiect bilateral de cercetare în cadrul Horizon-2020</w:t>
            </w:r>
            <w:r>
              <w:rPr>
                <w:rStyle w:val="Hps"/>
                <w:sz w:val="28"/>
                <w:szCs w:val="28"/>
                <w:lang w:val="fr-FR"/>
              </w:rPr>
              <w:t>.</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02.11.2016</w:t>
            </w:r>
          </w:p>
          <w:p>
            <w:pPr>
              <w:pStyle w:val="Normal"/>
              <w:widowControl/>
              <w:bidi w:val="0"/>
              <w:ind w:left="0" w:right="0" w:hanging="0"/>
              <w:jc w:val="center"/>
              <w:textAlignment w:val="auto"/>
              <w:rPr/>
            </w:pPr>
            <w:r>
              <w:rPr/>
              <w:t>05.11.2016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51.</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Ursu Lidia,</w:t>
            </w:r>
          </w:p>
          <w:p>
            <w:pPr>
              <w:pStyle w:val="Normal"/>
              <w:widowControl/>
              <w:bidi w:val="0"/>
              <w:ind w:left="0" w:right="0" w:hanging="0"/>
              <w:jc w:val="left"/>
              <w:textAlignment w:val="auto"/>
              <w:rPr/>
            </w:pPr>
            <w:r>
              <w:rPr/>
              <w:t>1986</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rFonts w:cs="Times New Roman CE" w:ascii="Times New Roman CE" w:hAnsi="Times New Roman CE"/>
                <w:lang w:val="fr-FR"/>
              </w:rPr>
              <w:t>România, Băile Felix, Centrul de Formare APSAP</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 xml:space="preserve">Participarea </w:t>
            </w:r>
            <w:r>
              <w:rPr>
                <w:rFonts w:cs="Times New Roman CE" w:ascii="Times New Roman CE" w:hAnsi="Times New Roman CE"/>
              </w:rPr>
              <w:t>la cursul „Management financiar – bugetar, contabilitatea instituţiilor publice şi a proiectelor cu finanţare europeană”</w:t>
            </w:r>
            <w:r>
              <w:rPr>
                <w:rStyle w:val="Hps"/>
              </w:rPr>
              <w:t>.</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06.11.2016</w:t>
            </w:r>
          </w:p>
          <w:p>
            <w:pPr>
              <w:pStyle w:val="Normal"/>
              <w:widowControl/>
              <w:bidi w:val="0"/>
              <w:ind w:left="0" w:right="0" w:hanging="0"/>
              <w:jc w:val="center"/>
              <w:textAlignment w:val="auto"/>
              <w:rPr/>
            </w:pPr>
            <w:r>
              <w:rPr/>
              <w:t>13.11.2016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52.</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Bogatencov Petru,</w:t>
            </w:r>
          </w:p>
          <w:p>
            <w:pPr>
              <w:pStyle w:val="Normal"/>
              <w:widowControl/>
              <w:bidi w:val="0"/>
              <w:ind w:left="0" w:right="0" w:hanging="0"/>
              <w:jc w:val="left"/>
              <w:textAlignment w:val="auto"/>
              <w:rPr/>
            </w:pPr>
            <w:r>
              <w:rPr>
                <w:rFonts w:cs="Times New Roman CE" w:ascii="Times New Roman CE" w:hAnsi="Times New Roman CE"/>
              </w:rPr>
              <w:t>dr. în şt. teh., c.ş.s.,</w:t>
            </w:r>
          </w:p>
          <w:p>
            <w:pPr>
              <w:pStyle w:val="Normal"/>
              <w:widowControl/>
              <w:bidi w:val="0"/>
              <w:ind w:left="0" w:right="0" w:hanging="0"/>
              <w:jc w:val="left"/>
              <w:textAlignment w:val="auto"/>
              <w:rPr/>
            </w:pPr>
            <w:r>
              <w:rPr/>
              <w:t>1953</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Olanda, Utrecht</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lang w:val="en-US"/>
              </w:rPr>
              <w:t xml:space="preserve">Participarea </w:t>
            </w:r>
            <w:r>
              <w:rPr>
                <w:rStyle w:val="Hps"/>
                <w:lang w:val="en-US"/>
              </w:rPr>
              <w:t>la întâlnirea „GEANT project A</w:t>
            </w:r>
            <w:r>
              <w:rPr>
                <w:rStyle w:val="Hps"/>
                <w:rFonts w:cs="Times New Roman CE" w:ascii="Times New Roman CE" w:hAnsi="Times New Roman CE"/>
                <w:lang w:val="en-US"/>
              </w:rPr>
              <w:t>ssembly meeting” şi „E@P_Connect project work meeting”.</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08.11.2016</w:t>
            </w:r>
          </w:p>
          <w:p>
            <w:pPr>
              <w:pStyle w:val="Normal"/>
              <w:widowControl/>
              <w:bidi w:val="0"/>
              <w:ind w:left="0" w:right="0" w:hanging="0"/>
              <w:jc w:val="center"/>
              <w:textAlignment w:val="auto"/>
              <w:rPr/>
            </w:pPr>
            <w:r>
              <w:rPr/>
              <w:t>11.11.2016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53.</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Bogatencov Petru,</w:t>
            </w:r>
          </w:p>
          <w:p>
            <w:pPr>
              <w:pStyle w:val="Normal"/>
              <w:widowControl/>
              <w:bidi w:val="0"/>
              <w:ind w:left="0" w:right="0" w:hanging="0"/>
              <w:jc w:val="left"/>
              <w:textAlignment w:val="auto"/>
              <w:rPr/>
            </w:pPr>
            <w:r>
              <w:rPr>
                <w:rFonts w:cs="Times New Roman CE" w:ascii="Times New Roman CE" w:hAnsi="Times New Roman CE"/>
              </w:rPr>
              <w:t>dr. în teh., c.ş.s.,1953</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Begia, Brussels</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lang w:val="fr-FR"/>
              </w:rPr>
              <w:t>Participarea</w:t>
            </w:r>
            <w:r>
              <w:rPr>
                <w:rStyle w:val="Hps"/>
                <w:lang w:val="fr-FR"/>
              </w:rPr>
              <w:t xml:space="preserve"> la întîlnirea „H2020 Future Internet Forum</w:t>
            </w:r>
            <w:r>
              <w:rPr>
                <w:rStyle w:val="Hps"/>
                <w:sz w:val="28"/>
                <w:szCs w:val="28"/>
                <w:lang w:val="fr-FR"/>
              </w:rPr>
              <w:t>”.</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15.11.2016</w:t>
            </w:r>
          </w:p>
          <w:p>
            <w:pPr>
              <w:pStyle w:val="Normal"/>
              <w:widowControl/>
              <w:bidi w:val="0"/>
              <w:ind w:left="0" w:right="0" w:hanging="0"/>
              <w:jc w:val="center"/>
              <w:textAlignment w:val="auto"/>
              <w:rPr/>
            </w:pPr>
            <w:r>
              <w:rPr/>
              <w:t>17.11.2016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54.</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lang w:val="ro-MD"/>
              </w:rPr>
              <w:t>Alhazov Artiom,</w:t>
            </w:r>
          </w:p>
          <w:p>
            <w:pPr>
              <w:pStyle w:val="Normal"/>
              <w:widowControl/>
              <w:bidi w:val="0"/>
              <w:ind w:left="0" w:right="0" w:hanging="0"/>
              <w:jc w:val="left"/>
              <w:textAlignment w:val="auto"/>
              <w:rPr>
                <w:lang w:val="ro-MD"/>
              </w:rPr>
            </w:pPr>
            <w:r>
              <w:rPr>
                <w:rFonts w:cs="Times New Roman CE" w:ascii="Times New Roman CE" w:hAnsi="Times New Roman CE"/>
                <w:lang w:val="ro-MD"/>
              </w:rPr>
              <w:t>dr.h. în info</w:t>
            </w:r>
            <w:r>
              <w:rPr>
                <w:lang w:val="ro-MD"/>
              </w:rPr>
              <w:t>r., 1979</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lang w:val="en-US"/>
              </w:rPr>
              <w:t>China, Huazhong University of Science and</w:t>
            </w:r>
            <w:r>
              <w:rPr>
                <w:sz w:val="28"/>
                <w:szCs w:val="28"/>
                <w:lang w:val="en-US"/>
              </w:rPr>
              <w:t xml:space="preserve"> </w:t>
            </w:r>
            <w:r>
              <w:rPr>
                <w:lang w:val="en-US"/>
              </w:rPr>
              <w:t>Technology</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rFonts w:cs="Times New Roman CE" w:ascii="Times New Roman CE" w:hAnsi="Times New Roman CE"/>
                <w:lang w:val="en-US"/>
              </w:rPr>
              <w:t>Pentru efectuarea cercetărilor cu Dr. Linqiang Pan şi grupul lui în Huazhong University of Science and Technology, Wuhan</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15.11.2016</w:t>
            </w:r>
          </w:p>
          <w:p>
            <w:pPr>
              <w:pStyle w:val="Normal"/>
              <w:widowControl/>
              <w:bidi w:val="0"/>
              <w:ind w:left="0" w:right="0" w:hanging="0"/>
              <w:jc w:val="center"/>
              <w:textAlignment w:val="auto"/>
              <w:rPr/>
            </w:pPr>
            <w:r>
              <w:rPr/>
              <w:t>14.01.2017</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55.</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Macari Dorin, 1993</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lang w:val="ro-MD"/>
              </w:rPr>
              <w:t>România, Iaşi,</w:t>
            </w:r>
          </w:p>
          <w:p>
            <w:pPr>
              <w:pStyle w:val="Normal"/>
              <w:widowControl/>
              <w:bidi w:val="0"/>
              <w:ind w:left="0" w:right="0" w:hanging="0"/>
              <w:jc w:val="left"/>
              <w:textAlignment w:val="auto"/>
              <w:rPr/>
            </w:pPr>
            <w:r>
              <w:rPr/>
              <w:t>Universitatea „A.I. Cuza”</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lang w:val="en-US"/>
              </w:rPr>
              <w:t>Participarea la Workshop-ul BringITon</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17.11.2016</w:t>
            </w:r>
          </w:p>
          <w:p>
            <w:pPr>
              <w:pStyle w:val="Normal"/>
              <w:widowControl/>
              <w:bidi w:val="0"/>
              <w:ind w:left="0" w:right="0" w:hanging="0"/>
              <w:jc w:val="center"/>
              <w:textAlignment w:val="auto"/>
              <w:rPr/>
            </w:pPr>
            <w:r>
              <w:rPr/>
              <w:t>19.11.2016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56.</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Bumbu Tudor</w:t>
            </w:r>
          </w:p>
          <w:p>
            <w:pPr>
              <w:pStyle w:val="Normal"/>
              <w:widowControl/>
              <w:bidi w:val="0"/>
              <w:ind w:left="0" w:right="0" w:hanging="0"/>
              <w:jc w:val="left"/>
              <w:textAlignment w:val="auto"/>
              <w:rPr/>
            </w:pPr>
            <w:r>
              <w:rPr/>
              <w:t>1992</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lang w:val="ro-MD"/>
              </w:rPr>
              <w:t>România, Iaşi,</w:t>
            </w:r>
          </w:p>
          <w:p>
            <w:pPr>
              <w:pStyle w:val="Normal"/>
              <w:widowControl/>
              <w:bidi w:val="0"/>
              <w:ind w:left="0" w:right="0" w:hanging="0"/>
              <w:jc w:val="left"/>
              <w:textAlignment w:val="auto"/>
              <w:rPr/>
            </w:pPr>
            <w:r>
              <w:rPr/>
              <w:t>Universitatea „A.I. Cuza”</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lang w:val="en-US"/>
              </w:rPr>
              <w:t>Participarea la Workshop-ul BringITon</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17.11.2016</w:t>
            </w:r>
          </w:p>
          <w:p>
            <w:pPr>
              <w:pStyle w:val="Normal"/>
              <w:widowControl/>
              <w:bidi w:val="0"/>
              <w:ind w:left="0" w:right="0" w:hanging="0"/>
              <w:jc w:val="center"/>
              <w:textAlignment w:val="auto"/>
              <w:rPr/>
            </w:pPr>
            <w:r>
              <w:rPr/>
              <w:t>19.11.2016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57.</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rFonts w:cs="Times New Roman CE" w:ascii="Times New Roman CE" w:hAnsi="Times New Roman CE"/>
              </w:rPr>
              <w:t>Ungur Ştefan</w:t>
            </w:r>
          </w:p>
          <w:p>
            <w:pPr>
              <w:pStyle w:val="Normal"/>
              <w:widowControl/>
              <w:bidi w:val="0"/>
              <w:ind w:left="0" w:right="0" w:hanging="0"/>
              <w:jc w:val="left"/>
              <w:textAlignment w:val="auto"/>
              <w:rPr/>
            </w:pPr>
            <w:r>
              <w:rPr/>
              <w:t>1995</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lang w:val="ro-MD"/>
              </w:rPr>
              <w:t>România, Iaşi,</w:t>
            </w:r>
          </w:p>
          <w:p>
            <w:pPr>
              <w:pStyle w:val="Normal"/>
              <w:widowControl/>
              <w:bidi w:val="0"/>
              <w:ind w:left="0" w:right="0" w:hanging="0"/>
              <w:jc w:val="left"/>
              <w:textAlignment w:val="auto"/>
              <w:rPr/>
            </w:pPr>
            <w:r>
              <w:rPr/>
              <w:t>Universitatea „A.I. Cuza”</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lang w:val="en-US"/>
              </w:rPr>
              <w:t>Participarea la Workshop-ul BringITon</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17.11.2016</w:t>
            </w:r>
          </w:p>
          <w:p>
            <w:pPr>
              <w:pStyle w:val="Normal"/>
              <w:widowControl/>
              <w:bidi w:val="0"/>
              <w:ind w:left="0" w:right="0" w:hanging="0"/>
              <w:jc w:val="center"/>
              <w:textAlignment w:val="auto"/>
              <w:rPr/>
            </w:pPr>
            <w:r>
              <w:rPr/>
              <w:t>19.11.2016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58.</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Secrieru Iulian, c.s., 1971</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lang w:val="ro-MD"/>
              </w:rPr>
              <w:t>România, Iaşi,</w:t>
            </w:r>
          </w:p>
          <w:p>
            <w:pPr>
              <w:pStyle w:val="Normal"/>
              <w:widowControl/>
              <w:bidi w:val="0"/>
              <w:ind w:left="0" w:right="0" w:hanging="0"/>
              <w:jc w:val="left"/>
              <w:textAlignment w:val="auto"/>
              <w:rPr/>
            </w:pPr>
            <w:r>
              <w:rPr/>
              <w:t>Universitatea „A.I. Cuza”</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lang w:val="en-US"/>
              </w:rPr>
              <w:t>Participarea la Workshop-ul BringITon</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18.11.2016</w:t>
            </w:r>
          </w:p>
          <w:p>
            <w:pPr>
              <w:pStyle w:val="Normal"/>
              <w:widowControl/>
              <w:bidi w:val="0"/>
              <w:ind w:left="0" w:right="0" w:hanging="0"/>
              <w:jc w:val="center"/>
              <w:textAlignment w:val="auto"/>
              <w:rPr/>
            </w:pPr>
            <w:r>
              <w:rPr/>
              <w:t>18.11.2016</w:t>
            </w:r>
          </w:p>
        </w:tc>
      </w:tr>
      <w:tr>
        <w:trPr/>
        <w:tc>
          <w:tcPr>
            <w:tcW w:w="6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59.</w:t>
            </w:r>
          </w:p>
        </w:tc>
        <w:tc>
          <w:tcPr>
            <w:tcW w:w="230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Popcova Olga, c.s., 1979</w:t>
            </w:r>
          </w:p>
        </w:tc>
        <w:tc>
          <w:tcPr>
            <w:tcW w:w="222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lang w:val="ro-MD"/>
              </w:rPr>
              <w:t>România, Iaşi,</w:t>
            </w:r>
          </w:p>
          <w:p>
            <w:pPr>
              <w:pStyle w:val="Normal"/>
              <w:widowControl/>
              <w:bidi w:val="0"/>
              <w:ind w:left="0" w:right="0" w:hanging="0"/>
              <w:jc w:val="left"/>
              <w:textAlignment w:val="auto"/>
              <w:rPr/>
            </w:pPr>
            <w:r>
              <w:rPr/>
              <w:t>Universitatea „A.I. Cuza”</w:t>
            </w:r>
          </w:p>
        </w:tc>
        <w:tc>
          <w:tcPr>
            <w:tcW w:w="368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lang w:val="en-US"/>
              </w:rPr>
              <w:t>Participarea la Workshop-ul BringITon</w:t>
            </w:r>
          </w:p>
        </w:tc>
        <w:tc>
          <w:tcPr>
            <w:tcW w:w="141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t>18.11.2016</w:t>
            </w:r>
          </w:p>
          <w:p>
            <w:pPr>
              <w:pStyle w:val="Normal"/>
              <w:widowControl/>
              <w:bidi w:val="0"/>
              <w:ind w:left="0" w:right="0" w:hanging="0"/>
              <w:jc w:val="center"/>
              <w:textAlignment w:val="auto"/>
              <w:rPr/>
            </w:pPr>
            <w:r>
              <w:rPr/>
              <w:t>18.11.2016</w:t>
            </w:r>
          </w:p>
        </w:tc>
      </w:tr>
    </w:tbl>
    <w:p>
      <w:pPr>
        <w:pStyle w:val="Normal"/>
        <w:widowControl/>
        <w:bidi w:val="0"/>
        <w:ind w:left="0" w:right="0" w:hanging="0"/>
        <w:jc w:val="left"/>
        <w:textAlignment w:val="auto"/>
        <w:rPr>
          <w:rFonts w:ascii="Times New Roman" w:hAnsi="Times New Roman"/>
          <w:i/>
          <w:i/>
          <w:sz w:val="22"/>
          <w:szCs w:val="22"/>
          <w:lang w:val="ro-MD"/>
        </w:rPr>
      </w:pPr>
      <w:r>
        <w:rPr>
          <w:i/>
          <w:sz w:val="22"/>
          <w:szCs w:val="22"/>
          <w:lang w:val="ro-MD"/>
        </w:rPr>
      </w:r>
    </w:p>
    <w:p>
      <w:pPr>
        <w:pStyle w:val="Normal"/>
        <w:widowControl/>
        <w:bidi w:val="0"/>
        <w:ind w:left="426" w:right="0" w:hanging="0"/>
        <w:jc w:val="left"/>
        <w:textAlignment w:val="auto"/>
        <w:rPr>
          <w:lang w:val="ro-MD"/>
        </w:rPr>
      </w:pPr>
      <w:r>
        <w:rPr>
          <w:sz w:val="22"/>
          <w:szCs w:val="22"/>
          <w:lang w:val="ro-MD"/>
        </w:rPr>
        <w:t xml:space="preserve">Directorul </w:t>
      </w:r>
      <w:r>
        <w:rPr>
          <w:i/>
          <w:sz w:val="22"/>
          <w:szCs w:val="22"/>
          <w:lang w:val="ro-MD"/>
        </w:rPr>
        <w:t xml:space="preserve">________________________________________ </w:t>
      </w:r>
      <w:r>
        <w:rPr>
          <w:sz w:val="22"/>
          <w:szCs w:val="22"/>
          <w:lang w:val="ro-MD"/>
        </w:rPr>
        <w:t>COJOCARU Svetlana</w:t>
      </w:r>
    </w:p>
    <w:p>
      <w:pPr>
        <w:pStyle w:val="Normal"/>
        <w:widowControl/>
        <w:bidi w:val="0"/>
        <w:ind w:left="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0" w:right="0" w:hanging="0"/>
        <w:jc w:val="left"/>
        <w:textAlignment w:val="auto"/>
        <w:rPr>
          <w:rFonts w:ascii="Times New Roman" w:hAnsi="Times New Roman"/>
          <w:i/>
          <w:i/>
          <w:sz w:val="22"/>
          <w:szCs w:val="22"/>
          <w:lang w:val="ro-MD"/>
        </w:rPr>
      </w:pPr>
      <w:r>
        <w:rPr>
          <w:i/>
          <w:sz w:val="22"/>
          <w:szCs w:val="22"/>
          <w:lang w:val="ro-MD"/>
        </w:rPr>
      </w:r>
    </w:p>
    <w:p>
      <w:pPr>
        <w:pStyle w:val="Normal"/>
        <w:widowControl/>
        <w:bidi w:val="0"/>
        <w:ind w:left="426" w:right="0" w:hanging="0"/>
        <w:jc w:val="left"/>
        <w:textAlignment w:val="auto"/>
        <w:rPr>
          <w:lang w:val="ro-MD"/>
        </w:rPr>
      </w:pPr>
      <w:r>
        <w:rPr>
          <w:rFonts w:cs="Times New Roman CE" w:ascii="Times New Roman CE" w:hAnsi="Times New Roman CE"/>
          <w:sz w:val="22"/>
          <w:szCs w:val="22"/>
          <w:lang w:val="ro-MD"/>
        </w:rPr>
        <w:t>Secretarul ştiinţific</w:t>
      </w:r>
      <w:r>
        <w:rPr>
          <w:i/>
          <w:sz w:val="22"/>
          <w:szCs w:val="22"/>
          <w:lang w:val="ro-MD"/>
        </w:rPr>
        <w:t xml:space="preserve">_________________________________ </w:t>
      </w:r>
      <w:r>
        <w:rPr>
          <w:sz w:val="22"/>
          <w:szCs w:val="22"/>
          <w:lang w:val="ro-MD"/>
        </w:rPr>
        <w:t>NAVAL Elvira</w:t>
      </w:r>
    </w:p>
    <w:p>
      <w:pPr>
        <w:pStyle w:val="Normal"/>
        <w:widowControl/>
        <w:bidi w:val="0"/>
        <w:ind w:left="2760" w:right="0" w:hanging="0"/>
        <w:jc w:val="left"/>
        <w:textAlignment w:val="auto"/>
        <w:rPr>
          <w:lang w:val="ro-MD"/>
        </w:rPr>
      </w:pPr>
      <w:r>
        <w:rPr>
          <w:i/>
          <w:sz w:val="22"/>
          <w:szCs w:val="22"/>
          <w:lang w:val="ro-MD"/>
        </w:rPr>
        <w:t xml:space="preserve">                 </w:t>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sectPr>
          <w:type w:val="continuous"/>
          <w:pgSz w:w="12240" w:h="15840"/>
          <w:pgMar w:left="1134" w:right="1134" w:header="720" w:top="1304" w:footer="720" w:bottom="993" w:gutter="0"/>
          <w:formProt w:val="false"/>
          <w:textDirection w:val="lrTb"/>
          <w:docGrid w:type="default" w:linePitch="240" w:charSpace="4294961151"/>
        </w:sect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lang w:val="ro-MD"/>
        </w:rPr>
      </w:pPr>
      <w:bookmarkStart w:id="183" w:name="_Forma_9"/>
      <w:bookmarkStart w:id="184" w:name="_Forma_9"/>
      <w:bookmarkEnd w:id="184"/>
      <w:r>
        <w:rPr>
          <w:lang w:val="ro-MD"/>
        </w:rPr>
      </w:r>
    </w:p>
    <w:p>
      <w:pPr>
        <w:pStyle w:val="1"/>
        <w:keepNext/>
        <w:widowControl/>
        <w:numPr>
          <w:ilvl w:val="0"/>
          <w:numId w:val="0"/>
        </w:numPr>
        <w:bidi w:val="0"/>
        <w:spacing w:before="0" w:after="0"/>
        <w:ind w:left="0" w:right="0" w:hanging="0"/>
        <w:jc w:val="left"/>
        <w:textAlignment w:val="auto"/>
        <w:outlineLvl w:val="0"/>
        <w:rPr>
          <w:b w:val="false"/>
          <w:b w:val="false"/>
          <w:lang w:val="en-US"/>
        </w:rPr>
      </w:pPr>
      <w:bookmarkStart w:id="185" w:name="_Toc469651926"/>
      <w:r>
        <w:rPr>
          <w:rFonts w:cs="Times New Roman" w:ascii="Times New Roman" w:hAnsi="Times New Roman"/>
          <w:b w:val="false"/>
          <w:lang w:val="en-US"/>
        </w:rPr>
        <w:t xml:space="preserve">Date  </w:t>
      </w:r>
      <w:r>
        <w:rPr>
          <w:rFonts w:cs="Times New Roman CE" w:ascii="Times New Roman CE" w:hAnsi="Times New Roman CE"/>
          <w:b w:val="false"/>
          <w:lang w:val="en-US"/>
        </w:rPr>
        <w:t xml:space="preserve">privind vizitele savanţilor şi specialiştilor de peste hotare în </w:t>
      </w:r>
      <w:bookmarkEnd w:id="185"/>
      <w:r>
        <w:rPr>
          <w:rFonts w:cs="Times New Roman" w:ascii="Times New Roman" w:hAnsi="Times New Roman"/>
          <w:b w:val="false"/>
          <w:lang w:val="en-US"/>
        </w:rPr>
        <w:t>IMI 2016 (Forma 7.2.)</w:t>
      </w:r>
    </w:p>
    <w:p>
      <w:pPr>
        <w:pStyle w:val="Normal"/>
        <w:widowControl/>
        <w:bidi w:val="0"/>
        <w:ind w:left="0" w:right="0" w:hanging="0"/>
        <w:jc w:val="right"/>
        <w:textAlignment w:val="auto"/>
        <w:rPr>
          <w:lang w:val="ro-MD"/>
        </w:rPr>
      </w:pPr>
      <w:r>
        <w:rPr>
          <w:bCs/>
          <w:i/>
          <w:sz w:val="22"/>
          <w:szCs w:val="22"/>
          <w:lang w:val="ro-MD"/>
        </w:rPr>
        <w:t>Institutul</w:t>
      </w:r>
      <w:r>
        <w:rPr>
          <w:bCs/>
          <w:i/>
          <w:sz w:val="22"/>
          <w:szCs w:val="22"/>
          <w:lang w:val="fr-FR"/>
        </w:rPr>
        <w:t>ui</w:t>
      </w:r>
      <w:r>
        <w:rPr>
          <w:rFonts w:cs="Times New Roman CE" w:ascii="Times New Roman CE" w:hAnsi="Times New Roman CE"/>
          <w:bCs/>
          <w:i/>
          <w:sz w:val="22"/>
          <w:szCs w:val="22"/>
          <w:lang w:val="ro-MD"/>
        </w:rPr>
        <w:t xml:space="preserve"> de Matematică şi Informatic</w:t>
      </w:r>
      <w:r>
        <w:rPr>
          <w:rFonts w:cs="Times New Roman CE" w:ascii="Times New Roman CE" w:hAnsi="Times New Roman CE"/>
          <w:bCs/>
          <w:i/>
          <w:sz w:val="22"/>
          <w:szCs w:val="22"/>
          <w:lang w:val="ro-RO"/>
        </w:rPr>
        <w:t>ă</w:t>
      </w:r>
      <w:r>
        <w:rPr>
          <w:rFonts w:cs="Times New Roman CE" w:ascii="Times New Roman CE" w:hAnsi="Times New Roman CE"/>
          <w:bCs/>
          <w:i/>
          <w:sz w:val="22"/>
          <w:szCs w:val="22"/>
          <w:lang w:val="ro-MD"/>
        </w:rPr>
        <w:t xml:space="preserve"> al AŞ M</w:t>
      </w:r>
    </w:p>
    <w:p>
      <w:pPr>
        <w:pStyle w:val="Normal"/>
        <w:widowControl/>
        <w:bidi w:val="0"/>
        <w:ind w:left="0" w:right="0" w:hanging="0"/>
        <w:jc w:val="right"/>
        <w:textAlignment w:val="auto"/>
        <w:rPr>
          <w:rFonts w:ascii="Times New Roman" w:hAnsi="Times New Roman"/>
          <w:sz w:val="22"/>
          <w:szCs w:val="22"/>
          <w:lang w:val="ro-MD"/>
        </w:rPr>
      </w:pPr>
      <w:r>
        <w:rPr>
          <w:sz w:val="22"/>
          <w:szCs w:val="22"/>
          <w:lang w:val="ro-MD"/>
        </w:rPr>
      </w:r>
    </w:p>
    <w:tbl>
      <w:tblPr>
        <w:tblW w:w="10065" w:type="dxa"/>
        <w:jc w:val="left"/>
        <w:tblInd w:w="-426" w:type="dxa"/>
        <w:tblBorders>
          <w:top w:val="single" w:sz="4" w:space="0" w:color="000001"/>
          <w:left w:val="single" w:sz="4" w:space="0" w:color="000001"/>
          <w:bottom w:val="single" w:sz="4" w:space="0" w:color="000001"/>
          <w:insideH w:val="single" w:sz="4" w:space="0" w:color="000001"/>
        </w:tblBorders>
        <w:tblCellMar>
          <w:top w:w="0" w:type="dxa"/>
          <w:left w:w="103" w:type="dxa"/>
          <w:bottom w:w="0" w:type="dxa"/>
          <w:right w:w="108" w:type="dxa"/>
        </w:tblCellMar>
      </w:tblPr>
      <w:tblGrid>
        <w:gridCol w:w="534"/>
        <w:gridCol w:w="2160"/>
        <w:gridCol w:w="2150"/>
        <w:gridCol w:w="3408"/>
        <w:gridCol w:w="1813"/>
      </w:tblGrid>
      <w:tr>
        <w:trPr/>
        <w:tc>
          <w:tcPr>
            <w:tcW w:w="534"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center"/>
              <w:textAlignment w:val="auto"/>
              <w:rPr>
                <w:lang w:val="ro-MD"/>
              </w:rPr>
            </w:pPr>
            <w:r>
              <w:rPr>
                <w:sz w:val="22"/>
                <w:szCs w:val="22"/>
                <w:lang w:val="ro-MD"/>
              </w:rPr>
              <w:t>Nr. d/o</w:t>
            </w:r>
          </w:p>
        </w:tc>
        <w:tc>
          <w:tcPr>
            <w:tcW w:w="2160"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sz w:val="22"/>
                <w:szCs w:val="22"/>
                <w:lang w:val="ro-MD"/>
              </w:rPr>
              <w:t>Numele, prenumele, gradul şi titlul ştiinţific,</w:t>
            </w:r>
            <w:r>
              <w:rPr/>
              <w:br/>
            </w:r>
            <w:r>
              <w:rPr>
                <w:rFonts w:cs="Times New Roman CE" w:ascii="Times New Roman CE" w:hAnsi="Times New Roman CE"/>
                <w:sz w:val="22"/>
                <w:szCs w:val="22"/>
                <w:lang w:val="ro-MD"/>
              </w:rPr>
              <w:t xml:space="preserve">ale </w:t>
            </w:r>
            <w:r>
              <w:rPr>
                <w:bCs/>
                <w:sz w:val="22"/>
                <w:szCs w:val="22"/>
                <w:lang w:val="ro-MD"/>
              </w:rPr>
              <w:t>savantului</w:t>
            </w:r>
          </w:p>
        </w:tc>
        <w:tc>
          <w:tcPr>
            <w:tcW w:w="2150"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sz w:val="22"/>
                <w:szCs w:val="22"/>
                <w:lang w:val="ro-MD"/>
              </w:rPr>
              <w:t>Ţara şi denumirea organizaţiei în care activează savantul</w:t>
            </w:r>
          </w:p>
        </w:tc>
        <w:tc>
          <w:tcPr>
            <w:tcW w:w="3408"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sz w:val="22"/>
                <w:szCs w:val="22"/>
                <w:lang w:val="ro-MD"/>
              </w:rPr>
              <w:t>Scopul vizitei. Descrierea succintă a activităţilor (realizarea proiectelor  comune,  stagiu, participări la manifestări ştiinţifice)</w:t>
            </w:r>
          </w:p>
        </w:tc>
        <w:tc>
          <w:tcPr>
            <w:tcW w:w="18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sz w:val="22"/>
                <w:szCs w:val="22"/>
                <w:lang w:val="ro-MD"/>
              </w:rPr>
              <w:t>Termenul vizitei</w:t>
            </w:r>
          </w:p>
        </w:tc>
      </w:tr>
      <w:tr>
        <w:trPr/>
        <w:tc>
          <w:tcPr>
            <w:tcW w:w="534"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both"/>
              <w:textAlignment w:val="auto"/>
              <w:rPr>
                <w:lang w:val="ro-MD"/>
              </w:rPr>
            </w:pPr>
            <w:r>
              <w:rPr>
                <w:sz w:val="22"/>
                <w:szCs w:val="22"/>
                <w:lang w:val="ro-MD"/>
              </w:rPr>
              <w:t>1.</w:t>
            </w:r>
          </w:p>
        </w:tc>
        <w:tc>
          <w:tcPr>
            <w:tcW w:w="2160"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left"/>
              <w:textAlignment w:val="auto"/>
              <w:rPr>
                <w:lang w:val="fr-FR"/>
              </w:rPr>
            </w:pPr>
            <w:r>
              <w:rPr>
                <w:sz w:val="22"/>
                <w:szCs w:val="22"/>
                <w:lang w:val="fr-FR"/>
              </w:rPr>
              <w:t>Jose Valente de Oliveira</w:t>
            </w:r>
            <w:r>
              <w:rPr>
                <w:sz w:val="22"/>
                <w:szCs w:val="22"/>
                <w:lang w:val="ro-RO"/>
              </w:rPr>
              <w:t>,</w:t>
            </w:r>
            <w:r>
              <w:rPr>
                <w:sz w:val="22"/>
                <w:szCs w:val="22"/>
                <w:lang w:val="fr-FR"/>
              </w:rPr>
              <w:t xml:space="preserve"> dr.</w:t>
            </w:r>
          </w:p>
        </w:tc>
        <w:tc>
          <w:tcPr>
            <w:tcW w:w="2150"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 xml:space="preserve">Portugalia, </w:t>
            </w:r>
            <w:r>
              <w:rPr>
                <w:sz w:val="22"/>
                <w:szCs w:val="22"/>
              </w:rPr>
              <w:t>South Portugal Agricultural University</w:t>
            </w:r>
            <w:r>
              <w:rPr>
                <w:sz w:val="22"/>
                <w:szCs w:val="22"/>
                <w:lang w:val="ro-RO"/>
              </w:rPr>
              <w:t>.</w:t>
            </w:r>
          </w:p>
        </w:tc>
        <w:tc>
          <w:tcPr>
            <w:tcW w:w="3408"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left"/>
              <w:textAlignment w:val="auto"/>
              <w:rPr>
                <w:lang w:val="ro-MD"/>
              </w:rPr>
            </w:pPr>
            <w:r>
              <w:rPr>
                <w:sz w:val="22"/>
                <w:szCs w:val="22"/>
                <w:lang w:val="ro-MD"/>
              </w:rPr>
              <w:t>Referat la seminarul institutului.</w:t>
            </w:r>
          </w:p>
          <w:p>
            <w:pPr>
              <w:pStyle w:val="Normal"/>
              <w:widowControl/>
              <w:bidi w:val="0"/>
              <w:ind w:left="0" w:right="0" w:hanging="0"/>
              <w:jc w:val="left"/>
              <w:textAlignment w:val="auto"/>
              <w:rPr>
                <w:lang w:val="ro-MD"/>
              </w:rPr>
            </w:pPr>
            <w:r>
              <w:rPr>
                <w:rFonts w:cs="Times New Roman CE" w:ascii="Times New Roman CE" w:hAnsi="Times New Roman CE"/>
                <w:sz w:val="22"/>
                <w:szCs w:val="22"/>
                <w:lang w:val="ro-MD"/>
              </w:rPr>
              <w:t>Discuţii referitor la posibilită</w:t>
            </w:r>
            <w:r>
              <w:rPr>
                <w:rFonts w:ascii="Cambria Math" w:hAnsi="Cambria Math"/>
                <w:sz w:val="22"/>
                <w:szCs w:val="22"/>
                <w:lang w:val="ro-MD"/>
              </w:rPr>
              <w:t>ț</w:t>
            </w:r>
            <w:r>
              <w:rPr>
                <w:sz w:val="22"/>
                <w:szCs w:val="22"/>
                <w:lang w:val="ro-MD"/>
              </w:rPr>
              <w:t>ile de colaborare.</w:t>
            </w:r>
          </w:p>
        </w:tc>
        <w:tc>
          <w:tcPr>
            <w:tcW w:w="18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sz w:val="22"/>
                <w:szCs w:val="22"/>
                <w:lang w:val="ro-MD"/>
              </w:rPr>
              <w:t>13-15 aprilie 2016</w:t>
            </w:r>
          </w:p>
        </w:tc>
      </w:tr>
      <w:tr>
        <w:trPr/>
        <w:tc>
          <w:tcPr>
            <w:tcW w:w="534"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both"/>
              <w:textAlignment w:val="auto"/>
              <w:rPr>
                <w:lang w:val="ro-MD"/>
              </w:rPr>
            </w:pPr>
            <w:r>
              <w:rPr>
                <w:sz w:val="22"/>
                <w:szCs w:val="22"/>
                <w:lang w:val="ro-MD"/>
              </w:rPr>
              <w:t>2.</w:t>
            </w:r>
          </w:p>
        </w:tc>
        <w:tc>
          <w:tcPr>
            <w:tcW w:w="2160"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left"/>
              <w:textAlignment w:val="auto"/>
              <w:rPr/>
            </w:pPr>
            <w:r>
              <w:rPr>
                <w:sz w:val="22"/>
                <w:szCs w:val="22"/>
              </w:rPr>
              <w:t>Jaechon P</w:t>
            </w:r>
            <w:r>
              <w:rPr>
                <w:sz w:val="22"/>
                <w:szCs w:val="22"/>
                <w:lang w:val="ro-RO"/>
              </w:rPr>
              <w:t>ark,</w:t>
            </w:r>
            <w:r>
              <w:rPr>
                <w:sz w:val="22"/>
                <w:szCs w:val="22"/>
              </w:rPr>
              <w:t xml:space="preserve"> </w:t>
            </w:r>
            <w:r>
              <w:rPr>
                <w:sz w:val="22"/>
                <w:szCs w:val="22"/>
                <w:lang w:val="ro-RO"/>
              </w:rPr>
              <w:t>p</w:t>
            </w:r>
            <w:r>
              <w:rPr>
                <w:sz w:val="22"/>
                <w:szCs w:val="22"/>
              </w:rPr>
              <w:t>rof</w:t>
            </w:r>
            <w:r>
              <w:rPr>
                <w:sz w:val="22"/>
                <w:szCs w:val="22"/>
                <w:lang w:val="ro-RO"/>
              </w:rPr>
              <w:t>.</w:t>
            </w:r>
          </w:p>
        </w:tc>
        <w:tc>
          <w:tcPr>
            <w:tcW w:w="2150"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left"/>
              <w:textAlignment w:val="auto"/>
              <w:rPr>
                <w:lang w:val="fr-FR"/>
              </w:rPr>
            </w:pPr>
            <w:r>
              <w:rPr>
                <w:sz w:val="22"/>
                <w:szCs w:val="22"/>
                <w:lang w:val="fr-FR"/>
              </w:rPr>
              <w:t>Coreea de Sud</w:t>
            </w:r>
            <w:r>
              <w:rPr>
                <w:sz w:val="22"/>
                <w:szCs w:val="22"/>
                <w:lang w:val="ro-RO"/>
              </w:rPr>
              <w:t>,</w:t>
            </w:r>
          </w:p>
          <w:p>
            <w:pPr>
              <w:pStyle w:val="Normal"/>
              <w:widowControl/>
              <w:bidi w:val="0"/>
              <w:ind w:left="0" w:right="0" w:hanging="0"/>
              <w:jc w:val="left"/>
              <w:textAlignment w:val="auto"/>
              <w:rPr>
                <w:lang w:val="fr-FR"/>
              </w:rPr>
            </w:pPr>
            <w:r>
              <w:rPr>
                <w:rStyle w:val="Style6"/>
                <w:i/>
                <w:iCs/>
                <w:sz w:val="22"/>
                <w:szCs w:val="22"/>
                <w:lang w:val="fr-FR"/>
              </w:rPr>
              <w:t xml:space="preserve">Universitatea Inha, </w:t>
            </w:r>
            <w:r>
              <w:rPr>
                <w:sz w:val="22"/>
                <w:szCs w:val="22"/>
                <w:lang w:val="fr-FR"/>
              </w:rPr>
              <w:t>Incheon</w:t>
            </w:r>
            <w:r>
              <w:rPr>
                <w:sz w:val="22"/>
                <w:szCs w:val="22"/>
                <w:lang w:val="ro-RO"/>
              </w:rPr>
              <w:t>.</w:t>
            </w:r>
          </w:p>
        </w:tc>
        <w:tc>
          <w:tcPr>
            <w:tcW w:w="3408"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left"/>
              <w:textAlignment w:val="auto"/>
              <w:rPr>
                <w:lang w:val="ro-MD"/>
              </w:rPr>
            </w:pPr>
            <w:r>
              <w:rPr>
                <w:sz w:val="22"/>
                <w:szCs w:val="22"/>
                <w:lang w:val="ro-MD"/>
              </w:rPr>
              <w:t xml:space="preserve">Prezentarea </w:t>
            </w:r>
            <w:r>
              <w:rPr>
                <w:rStyle w:val="Style6"/>
                <w:i/>
                <w:iCs/>
                <w:sz w:val="22"/>
                <w:szCs w:val="22"/>
              </w:rPr>
              <w:t>Universit</w:t>
            </w:r>
            <w:r>
              <w:rPr>
                <w:rStyle w:val="Style6"/>
                <w:rFonts w:cs="Times New Roman CE" w:ascii="Times New Roman CE" w:hAnsi="Times New Roman CE"/>
                <w:i/>
                <w:iCs/>
                <w:sz w:val="22"/>
                <w:szCs w:val="22"/>
                <w:lang w:val="ro-RO"/>
              </w:rPr>
              <w:t>ă</w:t>
            </w:r>
            <w:r>
              <w:rPr>
                <w:rStyle w:val="Style6"/>
                <w:rFonts w:cs="Times New Roman CE" w:ascii="Times New Roman CE" w:hAnsi="Times New Roman CE"/>
                <w:iCs/>
                <w:sz w:val="22"/>
                <w:szCs w:val="22"/>
                <w:lang w:val="ro-RO"/>
              </w:rPr>
              <w:t>ţ</w:t>
            </w:r>
            <w:r>
              <w:rPr>
                <w:rStyle w:val="Style6"/>
                <w:i/>
                <w:iCs/>
                <w:sz w:val="22"/>
                <w:szCs w:val="22"/>
                <w:lang w:val="ro-RO"/>
              </w:rPr>
              <w:t xml:space="preserve">ii </w:t>
            </w:r>
            <w:r>
              <w:rPr>
                <w:rStyle w:val="Style6"/>
                <w:i/>
                <w:iCs/>
                <w:sz w:val="22"/>
                <w:szCs w:val="22"/>
              </w:rPr>
              <w:t xml:space="preserve">Inha, </w:t>
            </w:r>
            <w:r>
              <w:rPr>
                <w:sz w:val="22"/>
                <w:szCs w:val="22"/>
              </w:rPr>
              <w:t>Incheon</w:t>
            </w:r>
            <w:r>
              <w:rPr>
                <w:sz w:val="22"/>
                <w:szCs w:val="22"/>
                <w:lang w:val="ro-RO"/>
              </w:rPr>
              <w:t>. Discu</w:t>
            </w:r>
            <w:r>
              <w:rPr>
                <w:rFonts w:ascii="Cambria Math" w:hAnsi="Cambria Math"/>
                <w:sz w:val="22"/>
                <w:szCs w:val="22"/>
                <w:lang w:val="ro-RO"/>
              </w:rPr>
              <w:t>ț</w:t>
            </w:r>
            <w:r>
              <w:rPr>
                <w:rFonts w:cs="Times New Roman CE" w:ascii="Times New Roman CE" w:hAnsi="Times New Roman CE"/>
                <w:sz w:val="22"/>
                <w:szCs w:val="22"/>
                <w:lang w:val="ro-RO"/>
              </w:rPr>
              <w:t>ii referitor la posibilită</w:t>
            </w:r>
            <w:r>
              <w:rPr>
                <w:rFonts w:ascii="Cambria Math" w:hAnsi="Cambria Math"/>
                <w:sz w:val="22"/>
                <w:szCs w:val="22"/>
                <w:lang w:val="ro-RO"/>
              </w:rPr>
              <w:t>ț</w:t>
            </w:r>
            <w:r>
              <w:rPr>
                <w:sz w:val="22"/>
                <w:szCs w:val="22"/>
                <w:lang w:val="ro-RO"/>
              </w:rPr>
              <w:t>ile de colabor</w:t>
            </w:r>
            <w:r>
              <w:rPr>
                <w:rFonts w:cs="Times New Roman CE" w:ascii="Times New Roman CE" w:hAnsi="Times New Roman CE"/>
                <w:sz w:val="22"/>
                <w:szCs w:val="22"/>
                <w:lang w:val="ro-RO"/>
              </w:rPr>
              <w:t>are în domeniul TI.</w:t>
            </w:r>
          </w:p>
        </w:tc>
        <w:tc>
          <w:tcPr>
            <w:tcW w:w="18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sz w:val="22"/>
                <w:szCs w:val="22"/>
                <w:lang w:val="ro-MD"/>
              </w:rPr>
              <w:t>6-8 iunie 2016</w:t>
            </w:r>
          </w:p>
        </w:tc>
      </w:tr>
      <w:tr>
        <w:trPr/>
        <w:tc>
          <w:tcPr>
            <w:tcW w:w="534"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both"/>
              <w:textAlignment w:val="auto"/>
              <w:rPr>
                <w:lang w:val="ro-MD"/>
              </w:rPr>
            </w:pPr>
            <w:r>
              <w:rPr>
                <w:sz w:val="22"/>
                <w:szCs w:val="22"/>
                <w:lang w:val="ro-MD"/>
              </w:rPr>
              <w:t>3.</w:t>
            </w:r>
          </w:p>
        </w:tc>
        <w:tc>
          <w:tcPr>
            <w:tcW w:w="2160"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left"/>
              <w:textAlignment w:val="auto"/>
              <w:rPr>
                <w:lang w:val="ro-MD"/>
              </w:rPr>
            </w:pPr>
            <w:r>
              <w:rPr>
                <w:sz w:val="22"/>
                <w:szCs w:val="22"/>
                <w:lang w:val="ro-MD"/>
              </w:rPr>
              <w:t>Ulyanov C.V., prof.</w:t>
            </w:r>
          </w:p>
        </w:tc>
        <w:tc>
          <w:tcPr>
            <w:tcW w:w="2150"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left"/>
              <w:textAlignment w:val="auto"/>
              <w:rPr>
                <w:lang w:val="ro-MD"/>
              </w:rPr>
            </w:pPr>
            <w:r>
              <w:rPr>
                <w:sz w:val="22"/>
                <w:szCs w:val="22"/>
                <w:lang w:val="ro-MD"/>
              </w:rPr>
              <w:t>Rusia, Univesitatea Dubna</w:t>
            </w:r>
          </w:p>
        </w:tc>
        <w:tc>
          <w:tcPr>
            <w:tcW w:w="3408"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sz w:val="22"/>
                <w:szCs w:val="22"/>
                <w:lang w:val="ro-MD"/>
              </w:rPr>
              <w:t>Activităţi în cadrul Acordului  de colaborare cu Univesitatea Dubna.</w:t>
            </w:r>
          </w:p>
        </w:tc>
        <w:tc>
          <w:tcPr>
            <w:tcW w:w="18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sz w:val="22"/>
                <w:szCs w:val="22"/>
                <w:lang w:val="ro-MD"/>
              </w:rPr>
              <w:t>8-11 iunie 2016</w:t>
            </w:r>
          </w:p>
        </w:tc>
      </w:tr>
      <w:tr>
        <w:trPr/>
        <w:tc>
          <w:tcPr>
            <w:tcW w:w="534"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both"/>
              <w:textAlignment w:val="auto"/>
              <w:rPr>
                <w:lang w:val="ro-MD"/>
              </w:rPr>
            </w:pPr>
            <w:r>
              <w:rPr>
                <w:sz w:val="22"/>
                <w:szCs w:val="22"/>
                <w:lang w:val="ro-MD"/>
              </w:rPr>
              <w:t>4.</w:t>
            </w:r>
          </w:p>
        </w:tc>
        <w:tc>
          <w:tcPr>
            <w:tcW w:w="2160"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left"/>
              <w:textAlignment w:val="auto"/>
              <w:rPr>
                <w:lang w:val="ro-MD"/>
              </w:rPr>
            </w:pPr>
            <w:r>
              <w:rPr>
                <w:sz w:val="22"/>
                <w:szCs w:val="22"/>
                <w:lang w:val="ro-MD"/>
              </w:rPr>
              <w:t>Ryjov A.P., prof.</w:t>
            </w:r>
          </w:p>
        </w:tc>
        <w:tc>
          <w:tcPr>
            <w:tcW w:w="2150"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left"/>
              <w:textAlignment w:val="auto"/>
              <w:rPr>
                <w:lang w:val="ro-MD"/>
              </w:rPr>
            </w:pPr>
            <w:r>
              <w:rPr>
                <w:sz w:val="22"/>
                <w:szCs w:val="22"/>
                <w:lang w:val="ro-MD"/>
              </w:rPr>
              <w:t>Rusia, MGU Lomonosov.</w:t>
            </w:r>
          </w:p>
        </w:tc>
        <w:tc>
          <w:tcPr>
            <w:tcW w:w="3408"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Discu</w:t>
            </w:r>
            <w:r>
              <w:rPr>
                <w:rFonts w:ascii="Cambria Math" w:hAnsi="Cambria Math"/>
                <w:sz w:val="22"/>
                <w:szCs w:val="22"/>
                <w:lang w:val="ro-RO"/>
              </w:rPr>
              <w:t>ț</w:t>
            </w:r>
            <w:r>
              <w:rPr>
                <w:rFonts w:cs="Times New Roman CE" w:ascii="Times New Roman CE" w:hAnsi="Times New Roman CE"/>
                <w:sz w:val="22"/>
                <w:szCs w:val="22"/>
                <w:lang w:val="ro-RO"/>
              </w:rPr>
              <w:t>ii referitor la posibilită</w:t>
            </w:r>
            <w:r>
              <w:rPr>
                <w:rFonts w:ascii="Cambria Math" w:hAnsi="Cambria Math"/>
                <w:sz w:val="22"/>
                <w:szCs w:val="22"/>
                <w:lang w:val="ro-RO"/>
              </w:rPr>
              <w:t>ț</w:t>
            </w:r>
            <w:r>
              <w:rPr>
                <w:sz w:val="22"/>
                <w:szCs w:val="22"/>
                <w:lang w:val="ro-RO"/>
              </w:rPr>
              <w:t>ile de co</w:t>
            </w:r>
            <w:r>
              <w:rPr>
                <w:rFonts w:cs="Times New Roman CE" w:ascii="Times New Roman CE" w:hAnsi="Times New Roman CE"/>
                <w:sz w:val="22"/>
                <w:szCs w:val="22"/>
                <w:lang w:val="ro-RO"/>
              </w:rPr>
              <w:t>laborare în domeniul inteligenţei artificiale.</w:t>
            </w:r>
          </w:p>
        </w:tc>
        <w:tc>
          <w:tcPr>
            <w:tcW w:w="18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sz w:val="22"/>
                <w:szCs w:val="22"/>
                <w:lang w:val="ro-MD"/>
              </w:rPr>
              <w:t>8-11 iunie 2016</w:t>
            </w:r>
          </w:p>
        </w:tc>
      </w:tr>
      <w:tr>
        <w:trPr/>
        <w:tc>
          <w:tcPr>
            <w:tcW w:w="534"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both"/>
              <w:textAlignment w:val="auto"/>
              <w:rPr>
                <w:lang w:val="ro-MD"/>
              </w:rPr>
            </w:pPr>
            <w:r>
              <w:rPr>
                <w:sz w:val="22"/>
                <w:szCs w:val="22"/>
                <w:lang w:val="ro-MD"/>
              </w:rPr>
              <w:t>5.</w:t>
            </w:r>
          </w:p>
        </w:tc>
        <w:tc>
          <w:tcPr>
            <w:tcW w:w="2160"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left"/>
              <w:textAlignment w:val="auto"/>
              <w:rPr/>
            </w:pPr>
            <w:r>
              <w:rPr>
                <w:sz w:val="22"/>
                <w:szCs w:val="22"/>
              </w:rPr>
              <w:t>Averkin A</w:t>
            </w:r>
            <w:r>
              <w:rPr>
                <w:sz w:val="22"/>
                <w:szCs w:val="22"/>
                <w:lang w:val="ro-RO"/>
              </w:rPr>
              <w:t>.N.</w:t>
            </w:r>
            <w:r>
              <w:rPr>
                <w:sz w:val="22"/>
                <w:szCs w:val="22"/>
              </w:rPr>
              <w:t xml:space="preserve">, candidat în </w:t>
            </w:r>
            <w:r>
              <w:rPr>
                <w:rFonts w:cs="Times New Roman CE" w:ascii="Times New Roman CE" w:hAnsi="Times New Roman CE"/>
                <w:sz w:val="22"/>
                <w:szCs w:val="22"/>
                <w:lang w:val="ro-RO"/>
              </w:rPr>
              <w:t>ş</w:t>
            </w:r>
            <w:r>
              <w:rPr>
                <w:sz w:val="22"/>
                <w:szCs w:val="22"/>
              </w:rPr>
              <w:t>t. tehnice, conf. univ.</w:t>
            </w:r>
          </w:p>
        </w:tc>
        <w:tc>
          <w:tcPr>
            <w:tcW w:w="2150"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left"/>
              <w:textAlignment w:val="auto"/>
              <w:rPr>
                <w:lang w:val="ro-MD"/>
              </w:rPr>
            </w:pPr>
            <w:r>
              <w:rPr>
                <w:sz w:val="22"/>
                <w:szCs w:val="22"/>
                <w:lang w:val="ro-MD"/>
              </w:rPr>
              <w:t xml:space="preserve">Rusia, </w:t>
            </w:r>
            <w:r>
              <w:rPr>
                <w:rFonts w:cs="Times New Roman CE" w:ascii="Times New Roman CE" w:hAnsi="Times New Roman CE"/>
                <w:sz w:val="22"/>
                <w:szCs w:val="22"/>
                <w:lang w:val="fr-FR"/>
              </w:rPr>
              <w:t>Centrul de Calcul al Academiei de ştiin</w:t>
            </w:r>
            <w:r>
              <w:rPr>
                <w:rFonts w:ascii="Cambria Math" w:hAnsi="Cambria Math"/>
                <w:sz w:val="22"/>
                <w:szCs w:val="22"/>
                <w:lang w:val="fr-FR"/>
              </w:rPr>
              <w:t>ț</w:t>
            </w:r>
            <w:r>
              <w:rPr>
                <w:sz w:val="22"/>
                <w:szCs w:val="22"/>
                <w:lang w:val="fr-FR"/>
              </w:rPr>
              <w:t>e a Rusiei</w:t>
            </w:r>
          </w:p>
        </w:tc>
        <w:tc>
          <w:tcPr>
            <w:tcW w:w="3408"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sz w:val="22"/>
                <w:szCs w:val="22"/>
                <w:lang w:val="ro-MD"/>
              </w:rPr>
              <w:t>Activită</w:t>
            </w:r>
            <w:r>
              <w:rPr>
                <w:rFonts w:ascii="Cambria Math" w:hAnsi="Cambria Math"/>
                <w:sz w:val="22"/>
                <w:szCs w:val="22"/>
                <w:lang w:val="ro-MD"/>
              </w:rPr>
              <w:t>ț</w:t>
            </w:r>
            <w:r>
              <w:rPr>
                <w:rFonts w:cs="Times New Roman CE" w:ascii="Times New Roman CE" w:hAnsi="Times New Roman CE"/>
                <w:sz w:val="22"/>
                <w:szCs w:val="22"/>
                <w:lang w:val="ro-MD"/>
              </w:rPr>
              <w:t xml:space="preserve">i în cadrul Acordului  de colaborare cu </w:t>
            </w:r>
            <w:r>
              <w:rPr>
                <w:rFonts w:cs="Times New Roman CE" w:ascii="Times New Roman CE" w:hAnsi="Times New Roman CE"/>
                <w:sz w:val="22"/>
                <w:szCs w:val="22"/>
                <w:lang w:val="fr-FR"/>
              </w:rPr>
              <w:t>Calcul al Academiei de ştiin</w:t>
            </w:r>
            <w:r>
              <w:rPr>
                <w:rFonts w:ascii="Cambria Math" w:hAnsi="Cambria Math"/>
                <w:sz w:val="22"/>
                <w:szCs w:val="22"/>
                <w:lang w:val="fr-FR"/>
              </w:rPr>
              <w:t>ț</w:t>
            </w:r>
            <w:r>
              <w:rPr>
                <w:sz w:val="22"/>
                <w:szCs w:val="22"/>
                <w:lang w:val="fr-FR"/>
              </w:rPr>
              <w:t>e a Rusiei</w:t>
            </w:r>
            <w:r>
              <w:rPr>
                <w:sz w:val="22"/>
                <w:szCs w:val="22"/>
                <w:lang w:val="ro-RO"/>
              </w:rPr>
              <w:t>.</w:t>
            </w:r>
          </w:p>
        </w:tc>
        <w:tc>
          <w:tcPr>
            <w:tcW w:w="18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MD"/>
              </w:rPr>
            </w:pPr>
            <w:r>
              <w:rPr>
                <w:sz w:val="22"/>
                <w:szCs w:val="22"/>
                <w:lang w:val="ro-MD"/>
              </w:rPr>
              <w:t>7-10 noiembrie 2016</w:t>
            </w:r>
          </w:p>
        </w:tc>
      </w:tr>
      <w:tr>
        <w:trPr/>
        <w:tc>
          <w:tcPr>
            <w:tcW w:w="534"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both"/>
              <w:textAlignment w:val="auto"/>
              <w:rPr>
                <w:lang w:val="ro-MD"/>
              </w:rPr>
            </w:pPr>
            <w:r>
              <w:rPr>
                <w:sz w:val="22"/>
                <w:szCs w:val="22"/>
                <w:lang w:val="ro-MD"/>
              </w:rPr>
              <w:t>6.</w:t>
            </w:r>
          </w:p>
        </w:tc>
        <w:tc>
          <w:tcPr>
            <w:tcW w:w="2160"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left"/>
              <w:textAlignment w:val="auto"/>
              <w:rPr/>
            </w:pPr>
            <w:r>
              <w:rPr>
                <w:sz w:val="22"/>
                <w:szCs w:val="22"/>
              </w:rPr>
              <w:t>Vaghin V</w:t>
            </w:r>
            <w:r>
              <w:rPr>
                <w:sz w:val="22"/>
                <w:szCs w:val="22"/>
                <w:lang w:val="ro-RO"/>
              </w:rPr>
              <w:t>.N.</w:t>
            </w:r>
            <w:r>
              <w:rPr>
                <w:sz w:val="22"/>
                <w:szCs w:val="22"/>
              </w:rPr>
              <w:t>, prof.</w:t>
            </w:r>
          </w:p>
        </w:tc>
        <w:tc>
          <w:tcPr>
            <w:tcW w:w="2150"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left"/>
              <w:textAlignment w:val="auto"/>
              <w:rPr/>
            </w:pPr>
            <w:r>
              <w:rPr>
                <w:sz w:val="22"/>
                <w:szCs w:val="22"/>
                <w:lang w:val="ro-MD"/>
              </w:rPr>
              <w:t xml:space="preserve">Rusia, </w:t>
            </w:r>
            <w:r>
              <w:rPr>
                <w:rFonts w:cs="Times New Roman CE" w:ascii="Times New Roman CE" w:hAnsi="Times New Roman CE"/>
                <w:sz w:val="22"/>
                <w:szCs w:val="22"/>
              </w:rPr>
              <w:t>Institutul de Energetică, Moscova</w:t>
            </w:r>
          </w:p>
        </w:tc>
        <w:tc>
          <w:tcPr>
            <w:tcW w:w="3408"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Discuţii referitor la posibilită</w:t>
            </w:r>
            <w:r>
              <w:rPr>
                <w:rFonts w:ascii="Cambria Math" w:hAnsi="Cambria Math"/>
                <w:sz w:val="22"/>
                <w:szCs w:val="22"/>
                <w:lang w:val="ro-RO"/>
              </w:rPr>
              <w:t>ț</w:t>
            </w:r>
            <w:r>
              <w:rPr>
                <w:rFonts w:cs="Times New Roman CE" w:ascii="Times New Roman CE" w:hAnsi="Times New Roman CE"/>
                <w:sz w:val="22"/>
                <w:szCs w:val="22"/>
                <w:lang w:val="ro-RO"/>
              </w:rPr>
              <w:t>ile de colaborare în domeniul inteligen</w:t>
            </w:r>
            <w:r>
              <w:rPr>
                <w:rFonts w:ascii="Cambria Math" w:hAnsi="Cambria Math"/>
                <w:sz w:val="22"/>
                <w:szCs w:val="22"/>
                <w:lang w:val="ro-RO"/>
              </w:rPr>
              <w:t>ț</w:t>
            </w:r>
            <w:r>
              <w:rPr>
                <w:sz w:val="22"/>
                <w:szCs w:val="22"/>
                <w:lang w:val="ro-RO"/>
              </w:rPr>
              <w:t>ei artificiale.</w:t>
            </w:r>
          </w:p>
        </w:tc>
        <w:tc>
          <w:tcPr>
            <w:tcW w:w="18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sz w:val="22"/>
                <w:szCs w:val="22"/>
                <w:lang w:val="ro-MD"/>
              </w:rPr>
              <w:t>7-10 noiembrie 2016</w:t>
            </w:r>
          </w:p>
        </w:tc>
      </w:tr>
      <w:tr>
        <w:trPr/>
        <w:tc>
          <w:tcPr>
            <w:tcW w:w="534"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both"/>
              <w:textAlignment w:val="auto"/>
              <w:rPr>
                <w:lang w:val="ro-MD"/>
              </w:rPr>
            </w:pPr>
            <w:r>
              <w:rPr>
                <w:sz w:val="22"/>
                <w:szCs w:val="22"/>
                <w:lang w:val="ro-MD"/>
              </w:rPr>
              <w:t>7.</w:t>
            </w:r>
          </w:p>
        </w:tc>
        <w:tc>
          <w:tcPr>
            <w:tcW w:w="2160"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left"/>
              <w:textAlignment w:val="auto"/>
              <w:rPr>
                <w:lang w:val="ro-MD"/>
              </w:rPr>
            </w:pPr>
            <w:r>
              <w:rPr>
                <w:sz w:val="22"/>
                <w:szCs w:val="22"/>
                <w:lang w:val="ro-MD"/>
              </w:rPr>
              <w:t>Marcel Migdalovici,</w:t>
            </w:r>
          </w:p>
          <w:p>
            <w:pPr>
              <w:pStyle w:val="Normal"/>
              <w:widowControl/>
              <w:bidi w:val="0"/>
              <w:ind w:left="0" w:right="0" w:hanging="0"/>
              <w:jc w:val="left"/>
              <w:textAlignment w:val="auto"/>
              <w:rPr>
                <w:lang w:val="ro-MD"/>
              </w:rPr>
            </w:pPr>
            <w:r>
              <w:rPr>
                <w:rFonts w:cs="Times New Roman CE" w:ascii="Times New Roman CE" w:hAnsi="Times New Roman CE"/>
                <w:sz w:val="22"/>
                <w:szCs w:val="22"/>
                <w:lang w:val="ro-MD"/>
              </w:rPr>
              <w:t>Dr., c. şt. grad I</w:t>
            </w:r>
          </w:p>
          <w:p>
            <w:pPr>
              <w:pStyle w:val="Normal"/>
              <w:widowControl/>
              <w:bidi w:val="0"/>
              <w:ind w:left="0" w:right="0" w:hanging="0"/>
              <w:jc w:val="center"/>
              <w:textAlignment w:val="auto"/>
              <w:rPr>
                <w:rFonts w:ascii="Times New Roman" w:hAnsi="Times New Roman"/>
                <w:sz w:val="22"/>
                <w:szCs w:val="22"/>
                <w:lang w:val="ro-MD"/>
              </w:rPr>
            </w:pPr>
            <w:r>
              <w:rPr>
                <w:sz w:val="22"/>
                <w:szCs w:val="22"/>
                <w:lang w:val="ro-MD"/>
              </w:rPr>
            </w:r>
          </w:p>
        </w:tc>
        <w:tc>
          <w:tcPr>
            <w:tcW w:w="2150"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sz w:val="22"/>
                <w:szCs w:val="22"/>
                <w:lang w:val="ro-MD"/>
              </w:rPr>
              <w:t>România,</w:t>
            </w:r>
          </w:p>
          <w:p>
            <w:pPr>
              <w:pStyle w:val="Normal"/>
              <w:widowControl/>
              <w:bidi w:val="0"/>
              <w:ind w:left="0" w:right="0" w:hanging="0"/>
              <w:jc w:val="left"/>
              <w:textAlignment w:val="auto"/>
              <w:rPr>
                <w:lang w:val="ro-MD"/>
              </w:rPr>
            </w:pPr>
            <w:r>
              <w:rPr>
                <w:rFonts w:cs="Times New Roman CE" w:ascii="Times New Roman CE" w:hAnsi="Times New Roman CE"/>
                <w:sz w:val="22"/>
                <w:szCs w:val="22"/>
                <w:lang w:val="ro-MD"/>
              </w:rPr>
              <w:t xml:space="preserve">Institutul Mecanica Solidelor al Academiei Române </w:t>
            </w:r>
          </w:p>
        </w:tc>
        <w:tc>
          <w:tcPr>
            <w:tcW w:w="3408"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sz w:val="22"/>
                <w:szCs w:val="22"/>
                <w:lang w:val="ro-MD"/>
              </w:rPr>
              <w:t>Vizită de informare în activitatea ştiinţifică, schimb de experienţă, participări la seminare ştiinţifice şi Conferinţa Ştiinţifică Internaţional MITRE-2016</w:t>
            </w:r>
          </w:p>
        </w:tc>
        <w:tc>
          <w:tcPr>
            <w:tcW w:w="18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bCs/>
                <w:sz w:val="22"/>
                <w:szCs w:val="22"/>
              </w:rPr>
              <w:t>2</w:t>
            </w:r>
            <w:r>
              <w:rPr>
                <w:bCs/>
                <w:sz w:val="22"/>
                <w:szCs w:val="22"/>
                <w:lang w:val="ro-RO"/>
              </w:rPr>
              <w:t>0</w:t>
            </w:r>
            <w:r>
              <w:rPr>
                <w:bCs/>
                <w:sz w:val="22"/>
                <w:szCs w:val="22"/>
              </w:rPr>
              <w:t xml:space="preserve">–26 </w:t>
            </w:r>
            <w:r>
              <w:rPr>
                <w:bCs/>
                <w:sz w:val="22"/>
                <w:szCs w:val="22"/>
                <w:lang w:val="ro-RO"/>
              </w:rPr>
              <w:t xml:space="preserve"> iunie</w:t>
            </w:r>
            <w:r>
              <w:rPr>
                <w:bCs/>
                <w:sz w:val="22"/>
                <w:szCs w:val="22"/>
              </w:rPr>
              <w:t xml:space="preserve"> 2016</w:t>
            </w:r>
          </w:p>
        </w:tc>
      </w:tr>
      <w:tr>
        <w:trPr/>
        <w:tc>
          <w:tcPr>
            <w:tcW w:w="534"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both"/>
              <w:textAlignment w:val="auto"/>
              <w:rPr>
                <w:lang w:val="ro-MD"/>
              </w:rPr>
            </w:pPr>
            <w:r>
              <w:rPr>
                <w:sz w:val="22"/>
                <w:szCs w:val="22"/>
                <w:lang w:val="ro-MD"/>
              </w:rPr>
              <w:t>8.</w:t>
            </w:r>
          </w:p>
        </w:tc>
        <w:tc>
          <w:tcPr>
            <w:tcW w:w="2160"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 xml:space="preserve">Veturia Chiroiu, </w:t>
            </w:r>
          </w:p>
          <w:p>
            <w:pPr>
              <w:pStyle w:val="Normal"/>
              <w:widowControl/>
              <w:bidi w:val="0"/>
              <w:ind w:left="0" w:right="0" w:hanging="0"/>
              <w:jc w:val="left"/>
              <w:textAlignment w:val="auto"/>
              <w:rPr>
                <w:lang w:val="ro-MD"/>
              </w:rPr>
            </w:pPr>
            <w:r>
              <w:rPr>
                <w:sz w:val="22"/>
                <w:szCs w:val="22"/>
                <w:lang w:val="ro-MD"/>
              </w:rPr>
              <w:t xml:space="preserve">Dr., c. </w:t>
            </w:r>
            <w:r>
              <w:rPr>
                <w:rFonts w:cs="Times New Roman CE" w:ascii="Times New Roman CE" w:hAnsi="Times New Roman CE"/>
                <w:sz w:val="22"/>
                <w:szCs w:val="22"/>
                <w:lang w:val="ro-MD"/>
              </w:rPr>
              <w:t xml:space="preserve">şt. grad I </w:t>
            </w:r>
          </w:p>
          <w:p>
            <w:pPr>
              <w:pStyle w:val="Normal"/>
              <w:widowControl/>
              <w:bidi w:val="0"/>
              <w:ind w:left="0" w:right="0" w:hanging="0"/>
              <w:jc w:val="left"/>
              <w:textAlignment w:val="auto"/>
              <w:rPr>
                <w:lang w:val="ro-RO"/>
              </w:rPr>
            </w:pPr>
            <w:r>
              <w:rPr>
                <w:sz w:val="22"/>
                <w:szCs w:val="22"/>
                <w:lang w:val="ro-RO"/>
              </w:rPr>
              <w:t>Ligia Munteanu,</w:t>
            </w:r>
            <w:r>
              <w:rPr>
                <w:sz w:val="22"/>
                <w:szCs w:val="22"/>
                <w:lang w:val="ro-MD"/>
              </w:rPr>
              <w:t xml:space="preserve"> </w:t>
            </w:r>
          </w:p>
          <w:p>
            <w:pPr>
              <w:pStyle w:val="Normal"/>
              <w:widowControl/>
              <w:bidi w:val="0"/>
              <w:ind w:left="0" w:right="0" w:hanging="0"/>
              <w:jc w:val="left"/>
              <w:textAlignment w:val="auto"/>
              <w:rPr>
                <w:lang w:val="ro-MD"/>
              </w:rPr>
            </w:pPr>
            <w:r>
              <w:rPr>
                <w:rFonts w:cs="Times New Roman CE" w:ascii="Times New Roman CE" w:hAnsi="Times New Roman CE"/>
                <w:sz w:val="22"/>
                <w:szCs w:val="22"/>
                <w:lang w:val="ro-MD"/>
              </w:rPr>
              <w:t>Dr., hab. c. şt. grad I</w:t>
            </w:r>
          </w:p>
          <w:p>
            <w:pPr>
              <w:pStyle w:val="Normal"/>
              <w:widowControl/>
              <w:bidi w:val="0"/>
              <w:ind w:left="0" w:right="0" w:hanging="0"/>
              <w:jc w:val="left"/>
              <w:textAlignment w:val="auto"/>
              <w:rPr/>
            </w:pPr>
            <w:r>
              <w:rPr>
                <w:sz w:val="22"/>
                <w:szCs w:val="22"/>
                <w:lang w:val="ro-RO"/>
              </w:rPr>
              <w:t>Rodica Ioan,</w:t>
            </w:r>
            <w:r>
              <w:rPr>
                <w:sz w:val="22"/>
                <w:szCs w:val="22"/>
                <w:lang w:val="ro-MD"/>
              </w:rPr>
              <w:t xml:space="preserve"> </w:t>
            </w:r>
          </w:p>
          <w:p>
            <w:pPr>
              <w:pStyle w:val="Normal"/>
              <w:widowControl/>
              <w:bidi w:val="0"/>
              <w:ind w:left="0" w:right="0" w:hanging="0"/>
              <w:jc w:val="left"/>
              <w:textAlignment w:val="auto"/>
              <w:rPr>
                <w:lang w:val="ro-MD"/>
              </w:rPr>
            </w:pPr>
            <w:r>
              <w:rPr>
                <w:rFonts w:cs="Times New Roman CE" w:ascii="Times New Roman CE" w:hAnsi="Times New Roman CE"/>
                <w:sz w:val="22"/>
                <w:szCs w:val="22"/>
                <w:lang w:val="ro-MD"/>
              </w:rPr>
              <w:t>Dr., c. şt. grad III</w:t>
            </w:r>
          </w:p>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Valerica Mosneguţu,</w:t>
            </w:r>
          </w:p>
          <w:p>
            <w:pPr>
              <w:pStyle w:val="Normal"/>
              <w:widowControl/>
              <w:bidi w:val="0"/>
              <w:ind w:left="0" w:right="0" w:hanging="0"/>
              <w:jc w:val="left"/>
              <w:textAlignment w:val="auto"/>
              <w:rPr>
                <w:lang w:val="ro-MD"/>
              </w:rPr>
            </w:pPr>
            <w:r>
              <w:rPr>
                <w:rFonts w:cs="Times New Roman CE" w:ascii="Times New Roman CE" w:hAnsi="Times New Roman CE"/>
                <w:sz w:val="22"/>
                <w:szCs w:val="22"/>
                <w:lang w:val="ro-MD"/>
              </w:rPr>
              <w:t>Dr., c. şt. grad I</w:t>
            </w:r>
          </w:p>
          <w:p>
            <w:pPr>
              <w:pStyle w:val="Normal"/>
              <w:widowControl/>
              <w:bidi w:val="0"/>
              <w:ind w:left="0" w:right="0" w:hanging="0"/>
              <w:jc w:val="left"/>
              <w:textAlignment w:val="auto"/>
              <w:rPr/>
            </w:pPr>
            <w:r>
              <w:rPr>
                <w:sz w:val="22"/>
                <w:szCs w:val="22"/>
                <w:lang w:val="ro-RO"/>
              </w:rPr>
              <w:t>Iulian Girip</w:t>
            </w:r>
            <w:r>
              <w:rPr>
                <w:b/>
                <w:sz w:val="22"/>
                <w:szCs w:val="22"/>
                <w:lang w:val="ro-RO"/>
              </w:rPr>
              <w:t>,</w:t>
            </w:r>
            <w:r>
              <w:rPr>
                <w:sz w:val="22"/>
                <w:szCs w:val="22"/>
                <w:lang w:val="ro-MD"/>
              </w:rPr>
              <w:t xml:space="preserve"> </w:t>
            </w:r>
          </w:p>
          <w:p>
            <w:pPr>
              <w:pStyle w:val="Normal"/>
              <w:widowControl/>
              <w:bidi w:val="0"/>
              <w:ind w:left="0" w:right="0" w:hanging="0"/>
              <w:jc w:val="left"/>
              <w:textAlignment w:val="auto"/>
              <w:rPr>
                <w:lang w:val="ro-MD"/>
              </w:rPr>
            </w:pPr>
            <w:r>
              <w:rPr>
                <w:rFonts w:cs="Times New Roman CE" w:ascii="Times New Roman CE" w:hAnsi="Times New Roman CE"/>
                <w:sz w:val="22"/>
                <w:szCs w:val="22"/>
                <w:lang w:val="ro-MD"/>
              </w:rPr>
              <w:t>Dr., c. şt.</w:t>
            </w:r>
          </w:p>
        </w:tc>
        <w:tc>
          <w:tcPr>
            <w:tcW w:w="2150"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sz w:val="22"/>
                <w:szCs w:val="22"/>
                <w:lang w:val="ro-MD"/>
              </w:rPr>
              <w:t>România,</w:t>
            </w:r>
          </w:p>
          <w:p>
            <w:pPr>
              <w:pStyle w:val="Normal"/>
              <w:widowControl/>
              <w:bidi w:val="0"/>
              <w:ind w:left="0" w:right="0" w:hanging="0"/>
              <w:jc w:val="left"/>
              <w:textAlignment w:val="auto"/>
              <w:rPr>
                <w:lang w:val="ro-MD"/>
              </w:rPr>
            </w:pPr>
            <w:r>
              <w:rPr>
                <w:rFonts w:cs="Times New Roman CE" w:ascii="Times New Roman CE" w:hAnsi="Times New Roman CE"/>
                <w:sz w:val="22"/>
                <w:szCs w:val="22"/>
                <w:lang w:val="ro-MD"/>
              </w:rPr>
              <w:t xml:space="preserve">Institutul Mecanica Solidelor al Academiei Române </w:t>
            </w:r>
          </w:p>
        </w:tc>
        <w:tc>
          <w:tcPr>
            <w:tcW w:w="3408"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sz w:val="22"/>
                <w:szCs w:val="22"/>
                <w:lang w:val="ro-MD"/>
              </w:rPr>
              <w:t>Scopul vizitei a fost informare în activitatea ştiinţifică, seminare ştiinţifice şi coordonarea in cadrul elaborării proiectelor comune</w:t>
            </w:r>
          </w:p>
        </w:tc>
        <w:tc>
          <w:tcPr>
            <w:tcW w:w="18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14-19 august 2016</w:t>
            </w:r>
          </w:p>
        </w:tc>
      </w:tr>
      <w:tr>
        <w:trPr/>
        <w:tc>
          <w:tcPr>
            <w:tcW w:w="534"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both"/>
              <w:textAlignment w:val="auto"/>
              <w:rPr>
                <w:lang w:val="ro-MD"/>
              </w:rPr>
            </w:pPr>
            <w:r>
              <w:rPr>
                <w:sz w:val="22"/>
                <w:szCs w:val="22"/>
                <w:lang w:val="ro-MD"/>
              </w:rPr>
              <w:t>9.</w:t>
            </w:r>
          </w:p>
        </w:tc>
        <w:tc>
          <w:tcPr>
            <w:tcW w:w="2160"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left"/>
              <w:textAlignment w:val="auto"/>
              <w:rPr>
                <w:lang w:val="ro-MD"/>
              </w:rPr>
            </w:pPr>
            <w:r>
              <w:rPr>
                <w:sz w:val="22"/>
                <w:szCs w:val="22"/>
                <w:lang w:val="ro-MD"/>
              </w:rPr>
              <w:t>Stefan Pickl, dr. h., prof.univ.</w:t>
            </w:r>
          </w:p>
        </w:tc>
        <w:tc>
          <w:tcPr>
            <w:tcW w:w="2150"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sz w:val="22"/>
                <w:szCs w:val="22"/>
                <w:lang w:val="ro-MD"/>
              </w:rPr>
              <w:t>Germania, Universitatea forţelor armate</w:t>
            </w:r>
            <w:r>
              <w:rPr>
                <w:sz w:val="22"/>
                <w:szCs w:val="22"/>
                <w:lang w:val="ro-MD"/>
              </w:rPr>
              <w:t>, Munihen</w:t>
            </w:r>
          </w:p>
        </w:tc>
        <w:tc>
          <w:tcPr>
            <w:tcW w:w="3408"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sz w:val="22"/>
                <w:szCs w:val="22"/>
                <w:lang w:val="ro-MD"/>
              </w:rPr>
              <w:t>Scopul vizitei ţine</w:t>
            </w:r>
            <w:r>
              <w:rPr>
                <w:sz w:val="22"/>
                <w:szCs w:val="22"/>
                <w:lang w:val="ro-RO"/>
              </w:rPr>
              <w:t xml:space="preserve"> de</w:t>
            </w:r>
            <w:r>
              <w:rPr>
                <w:rFonts w:cs="Times New Roman CE" w:ascii="Times New Roman CE" w:hAnsi="Times New Roman CE"/>
                <w:sz w:val="22"/>
                <w:szCs w:val="22"/>
                <w:lang w:val="ro-RO"/>
              </w:rPr>
              <w:t xml:space="preserve"> discuţii asupra cercetărilor comune</w:t>
            </w:r>
            <w:r>
              <w:rPr>
                <w:sz w:val="22"/>
                <w:szCs w:val="22"/>
                <w:lang w:val="ro-RO"/>
              </w:rPr>
              <w:t>.</w:t>
            </w:r>
          </w:p>
        </w:tc>
        <w:tc>
          <w:tcPr>
            <w:tcW w:w="18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rFonts w:ascii="Times New Roman" w:hAnsi="Times New Roman"/>
                <w:sz w:val="22"/>
                <w:szCs w:val="22"/>
                <w:lang w:val="ro-MD"/>
              </w:rPr>
            </w:pPr>
            <w:r>
              <w:rPr>
                <w:sz w:val="22"/>
                <w:szCs w:val="22"/>
                <w:lang w:val="ro-MD"/>
              </w:rPr>
            </w:r>
          </w:p>
        </w:tc>
      </w:tr>
      <w:tr>
        <w:trPr/>
        <w:tc>
          <w:tcPr>
            <w:tcW w:w="534"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both"/>
              <w:textAlignment w:val="auto"/>
              <w:rPr>
                <w:lang w:val="ro-MD"/>
              </w:rPr>
            </w:pPr>
            <w:r>
              <w:rPr>
                <w:sz w:val="22"/>
                <w:szCs w:val="22"/>
                <w:lang w:val="ro-MD"/>
              </w:rPr>
              <w:t>10.</w:t>
            </w:r>
          </w:p>
        </w:tc>
        <w:tc>
          <w:tcPr>
            <w:tcW w:w="2160"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left"/>
              <w:textAlignment w:val="auto"/>
              <w:rPr>
                <w:lang w:val="ro-MD"/>
              </w:rPr>
            </w:pPr>
            <w:r>
              <w:rPr>
                <w:sz w:val="22"/>
                <w:szCs w:val="22"/>
                <w:lang w:val="ro-MD"/>
              </w:rPr>
              <w:t>Gromak Valery,</w:t>
            </w:r>
          </w:p>
          <w:p>
            <w:pPr>
              <w:pStyle w:val="Normal"/>
              <w:widowControl/>
              <w:bidi w:val="0"/>
              <w:ind w:left="0" w:right="0" w:hanging="0"/>
              <w:jc w:val="left"/>
              <w:textAlignment w:val="auto"/>
              <w:rPr>
                <w:lang w:val="ro-MD"/>
              </w:rPr>
            </w:pPr>
            <w:r>
              <w:rPr>
                <w:sz w:val="22"/>
                <w:szCs w:val="22"/>
                <w:lang w:val="ro-MD"/>
              </w:rPr>
              <w:t>dr.hab., prof.univ.</w:t>
            </w:r>
          </w:p>
          <w:p>
            <w:pPr>
              <w:pStyle w:val="Normal"/>
              <w:widowControl/>
              <w:bidi w:val="0"/>
              <w:ind w:left="0" w:right="0" w:hanging="0"/>
              <w:jc w:val="left"/>
              <w:textAlignment w:val="auto"/>
              <w:rPr>
                <w:rFonts w:ascii="Times New Roman" w:hAnsi="Times New Roman"/>
                <w:sz w:val="22"/>
                <w:szCs w:val="22"/>
                <w:lang w:val="ro-MD"/>
              </w:rPr>
            </w:pPr>
            <w:r>
              <w:rPr>
                <w:sz w:val="22"/>
                <w:szCs w:val="22"/>
                <w:lang w:val="ro-MD"/>
              </w:rPr>
            </w:r>
          </w:p>
        </w:tc>
        <w:tc>
          <w:tcPr>
            <w:tcW w:w="2150"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left"/>
              <w:textAlignment w:val="auto"/>
              <w:rPr>
                <w:lang w:val="ro-MD"/>
              </w:rPr>
            </w:pPr>
            <w:r>
              <w:rPr>
                <w:sz w:val="22"/>
                <w:szCs w:val="22"/>
                <w:lang w:val="ro-MD"/>
              </w:rPr>
              <w:t>Belarus, Universitatea de Stat din Belarus</w:t>
            </w:r>
          </w:p>
        </w:tc>
        <w:tc>
          <w:tcPr>
            <w:tcW w:w="3408"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center"/>
              <w:textAlignment w:val="auto"/>
              <w:rPr>
                <w:lang w:val="ro-MD"/>
              </w:rPr>
            </w:pPr>
            <w:r>
              <w:rPr>
                <w:sz w:val="22"/>
                <w:szCs w:val="22"/>
                <w:lang w:val="ro-MD"/>
              </w:rPr>
              <w:t>Realizarea proiectului FP7</w:t>
            </w:r>
          </w:p>
        </w:tc>
        <w:tc>
          <w:tcPr>
            <w:tcW w:w="18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bCs/>
                <w:spacing w:val="20"/>
                <w:sz w:val="22"/>
                <w:szCs w:val="22"/>
                <w:lang w:val="ro-RO" w:eastAsia="en-US"/>
              </w:rPr>
              <w:t>09.01.2016 – 08.02.2016</w:t>
            </w:r>
          </w:p>
        </w:tc>
      </w:tr>
      <w:tr>
        <w:trPr/>
        <w:tc>
          <w:tcPr>
            <w:tcW w:w="534"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both"/>
              <w:textAlignment w:val="auto"/>
              <w:rPr>
                <w:rFonts w:ascii="Times New Roman" w:hAnsi="Times New Roman"/>
                <w:sz w:val="22"/>
                <w:szCs w:val="22"/>
                <w:lang w:val="ro-MD"/>
              </w:rPr>
            </w:pPr>
            <w:r>
              <w:rPr>
                <w:sz w:val="22"/>
                <w:szCs w:val="22"/>
                <w:lang w:val="ro-MD"/>
              </w:rPr>
            </w:r>
          </w:p>
        </w:tc>
        <w:tc>
          <w:tcPr>
            <w:tcW w:w="2160"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left"/>
              <w:textAlignment w:val="auto"/>
              <w:rPr>
                <w:lang w:val="en-US"/>
              </w:rPr>
            </w:pPr>
            <w:r>
              <w:rPr>
                <w:sz w:val="22"/>
                <w:szCs w:val="22"/>
                <w:lang w:val="en-US"/>
              </w:rPr>
              <w:t>Cherginets Dmitry,</w:t>
            </w:r>
          </w:p>
          <w:p>
            <w:pPr>
              <w:pStyle w:val="Normal"/>
              <w:widowControl/>
              <w:bidi w:val="0"/>
              <w:ind w:left="0" w:right="0" w:hanging="0"/>
              <w:jc w:val="left"/>
              <w:textAlignment w:val="auto"/>
              <w:rPr>
                <w:lang w:val="en-US"/>
              </w:rPr>
            </w:pPr>
            <w:r>
              <w:rPr>
                <w:sz w:val="22"/>
                <w:szCs w:val="22"/>
                <w:lang w:val="en-US"/>
              </w:rPr>
              <w:t>dr., conf. univ.</w:t>
            </w:r>
          </w:p>
          <w:p>
            <w:pPr>
              <w:pStyle w:val="Normal"/>
              <w:widowControl/>
              <w:bidi w:val="0"/>
              <w:ind w:left="0" w:right="0" w:hanging="0"/>
              <w:jc w:val="left"/>
              <w:textAlignment w:val="auto"/>
              <w:rPr>
                <w:rFonts w:ascii="Times New Roman" w:hAnsi="Times New Roman"/>
                <w:color w:val="002060"/>
                <w:sz w:val="22"/>
                <w:szCs w:val="22"/>
                <w:lang w:val="en-US"/>
              </w:rPr>
            </w:pPr>
            <w:r>
              <w:rPr>
                <w:color w:val="002060"/>
                <w:sz w:val="22"/>
                <w:szCs w:val="22"/>
                <w:lang w:val="en-US"/>
              </w:rPr>
            </w:r>
          </w:p>
        </w:tc>
        <w:tc>
          <w:tcPr>
            <w:tcW w:w="2150"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left"/>
              <w:textAlignment w:val="auto"/>
              <w:rPr>
                <w:lang w:val="ro-MD"/>
              </w:rPr>
            </w:pPr>
            <w:r>
              <w:rPr>
                <w:sz w:val="22"/>
                <w:szCs w:val="22"/>
                <w:lang w:val="ro-MD"/>
              </w:rPr>
              <w:t>Belarus, Universitatea de Stat din Belarus</w:t>
            </w:r>
          </w:p>
        </w:tc>
        <w:tc>
          <w:tcPr>
            <w:tcW w:w="3408"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center"/>
              <w:textAlignment w:val="auto"/>
              <w:rPr>
                <w:lang w:val="ro-MD"/>
              </w:rPr>
            </w:pPr>
            <w:r>
              <w:rPr>
                <w:sz w:val="22"/>
                <w:szCs w:val="22"/>
                <w:lang w:val="ro-MD"/>
              </w:rPr>
              <w:t>Realizarea proiectului FP7</w:t>
            </w:r>
          </w:p>
        </w:tc>
        <w:tc>
          <w:tcPr>
            <w:tcW w:w="18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bCs/>
                <w:spacing w:val="20"/>
                <w:sz w:val="22"/>
                <w:szCs w:val="22"/>
                <w:lang w:val="ro-RO" w:eastAsia="en-US"/>
              </w:rPr>
              <w:t>09.01.2016 – 08.02.2016</w:t>
            </w:r>
          </w:p>
        </w:tc>
      </w:tr>
      <w:tr>
        <w:trPr/>
        <w:tc>
          <w:tcPr>
            <w:tcW w:w="534"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both"/>
              <w:textAlignment w:val="auto"/>
              <w:rPr>
                <w:rFonts w:ascii="Times New Roman" w:hAnsi="Times New Roman"/>
                <w:sz w:val="22"/>
                <w:szCs w:val="22"/>
                <w:lang w:val="ro-MD"/>
              </w:rPr>
            </w:pPr>
            <w:r>
              <w:rPr>
                <w:sz w:val="22"/>
                <w:szCs w:val="22"/>
                <w:lang w:val="ro-MD"/>
              </w:rPr>
            </w:r>
          </w:p>
        </w:tc>
        <w:tc>
          <w:tcPr>
            <w:tcW w:w="2160"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left"/>
              <w:textAlignment w:val="auto"/>
              <w:rPr>
                <w:lang w:val="en-US"/>
              </w:rPr>
            </w:pPr>
            <w:r>
              <w:rPr>
                <w:sz w:val="22"/>
                <w:szCs w:val="22"/>
                <w:lang w:val="en-US"/>
              </w:rPr>
              <w:t>Vasilevich Mikhail,</w:t>
            </w:r>
          </w:p>
          <w:p>
            <w:pPr>
              <w:pStyle w:val="Normal"/>
              <w:widowControl/>
              <w:bidi w:val="0"/>
              <w:ind w:left="0" w:right="0" w:hanging="0"/>
              <w:jc w:val="left"/>
              <w:textAlignment w:val="auto"/>
              <w:rPr>
                <w:lang w:val="en-US"/>
              </w:rPr>
            </w:pPr>
            <w:r>
              <w:rPr>
                <w:sz w:val="22"/>
                <w:szCs w:val="22"/>
                <w:lang w:val="en-US"/>
              </w:rPr>
              <w:t>doctorand</w:t>
            </w:r>
          </w:p>
        </w:tc>
        <w:tc>
          <w:tcPr>
            <w:tcW w:w="2150"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left"/>
              <w:textAlignment w:val="auto"/>
              <w:rPr>
                <w:lang w:val="ro-MD"/>
              </w:rPr>
            </w:pPr>
            <w:r>
              <w:rPr>
                <w:sz w:val="22"/>
                <w:szCs w:val="22"/>
                <w:lang w:val="ro-MD"/>
              </w:rPr>
              <w:t>Belarus, Universitatea de Stat din Belarus</w:t>
            </w:r>
          </w:p>
        </w:tc>
        <w:tc>
          <w:tcPr>
            <w:tcW w:w="3408"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center"/>
              <w:textAlignment w:val="auto"/>
              <w:rPr>
                <w:lang w:val="ro-MD"/>
              </w:rPr>
            </w:pPr>
            <w:r>
              <w:rPr>
                <w:sz w:val="22"/>
                <w:szCs w:val="22"/>
                <w:lang w:val="ro-MD"/>
              </w:rPr>
              <w:t>Realizarea proiectului FP7</w:t>
            </w:r>
          </w:p>
        </w:tc>
        <w:tc>
          <w:tcPr>
            <w:tcW w:w="18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bCs/>
                <w:spacing w:val="20"/>
                <w:sz w:val="22"/>
                <w:szCs w:val="22"/>
                <w:lang w:val="ro-RO" w:eastAsia="en-US"/>
              </w:rPr>
              <w:t>09.01.2016 – 08.02.2016</w:t>
            </w:r>
          </w:p>
        </w:tc>
      </w:tr>
      <w:tr>
        <w:trPr/>
        <w:tc>
          <w:tcPr>
            <w:tcW w:w="534"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both"/>
              <w:textAlignment w:val="auto"/>
              <w:rPr>
                <w:rFonts w:ascii="Times New Roman" w:hAnsi="Times New Roman"/>
                <w:sz w:val="22"/>
                <w:szCs w:val="22"/>
                <w:lang w:val="ro-MD"/>
              </w:rPr>
            </w:pPr>
            <w:r>
              <w:rPr>
                <w:sz w:val="22"/>
                <w:szCs w:val="22"/>
                <w:lang w:val="ro-MD"/>
              </w:rPr>
            </w:r>
          </w:p>
        </w:tc>
        <w:tc>
          <w:tcPr>
            <w:tcW w:w="2160"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left"/>
              <w:textAlignment w:val="auto"/>
              <w:rPr>
                <w:lang w:val="ro-MD"/>
              </w:rPr>
            </w:pPr>
            <w:r>
              <w:rPr>
                <w:sz w:val="22"/>
                <w:szCs w:val="22"/>
                <w:lang w:val="ro-MD"/>
              </w:rPr>
              <w:t>Jaume Llibre,</w:t>
            </w:r>
          </w:p>
          <w:p>
            <w:pPr>
              <w:pStyle w:val="Normal"/>
              <w:widowControl/>
              <w:bidi w:val="0"/>
              <w:ind w:left="0" w:right="0" w:hanging="0"/>
              <w:jc w:val="center"/>
              <w:textAlignment w:val="auto"/>
              <w:rPr>
                <w:lang w:val="fr-FR"/>
              </w:rPr>
            </w:pPr>
            <w:r>
              <w:rPr>
                <w:sz w:val="22"/>
                <w:szCs w:val="22"/>
                <w:lang w:val="fr-FR"/>
              </w:rPr>
              <w:t>dr.hab., prof.univ.</w:t>
            </w:r>
          </w:p>
        </w:tc>
        <w:tc>
          <w:tcPr>
            <w:tcW w:w="2150"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left"/>
              <w:textAlignment w:val="auto"/>
              <w:rPr>
                <w:lang w:val="ro-MD"/>
              </w:rPr>
            </w:pPr>
            <w:r>
              <w:rPr>
                <w:sz w:val="22"/>
                <w:szCs w:val="22"/>
                <w:lang w:val="ro-MD"/>
              </w:rPr>
              <w:t>Spania,</w:t>
            </w:r>
          </w:p>
          <w:p>
            <w:pPr>
              <w:pStyle w:val="Normal"/>
              <w:widowControl/>
              <w:bidi w:val="0"/>
              <w:ind w:left="0" w:right="0" w:hanging="0"/>
              <w:jc w:val="left"/>
              <w:textAlignment w:val="auto"/>
              <w:rPr>
                <w:lang w:val="fr-FR"/>
              </w:rPr>
            </w:pPr>
            <w:r>
              <w:rPr>
                <w:sz w:val="22"/>
                <w:szCs w:val="22"/>
                <w:lang w:val="fr-FR" w:eastAsia="en-US"/>
              </w:rPr>
              <w:t>Universitat Autónoma de Barcelona, Departament de Matematiques, Barcelona</w:t>
            </w:r>
          </w:p>
        </w:tc>
        <w:tc>
          <w:tcPr>
            <w:tcW w:w="3408"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Colaborare ştiinţifică.</w:t>
            </w:r>
          </w:p>
          <w:p>
            <w:pPr>
              <w:pStyle w:val="Normal"/>
              <w:widowControl/>
              <w:bidi w:val="0"/>
              <w:ind w:left="0" w:right="0" w:hanging="0"/>
              <w:jc w:val="left"/>
              <w:textAlignment w:val="auto"/>
              <w:rPr>
                <w:lang w:val="ro-RO"/>
              </w:rPr>
            </w:pPr>
            <w:r>
              <w:rPr>
                <w:sz w:val="22"/>
                <w:szCs w:val="22"/>
                <w:lang w:val="ro-RO"/>
              </w:rPr>
              <w:t>Participare la sustinerea unei teze de doctor in calitate de referent oficial</w:t>
            </w:r>
          </w:p>
        </w:tc>
        <w:tc>
          <w:tcPr>
            <w:tcW w:w="18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bCs/>
                <w:spacing w:val="20"/>
                <w:sz w:val="22"/>
                <w:szCs w:val="22"/>
                <w:lang w:val="ro-RO" w:eastAsia="en-US"/>
              </w:rPr>
              <w:t>30.03.2016 – 03.04.2016</w:t>
            </w:r>
          </w:p>
        </w:tc>
      </w:tr>
      <w:tr>
        <w:trPr/>
        <w:tc>
          <w:tcPr>
            <w:tcW w:w="534"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both"/>
              <w:textAlignment w:val="auto"/>
              <w:rPr>
                <w:rFonts w:ascii="Times New Roman" w:hAnsi="Times New Roman"/>
                <w:sz w:val="22"/>
                <w:szCs w:val="22"/>
                <w:lang w:val="ro-MD"/>
              </w:rPr>
            </w:pPr>
            <w:r>
              <w:rPr>
                <w:sz w:val="22"/>
                <w:szCs w:val="22"/>
                <w:lang w:val="ro-MD"/>
              </w:rPr>
            </w:r>
          </w:p>
        </w:tc>
        <w:tc>
          <w:tcPr>
            <w:tcW w:w="2160"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left"/>
              <w:textAlignment w:val="auto"/>
              <w:rPr>
                <w:lang w:val="ro-MD"/>
              </w:rPr>
            </w:pPr>
            <w:r>
              <w:rPr>
                <w:sz w:val="22"/>
                <w:szCs w:val="22"/>
                <w:lang w:val="ro-MD"/>
              </w:rPr>
              <w:t>Grini Alexandru,</w:t>
            </w:r>
          </w:p>
          <w:p>
            <w:pPr>
              <w:pStyle w:val="Normal"/>
              <w:widowControl/>
              <w:bidi w:val="0"/>
              <w:ind w:left="0" w:right="0" w:hanging="0"/>
              <w:jc w:val="left"/>
              <w:textAlignment w:val="auto"/>
              <w:rPr>
                <w:lang w:val="fr-FR"/>
              </w:rPr>
            </w:pPr>
            <w:r>
              <w:rPr>
                <w:sz w:val="22"/>
                <w:szCs w:val="22"/>
                <w:lang w:val="fr-FR"/>
              </w:rPr>
              <w:t>dr., conf. univ.</w:t>
            </w:r>
          </w:p>
          <w:p>
            <w:pPr>
              <w:pStyle w:val="Normal"/>
              <w:widowControl/>
              <w:bidi w:val="0"/>
              <w:ind w:left="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0" w:right="0" w:hanging="0"/>
              <w:jc w:val="left"/>
              <w:textAlignment w:val="auto"/>
              <w:rPr>
                <w:rFonts w:ascii="Times New Roman" w:hAnsi="Times New Roman"/>
                <w:sz w:val="22"/>
                <w:szCs w:val="22"/>
                <w:lang w:val="ro-MD"/>
              </w:rPr>
            </w:pPr>
            <w:r>
              <w:rPr>
                <w:sz w:val="22"/>
                <w:szCs w:val="22"/>
                <w:lang w:val="ro-MD"/>
              </w:rPr>
            </w:r>
          </w:p>
        </w:tc>
        <w:tc>
          <w:tcPr>
            <w:tcW w:w="2150"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left"/>
              <w:textAlignment w:val="auto"/>
              <w:rPr>
                <w:lang w:val="ro-MD"/>
              </w:rPr>
            </w:pPr>
            <w:r>
              <w:rPr>
                <w:sz w:val="22"/>
                <w:szCs w:val="22"/>
                <w:lang w:val="ro-MD"/>
              </w:rPr>
              <w:t>Belarus, Universitatea de Stat din Grodno, Belarus</w:t>
            </w:r>
          </w:p>
        </w:tc>
        <w:tc>
          <w:tcPr>
            <w:tcW w:w="3408" w:type="dxa"/>
            <w:tcBorders>
              <w:top w:val="single" w:sz="4" w:space="0" w:color="000001"/>
              <w:left w:val="single" w:sz="4" w:space="0" w:color="000001"/>
              <w:bottom w:val="single" w:sz="4" w:space="0" w:color="000001"/>
              <w:insideH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Colaborare ştiinţifică.</w:t>
            </w:r>
          </w:p>
          <w:p>
            <w:pPr>
              <w:pStyle w:val="Normal"/>
              <w:widowControl/>
              <w:bidi w:val="0"/>
              <w:ind w:left="0" w:right="0" w:hanging="0"/>
              <w:jc w:val="left"/>
              <w:textAlignment w:val="auto"/>
              <w:rPr>
                <w:lang w:val="ro-RO"/>
              </w:rPr>
            </w:pPr>
            <w:r>
              <w:rPr>
                <w:sz w:val="22"/>
                <w:szCs w:val="22"/>
                <w:lang w:val="ro-RO"/>
              </w:rPr>
              <w:t>Comunicare la seminar.</w:t>
            </w:r>
          </w:p>
        </w:tc>
        <w:tc>
          <w:tcPr>
            <w:tcW w:w="18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bCs/>
                <w:spacing w:val="20"/>
                <w:sz w:val="22"/>
                <w:szCs w:val="22"/>
                <w:lang w:val="ro-RO" w:eastAsia="en-US"/>
              </w:rPr>
              <w:t>02.09.2016 – 04.09.2016</w:t>
            </w:r>
          </w:p>
        </w:tc>
      </w:tr>
    </w:tbl>
    <w:p>
      <w:pPr>
        <w:pStyle w:val="Normal"/>
        <w:widowControl/>
        <w:bidi w:val="0"/>
        <w:ind w:left="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0" w:right="0" w:hanging="0"/>
        <w:jc w:val="left"/>
        <w:textAlignment w:val="auto"/>
        <w:rPr>
          <w:lang w:val="ro-MD"/>
        </w:rPr>
      </w:pPr>
      <w:r>
        <w:rPr>
          <w:rFonts w:cs="Times New Roman CE" w:ascii="Times New Roman CE" w:hAnsi="Times New Roman CE"/>
          <w:sz w:val="22"/>
          <w:szCs w:val="22"/>
          <w:lang w:val="ro-MD"/>
        </w:rPr>
        <w:t>Secretarul ştiinţific</w:t>
      </w:r>
      <w:r>
        <w:rPr>
          <w:i/>
          <w:sz w:val="22"/>
          <w:szCs w:val="22"/>
          <w:lang w:val="ro-MD"/>
        </w:rPr>
        <w:t xml:space="preserve">_________________________________ </w:t>
      </w:r>
      <w:r>
        <w:rPr>
          <w:sz w:val="22"/>
          <w:szCs w:val="22"/>
          <w:lang w:val="ro-MD"/>
        </w:rPr>
        <w:t>NAVAL Elvira</w:t>
      </w:r>
      <w:r>
        <w:rPr>
          <w:i/>
          <w:sz w:val="22"/>
          <w:szCs w:val="22"/>
          <w:lang w:val="ro-MD"/>
        </w:rPr>
        <w:t xml:space="preserve">         </w:t>
      </w:r>
    </w:p>
    <w:p>
      <w:pPr>
        <w:pStyle w:val="Normal"/>
        <w:widowControl/>
        <w:bidi w:val="0"/>
        <w:ind w:left="0" w:right="0" w:hanging="0"/>
        <w:jc w:val="left"/>
        <w:textAlignment w:val="auto"/>
        <w:rPr>
          <w:rFonts w:ascii="Times New Roman" w:hAnsi="Times New Roman"/>
          <w:i/>
          <w:i/>
          <w:sz w:val="22"/>
          <w:szCs w:val="22"/>
          <w:lang w:val="ro-MD"/>
        </w:rPr>
      </w:pPr>
      <w:r>
        <w:rPr>
          <w:i/>
          <w:sz w:val="22"/>
          <w:szCs w:val="22"/>
          <w:lang w:val="ro-MD"/>
        </w:rPr>
      </w:r>
    </w:p>
    <w:p>
      <w:pPr>
        <w:pStyle w:val="Normal"/>
        <w:widowControl/>
        <w:bidi w:val="0"/>
        <w:ind w:left="0" w:right="0" w:hanging="0"/>
        <w:jc w:val="left"/>
        <w:textAlignment w:val="auto"/>
        <w:rPr>
          <w:rFonts w:ascii="Times New Roman" w:hAnsi="Times New Roman"/>
          <w:i/>
          <w:i/>
          <w:sz w:val="22"/>
          <w:szCs w:val="22"/>
          <w:lang w:val="ro-MD"/>
        </w:rPr>
      </w:pPr>
      <w:r>
        <w:rPr>
          <w:i/>
          <w:sz w:val="22"/>
          <w:szCs w:val="22"/>
          <w:lang w:val="ro-MD"/>
        </w:rPr>
      </w:r>
    </w:p>
    <w:p>
      <w:pPr>
        <w:pStyle w:val="Normal"/>
        <w:widowControl/>
        <w:bidi w:val="0"/>
        <w:ind w:left="0" w:right="0" w:hanging="0"/>
        <w:jc w:val="left"/>
        <w:textAlignment w:val="auto"/>
        <w:rPr>
          <w:rFonts w:ascii="Times New Roman" w:hAnsi="Times New Roman"/>
          <w:i/>
          <w:i/>
          <w:sz w:val="22"/>
          <w:szCs w:val="22"/>
          <w:lang w:val="ro-MD"/>
        </w:rPr>
      </w:pPr>
      <w:r>
        <w:rPr>
          <w:i/>
          <w:sz w:val="22"/>
          <w:szCs w:val="22"/>
          <w:lang w:val="ro-MD"/>
        </w:rPr>
      </w:r>
    </w:p>
    <w:p>
      <w:pPr>
        <w:pStyle w:val="Normal"/>
        <w:widowControl/>
        <w:bidi w:val="0"/>
        <w:ind w:left="0" w:right="0" w:hanging="0"/>
        <w:jc w:val="left"/>
        <w:textAlignment w:val="auto"/>
        <w:rPr>
          <w:rFonts w:ascii="Times New Roman" w:hAnsi="Times New Roman"/>
          <w:i/>
          <w:i/>
          <w:sz w:val="22"/>
          <w:szCs w:val="22"/>
          <w:lang w:val="ro-MD"/>
        </w:rPr>
      </w:pPr>
      <w:r>
        <w:rPr>
          <w:i/>
          <w:sz w:val="22"/>
          <w:szCs w:val="22"/>
          <w:lang w:val="ro-MD"/>
        </w:rPr>
      </w:r>
    </w:p>
    <w:p>
      <w:pPr>
        <w:pStyle w:val="Normal"/>
        <w:widowControl/>
        <w:bidi w:val="0"/>
        <w:ind w:left="0" w:right="0" w:hanging="0"/>
        <w:jc w:val="left"/>
        <w:textAlignment w:val="auto"/>
        <w:rPr>
          <w:rFonts w:ascii="Times New Roman" w:hAnsi="Times New Roman"/>
          <w:i/>
          <w:i/>
          <w:sz w:val="22"/>
          <w:szCs w:val="22"/>
          <w:lang w:val="ro-MD"/>
        </w:rPr>
      </w:pPr>
      <w:r>
        <w:rPr>
          <w:i/>
          <w:sz w:val="22"/>
          <w:szCs w:val="22"/>
          <w:lang w:val="ro-MD"/>
        </w:rPr>
      </w:r>
    </w:p>
    <w:p>
      <w:pPr>
        <w:pStyle w:val="Normal"/>
        <w:widowControl/>
        <w:bidi w:val="0"/>
        <w:ind w:left="0" w:right="0" w:hanging="0"/>
        <w:jc w:val="left"/>
        <w:textAlignment w:val="auto"/>
        <w:rPr>
          <w:rFonts w:ascii="Times New Roman" w:hAnsi="Times New Roman"/>
          <w:i/>
          <w:i/>
          <w:sz w:val="22"/>
          <w:szCs w:val="22"/>
          <w:lang w:val="ro-MD"/>
        </w:rPr>
      </w:pPr>
      <w:r>
        <w:rPr>
          <w:i/>
          <w:sz w:val="22"/>
          <w:szCs w:val="22"/>
          <w:lang w:val="ro-MD"/>
        </w:rPr>
      </w:r>
    </w:p>
    <w:p>
      <w:pPr>
        <w:pStyle w:val="Normal"/>
        <w:widowControl/>
        <w:bidi w:val="0"/>
        <w:ind w:left="0" w:right="0" w:hanging="0"/>
        <w:jc w:val="left"/>
        <w:textAlignment w:val="auto"/>
        <w:rPr>
          <w:rFonts w:ascii="Times New Roman" w:hAnsi="Times New Roman"/>
          <w:i/>
          <w:i/>
          <w:sz w:val="22"/>
          <w:szCs w:val="22"/>
          <w:lang w:val="ro-MD"/>
        </w:rPr>
      </w:pPr>
      <w:r>
        <w:rPr>
          <w:i/>
          <w:sz w:val="22"/>
          <w:szCs w:val="22"/>
          <w:lang w:val="ro-MD"/>
        </w:rPr>
      </w:r>
    </w:p>
    <w:p>
      <w:pPr>
        <w:pStyle w:val="Normal"/>
        <w:widowControl/>
        <w:bidi w:val="0"/>
        <w:ind w:left="0" w:right="0" w:hanging="0"/>
        <w:jc w:val="left"/>
        <w:textAlignment w:val="auto"/>
        <w:rPr>
          <w:rFonts w:ascii="Times New Roman" w:hAnsi="Times New Roman"/>
          <w:i/>
          <w:i/>
          <w:sz w:val="22"/>
          <w:szCs w:val="22"/>
          <w:lang w:val="ro-MD"/>
        </w:rPr>
      </w:pPr>
      <w:r>
        <w:rPr>
          <w:i/>
          <w:sz w:val="22"/>
          <w:szCs w:val="22"/>
          <w:lang w:val="ro-MD"/>
        </w:rPr>
      </w:r>
    </w:p>
    <w:p>
      <w:pPr>
        <w:pStyle w:val="Normal"/>
        <w:widowControl/>
        <w:bidi w:val="0"/>
        <w:ind w:left="0" w:right="0" w:hanging="0"/>
        <w:jc w:val="left"/>
        <w:textAlignment w:val="auto"/>
        <w:rPr>
          <w:rFonts w:ascii="Times New Roman" w:hAnsi="Times New Roman"/>
          <w:i/>
          <w:i/>
          <w:sz w:val="22"/>
          <w:szCs w:val="22"/>
          <w:lang w:val="ro-MD"/>
        </w:rPr>
      </w:pPr>
      <w:r>
        <w:rPr>
          <w:i/>
          <w:sz w:val="22"/>
          <w:szCs w:val="22"/>
          <w:lang w:val="ro-MD"/>
        </w:rPr>
      </w:r>
    </w:p>
    <w:p>
      <w:pPr>
        <w:pStyle w:val="Normal"/>
        <w:widowControl/>
        <w:bidi w:val="0"/>
        <w:ind w:left="0" w:right="0" w:hanging="0"/>
        <w:jc w:val="left"/>
        <w:textAlignment w:val="auto"/>
        <w:rPr>
          <w:rFonts w:ascii="Times New Roman" w:hAnsi="Times New Roman"/>
          <w:i/>
          <w:i/>
          <w:sz w:val="22"/>
          <w:szCs w:val="22"/>
          <w:lang w:val="ro-MD"/>
        </w:rPr>
      </w:pPr>
      <w:r>
        <w:rPr>
          <w:i/>
          <w:sz w:val="22"/>
          <w:szCs w:val="22"/>
          <w:lang w:val="ro-MD"/>
        </w:rPr>
      </w:r>
    </w:p>
    <w:p>
      <w:pPr>
        <w:pStyle w:val="Normal"/>
        <w:widowControl/>
        <w:bidi w:val="0"/>
        <w:ind w:left="0" w:right="0" w:hanging="0"/>
        <w:jc w:val="left"/>
        <w:textAlignment w:val="auto"/>
        <w:rPr>
          <w:rFonts w:ascii="Times New Roman" w:hAnsi="Times New Roman"/>
          <w:i/>
          <w:i/>
          <w:sz w:val="22"/>
          <w:szCs w:val="22"/>
          <w:lang w:val="ro-MD"/>
        </w:rPr>
      </w:pPr>
      <w:r>
        <w:rPr>
          <w:i/>
          <w:sz w:val="22"/>
          <w:szCs w:val="22"/>
          <w:lang w:val="ro-MD"/>
        </w:rPr>
      </w:r>
    </w:p>
    <w:p>
      <w:pPr>
        <w:pStyle w:val="Normal"/>
        <w:widowControl/>
        <w:bidi w:val="0"/>
        <w:ind w:left="0" w:right="0" w:hanging="0"/>
        <w:jc w:val="left"/>
        <w:textAlignment w:val="auto"/>
        <w:rPr>
          <w:rFonts w:ascii="Times New Roman" w:hAnsi="Times New Roman"/>
          <w:i/>
          <w:i/>
          <w:sz w:val="22"/>
          <w:szCs w:val="22"/>
          <w:lang w:val="ro-MD"/>
        </w:rPr>
      </w:pPr>
      <w:r>
        <w:rPr>
          <w:i/>
          <w:sz w:val="22"/>
          <w:szCs w:val="22"/>
          <w:lang w:val="ro-MD"/>
        </w:rPr>
      </w:r>
    </w:p>
    <w:p>
      <w:pPr>
        <w:pStyle w:val="Normal"/>
        <w:widowControl/>
        <w:bidi w:val="0"/>
        <w:ind w:left="0" w:right="0" w:hanging="0"/>
        <w:jc w:val="left"/>
        <w:textAlignment w:val="auto"/>
        <w:rPr>
          <w:rFonts w:ascii="Times New Roman" w:hAnsi="Times New Roman"/>
          <w:i/>
          <w:i/>
          <w:sz w:val="22"/>
          <w:szCs w:val="22"/>
          <w:lang w:val="ro-MD"/>
        </w:rPr>
      </w:pPr>
      <w:r>
        <w:rPr>
          <w:i/>
          <w:sz w:val="22"/>
          <w:szCs w:val="22"/>
          <w:lang w:val="ro-MD"/>
        </w:rPr>
      </w:r>
    </w:p>
    <w:p>
      <w:pPr>
        <w:pStyle w:val="Normal"/>
        <w:widowControl/>
        <w:bidi w:val="0"/>
        <w:ind w:left="0" w:right="0" w:hanging="0"/>
        <w:jc w:val="left"/>
        <w:textAlignment w:val="auto"/>
        <w:rPr>
          <w:rFonts w:ascii="Times New Roman" w:hAnsi="Times New Roman"/>
          <w:i/>
          <w:i/>
          <w:sz w:val="22"/>
          <w:szCs w:val="22"/>
          <w:lang w:val="ro-MD"/>
        </w:rPr>
      </w:pPr>
      <w:r>
        <w:rPr>
          <w:i/>
          <w:sz w:val="22"/>
          <w:szCs w:val="22"/>
          <w:lang w:val="ro-MD"/>
        </w:rPr>
      </w:r>
    </w:p>
    <w:p>
      <w:pPr>
        <w:pStyle w:val="Normal"/>
        <w:widowControl/>
        <w:bidi w:val="0"/>
        <w:ind w:left="0" w:right="0" w:hanging="0"/>
        <w:jc w:val="left"/>
        <w:textAlignment w:val="auto"/>
        <w:rPr>
          <w:rFonts w:ascii="Times New Roman" w:hAnsi="Times New Roman"/>
          <w:i/>
          <w:i/>
          <w:sz w:val="22"/>
          <w:szCs w:val="22"/>
          <w:lang w:val="ro-MD"/>
        </w:rPr>
      </w:pPr>
      <w:r>
        <w:rPr>
          <w:i/>
          <w:sz w:val="22"/>
          <w:szCs w:val="22"/>
          <w:lang w:val="ro-MD"/>
        </w:rPr>
      </w:r>
    </w:p>
    <w:p>
      <w:pPr>
        <w:pStyle w:val="Normal"/>
        <w:widowControl/>
        <w:bidi w:val="0"/>
        <w:ind w:left="0" w:right="0" w:hanging="0"/>
        <w:jc w:val="left"/>
        <w:textAlignment w:val="auto"/>
        <w:rPr>
          <w:rFonts w:ascii="Times New Roman" w:hAnsi="Times New Roman"/>
          <w:i/>
          <w:i/>
          <w:sz w:val="22"/>
          <w:szCs w:val="22"/>
          <w:lang w:val="ro-MD"/>
        </w:rPr>
      </w:pPr>
      <w:r>
        <w:rPr>
          <w:i/>
          <w:sz w:val="22"/>
          <w:szCs w:val="22"/>
          <w:lang w:val="ro-MD"/>
        </w:rPr>
      </w:r>
    </w:p>
    <w:p>
      <w:pPr>
        <w:pStyle w:val="Normal"/>
        <w:widowControl/>
        <w:bidi w:val="0"/>
        <w:ind w:left="0" w:right="0" w:hanging="0"/>
        <w:jc w:val="left"/>
        <w:textAlignment w:val="auto"/>
        <w:rPr>
          <w:rFonts w:ascii="Times New Roman" w:hAnsi="Times New Roman"/>
          <w:i/>
          <w:i/>
          <w:sz w:val="22"/>
          <w:szCs w:val="22"/>
          <w:lang w:val="ro-MD"/>
        </w:rPr>
      </w:pPr>
      <w:r>
        <w:rPr>
          <w:i/>
          <w:sz w:val="22"/>
          <w:szCs w:val="22"/>
          <w:lang w:val="ro-MD"/>
        </w:rPr>
      </w:r>
    </w:p>
    <w:p>
      <w:pPr>
        <w:pStyle w:val="Normal"/>
        <w:widowControl/>
        <w:bidi w:val="0"/>
        <w:ind w:left="0" w:right="0" w:hanging="0"/>
        <w:jc w:val="left"/>
        <w:textAlignment w:val="auto"/>
        <w:rPr>
          <w:rFonts w:ascii="Times New Roman" w:hAnsi="Times New Roman"/>
          <w:i/>
          <w:i/>
          <w:sz w:val="22"/>
          <w:szCs w:val="22"/>
          <w:lang w:val="ro-MD"/>
        </w:rPr>
      </w:pPr>
      <w:r>
        <w:rPr>
          <w:i/>
          <w:sz w:val="22"/>
          <w:szCs w:val="22"/>
          <w:lang w:val="ro-MD"/>
        </w:rPr>
      </w:r>
    </w:p>
    <w:p>
      <w:pPr>
        <w:pStyle w:val="Normal"/>
        <w:widowControl/>
        <w:bidi w:val="0"/>
        <w:ind w:left="0" w:right="0" w:hanging="0"/>
        <w:jc w:val="left"/>
        <w:textAlignment w:val="auto"/>
        <w:rPr>
          <w:rFonts w:ascii="Times New Roman" w:hAnsi="Times New Roman"/>
          <w:i/>
          <w:i/>
          <w:sz w:val="22"/>
          <w:szCs w:val="22"/>
          <w:lang w:val="ro-MD"/>
        </w:rPr>
      </w:pPr>
      <w:r>
        <w:rPr>
          <w:i/>
          <w:sz w:val="22"/>
          <w:szCs w:val="22"/>
          <w:lang w:val="ro-MD"/>
        </w:rPr>
      </w:r>
    </w:p>
    <w:p>
      <w:pPr>
        <w:pStyle w:val="Normal"/>
        <w:widowControl/>
        <w:bidi w:val="0"/>
        <w:ind w:left="0" w:right="0" w:hanging="0"/>
        <w:jc w:val="left"/>
        <w:textAlignment w:val="auto"/>
        <w:rPr>
          <w:rFonts w:ascii="Times New Roman" w:hAnsi="Times New Roman"/>
          <w:i/>
          <w:i/>
          <w:sz w:val="22"/>
          <w:szCs w:val="22"/>
          <w:lang w:val="ro-MD"/>
        </w:rPr>
      </w:pPr>
      <w:r>
        <w:rPr>
          <w:i/>
          <w:sz w:val="22"/>
          <w:szCs w:val="22"/>
          <w:lang w:val="ro-MD"/>
        </w:rPr>
      </w:r>
    </w:p>
    <w:p>
      <w:pPr>
        <w:pStyle w:val="Normal"/>
        <w:widowControl/>
        <w:bidi w:val="0"/>
        <w:ind w:left="0" w:right="0" w:hanging="0"/>
        <w:jc w:val="left"/>
        <w:textAlignment w:val="auto"/>
        <w:rPr>
          <w:rFonts w:ascii="Times New Roman" w:hAnsi="Times New Roman"/>
          <w:i/>
          <w:i/>
          <w:sz w:val="22"/>
          <w:szCs w:val="22"/>
          <w:lang w:val="ro-MD"/>
        </w:rPr>
      </w:pPr>
      <w:r>
        <w:rPr>
          <w:i/>
          <w:sz w:val="22"/>
          <w:szCs w:val="22"/>
          <w:lang w:val="ro-MD"/>
        </w:rPr>
      </w:r>
    </w:p>
    <w:p>
      <w:pPr>
        <w:pStyle w:val="Normal"/>
        <w:widowControl/>
        <w:bidi w:val="0"/>
        <w:ind w:left="0" w:right="0" w:hanging="0"/>
        <w:jc w:val="left"/>
        <w:textAlignment w:val="auto"/>
        <w:rPr>
          <w:rFonts w:ascii="Times New Roman" w:hAnsi="Times New Roman"/>
          <w:i/>
          <w:i/>
          <w:sz w:val="22"/>
          <w:szCs w:val="22"/>
          <w:lang w:val="ro-MD"/>
        </w:rPr>
      </w:pPr>
      <w:r>
        <w:rPr>
          <w:i/>
          <w:sz w:val="22"/>
          <w:szCs w:val="22"/>
          <w:lang w:val="ro-MD"/>
        </w:rPr>
      </w:r>
    </w:p>
    <w:p>
      <w:pPr>
        <w:pStyle w:val="Normal"/>
        <w:widowControl/>
        <w:bidi w:val="0"/>
        <w:ind w:left="0" w:right="0" w:hanging="0"/>
        <w:jc w:val="left"/>
        <w:textAlignment w:val="auto"/>
        <w:rPr>
          <w:rFonts w:ascii="Times New Roman" w:hAnsi="Times New Roman"/>
          <w:i/>
          <w:i/>
          <w:sz w:val="22"/>
          <w:szCs w:val="22"/>
          <w:lang w:val="ro-MD"/>
        </w:rPr>
      </w:pPr>
      <w:r>
        <w:rPr>
          <w:i/>
          <w:sz w:val="22"/>
          <w:szCs w:val="22"/>
          <w:lang w:val="ro-MD"/>
        </w:rPr>
      </w:r>
    </w:p>
    <w:p>
      <w:pPr>
        <w:pStyle w:val="Normal"/>
        <w:widowControl/>
        <w:bidi w:val="0"/>
        <w:ind w:left="0" w:right="0" w:hanging="0"/>
        <w:jc w:val="left"/>
        <w:textAlignment w:val="auto"/>
        <w:rPr>
          <w:rFonts w:ascii="Times New Roman" w:hAnsi="Times New Roman"/>
          <w:i/>
          <w:i/>
          <w:sz w:val="22"/>
          <w:szCs w:val="22"/>
          <w:lang w:val="ro-MD"/>
        </w:rPr>
      </w:pPr>
      <w:r>
        <w:rPr>
          <w:i/>
          <w:sz w:val="22"/>
          <w:szCs w:val="22"/>
          <w:lang w:val="ro-MD"/>
        </w:rPr>
      </w:r>
    </w:p>
    <w:p>
      <w:pPr>
        <w:pStyle w:val="Normal"/>
        <w:widowControl/>
        <w:bidi w:val="0"/>
        <w:ind w:left="0" w:right="0" w:hanging="0"/>
        <w:jc w:val="left"/>
        <w:textAlignment w:val="auto"/>
        <w:rPr>
          <w:rFonts w:ascii="Times New Roman" w:hAnsi="Times New Roman"/>
          <w:i/>
          <w:i/>
          <w:sz w:val="22"/>
          <w:szCs w:val="22"/>
          <w:lang w:val="ro-MD"/>
        </w:rPr>
      </w:pPr>
      <w:r>
        <w:rPr>
          <w:i/>
          <w:sz w:val="22"/>
          <w:szCs w:val="22"/>
          <w:lang w:val="ro-MD"/>
        </w:rPr>
      </w:r>
    </w:p>
    <w:p>
      <w:pPr>
        <w:pStyle w:val="Normal"/>
        <w:widowControl/>
        <w:bidi w:val="0"/>
        <w:ind w:left="0" w:right="0" w:hanging="0"/>
        <w:jc w:val="left"/>
        <w:textAlignment w:val="auto"/>
        <w:rPr>
          <w:rFonts w:ascii="Times New Roman" w:hAnsi="Times New Roman"/>
          <w:i/>
          <w:i/>
          <w:sz w:val="22"/>
          <w:szCs w:val="22"/>
          <w:lang w:val="ro-MD"/>
        </w:rPr>
      </w:pPr>
      <w:r>
        <w:rPr>
          <w:i/>
          <w:sz w:val="22"/>
          <w:szCs w:val="22"/>
          <w:lang w:val="ro-MD"/>
        </w:rPr>
      </w:r>
    </w:p>
    <w:p>
      <w:pPr>
        <w:pStyle w:val="Normal"/>
        <w:widowControl/>
        <w:bidi w:val="0"/>
        <w:ind w:left="0" w:right="0" w:hanging="0"/>
        <w:jc w:val="left"/>
        <w:textAlignment w:val="auto"/>
        <w:rPr>
          <w:rFonts w:ascii="Times New Roman" w:hAnsi="Times New Roman"/>
          <w:i/>
          <w:i/>
          <w:sz w:val="22"/>
          <w:szCs w:val="22"/>
          <w:lang w:val="ro-MD"/>
        </w:rPr>
      </w:pPr>
      <w:r>
        <w:rPr>
          <w:i/>
          <w:sz w:val="22"/>
          <w:szCs w:val="22"/>
          <w:lang w:val="ro-MD"/>
        </w:rPr>
      </w:r>
    </w:p>
    <w:p>
      <w:pPr>
        <w:pStyle w:val="Normal"/>
        <w:widowControl/>
        <w:bidi w:val="0"/>
        <w:ind w:left="0" w:right="0" w:hanging="0"/>
        <w:jc w:val="left"/>
        <w:textAlignment w:val="auto"/>
        <w:rPr>
          <w:rFonts w:ascii="Times New Roman" w:hAnsi="Times New Roman"/>
          <w:i/>
          <w:i/>
          <w:sz w:val="22"/>
          <w:szCs w:val="22"/>
          <w:lang w:val="ro-MD"/>
        </w:rPr>
      </w:pPr>
      <w:r>
        <w:rPr>
          <w:i/>
          <w:sz w:val="22"/>
          <w:szCs w:val="22"/>
          <w:lang w:val="ro-MD"/>
        </w:rPr>
      </w:r>
    </w:p>
    <w:p>
      <w:pPr>
        <w:pStyle w:val="Normal"/>
        <w:widowControl/>
        <w:bidi w:val="0"/>
        <w:ind w:left="0" w:right="0" w:hanging="0"/>
        <w:jc w:val="left"/>
        <w:textAlignment w:val="auto"/>
        <w:rPr>
          <w:rFonts w:ascii="Times New Roman" w:hAnsi="Times New Roman"/>
          <w:i/>
          <w:i/>
          <w:sz w:val="22"/>
          <w:szCs w:val="22"/>
          <w:lang w:val="ro-MD"/>
        </w:rPr>
      </w:pPr>
      <w:r>
        <w:rPr>
          <w:i/>
          <w:sz w:val="22"/>
          <w:szCs w:val="22"/>
          <w:lang w:val="ro-MD"/>
        </w:rPr>
      </w:r>
    </w:p>
    <w:p>
      <w:pPr>
        <w:pStyle w:val="Normal"/>
        <w:widowControl/>
        <w:bidi w:val="0"/>
        <w:ind w:left="0" w:right="0" w:hanging="0"/>
        <w:jc w:val="left"/>
        <w:textAlignment w:val="auto"/>
        <w:rPr>
          <w:rFonts w:ascii="Times New Roman" w:hAnsi="Times New Roman"/>
          <w:i/>
          <w:i/>
          <w:sz w:val="22"/>
          <w:szCs w:val="22"/>
          <w:lang w:val="ro-MD"/>
        </w:rPr>
      </w:pPr>
      <w:r>
        <w:rPr>
          <w:i/>
          <w:sz w:val="22"/>
          <w:szCs w:val="22"/>
          <w:lang w:val="ro-MD"/>
        </w:rPr>
      </w:r>
    </w:p>
    <w:p>
      <w:pPr>
        <w:pStyle w:val="Normal"/>
        <w:widowControl/>
        <w:bidi w:val="0"/>
        <w:ind w:left="0" w:right="0" w:hanging="0"/>
        <w:jc w:val="left"/>
        <w:textAlignment w:val="auto"/>
        <w:rPr>
          <w:rFonts w:ascii="Times New Roman" w:hAnsi="Times New Roman"/>
          <w:i/>
          <w:i/>
          <w:sz w:val="22"/>
          <w:szCs w:val="22"/>
          <w:lang w:val="ro-MD"/>
        </w:rPr>
      </w:pPr>
      <w:r>
        <w:rPr>
          <w:i/>
          <w:sz w:val="22"/>
          <w:szCs w:val="22"/>
          <w:lang w:val="ro-MD"/>
        </w:rPr>
      </w:r>
    </w:p>
    <w:p>
      <w:pPr>
        <w:pStyle w:val="Normal"/>
        <w:widowControl/>
        <w:bidi w:val="0"/>
        <w:ind w:left="0" w:right="0" w:hanging="0"/>
        <w:jc w:val="left"/>
        <w:textAlignment w:val="auto"/>
        <w:rPr>
          <w:rFonts w:ascii="Times New Roman" w:hAnsi="Times New Roman"/>
          <w:i/>
          <w:i/>
          <w:sz w:val="22"/>
          <w:szCs w:val="22"/>
          <w:lang w:val="ro-MD"/>
        </w:rPr>
      </w:pPr>
      <w:r>
        <w:rPr>
          <w:i/>
          <w:sz w:val="22"/>
          <w:szCs w:val="22"/>
          <w:lang w:val="ro-MD"/>
        </w:rPr>
      </w:r>
    </w:p>
    <w:p>
      <w:pPr>
        <w:sectPr>
          <w:type w:val="nextPage"/>
          <w:pgSz w:w="11906" w:h="16838"/>
          <w:pgMar w:left="1560" w:right="720" w:header="0" w:top="284" w:footer="0" w:bottom="426" w:gutter="0"/>
          <w:pgNumType w:fmt="decimal"/>
          <w:formProt w:val="false"/>
          <w:textDirection w:val="lrTb"/>
          <w:docGrid w:type="default" w:linePitch="240" w:charSpace="4294961151"/>
        </w:sectPr>
        <w:pStyle w:val="Normal"/>
        <w:widowControl/>
        <w:bidi w:val="0"/>
        <w:ind w:left="0" w:right="0" w:hanging="0"/>
        <w:jc w:val="left"/>
        <w:textAlignment w:val="auto"/>
        <w:rPr>
          <w:rFonts w:ascii="Times New Roman" w:hAnsi="Times New Roman"/>
          <w:i/>
          <w:i/>
          <w:sz w:val="22"/>
          <w:szCs w:val="22"/>
          <w:lang w:val="ro-MD"/>
        </w:rPr>
      </w:pPr>
      <w:r>
        <w:rPr>
          <w:i/>
          <w:sz w:val="22"/>
          <w:szCs w:val="22"/>
          <w:lang w:val="ro-MD"/>
        </w:rPr>
      </w:r>
    </w:p>
    <w:p>
      <w:pPr>
        <w:pStyle w:val="Normal"/>
        <w:widowControl/>
        <w:bidi w:val="0"/>
        <w:ind w:left="0" w:right="0" w:hanging="0"/>
        <w:jc w:val="left"/>
        <w:textAlignment w:val="auto"/>
        <w:rPr>
          <w:rFonts w:ascii="Times New Roman" w:hAnsi="Times New Roman"/>
          <w:i/>
          <w:i/>
          <w:sz w:val="22"/>
          <w:szCs w:val="22"/>
          <w:lang w:val="ro-MD"/>
        </w:rPr>
      </w:pPr>
      <w:r>
        <w:rPr>
          <w:i/>
          <w:sz w:val="22"/>
          <w:szCs w:val="22"/>
          <w:lang w:val="ro-MD"/>
        </w:rPr>
      </w:r>
    </w:p>
    <w:p>
      <w:pPr>
        <w:pStyle w:val="Normal"/>
        <w:widowControl/>
        <w:bidi w:val="0"/>
        <w:ind w:left="0" w:right="0" w:hanging="0"/>
        <w:jc w:val="left"/>
        <w:textAlignment w:val="auto"/>
        <w:rPr>
          <w:rFonts w:ascii="Times New Roman" w:hAnsi="Times New Roman"/>
          <w:i/>
          <w:i/>
          <w:sz w:val="22"/>
          <w:szCs w:val="22"/>
          <w:lang w:val="ro-MD"/>
        </w:rPr>
      </w:pPr>
      <w:r>
        <w:rPr>
          <w:i/>
          <w:sz w:val="22"/>
          <w:szCs w:val="22"/>
          <w:lang w:val="ro-MD"/>
        </w:rPr>
      </w:r>
    </w:p>
    <w:p>
      <w:pPr>
        <w:pStyle w:val="1"/>
        <w:keepNext/>
        <w:widowControl/>
        <w:numPr>
          <w:ilvl w:val="0"/>
          <w:numId w:val="0"/>
        </w:numPr>
        <w:bidi w:val="0"/>
        <w:spacing w:before="0" w:after="0"/>
        <w:ind w:left="0" w:right="0" w:hanging="0"/>
        <w:jc w:val="left"/>
        <w:textAlignment w:val="auto"/>
        <w:outlineLvl w:val="0"/>
        <w:rPr>
          <w:b w:val="false"/>
          <w:b w:val="false"/>
          <w:lang w:val="en-US"/>
        </w:rPr>
      </w:pPr>
      <w:bookmarkStart w:id="186" w:name="_Forma_81"/>
      <w:bookmarkStart w:id="187" w:name="_Toc469651927"/>
      <w:bookmarkStart w:id="188" w:name="_Toc4696519271"/>
      <w:bookmarkEnd w:id="187"/>
      <w:bookmarkEnd w:id="186"/>
      <w:bookmarkEnd w:id="188"/>
      <w:r>
        <w:rPr>
          <w:rFonts w:cs="Times New Roman CE" w:ascii="Times New Roman CE" w:hAnsi="Times New Roman CE"/>
          <w:b w:val="false"/>
          <w:lang w:val="en-US"/>
        </w:rPr>
        <w:t>Organizarea Manifestărilor ştiinţifice (Forma 8)</w:t>
      </w:r>
    </w:p>
    <w:p>
      <w:pPr>
        <w:pStyle w:val="Normal"/>
        <w:widowControl/>
        <w:bidi w:val="0"/>
        <w:ind w:left="2760" w:right="0" w:hanging="0"/>
        <w:jc w:val="left"/>
        <w:textAlignment w:val="auto"/>
        <w:rPr>
          <w:rFonts w:ascii="Times New Roman" w:hAnsi="Times New Roman"/>
          <w:lang w:val="ro-MD"/>
        </w:rPr>
      </w:pPr>
      <w:r>
        <w:rPr>
          <w:lang w:val="ro-MD"/>
        </w:rPr>
      </w:r>
    </w:p>
    <w:p>
      <w:pPr>
        <w:pStyle w:val="Normal"/>
        <w:widowControl/>
        <w:bidi w:val="0"/>
        <w:ind w:left="0" w:right="0" w:hanging="0"/>
        <w:jc w:val="right"/>
        <w:textAlignment w:val="auto"/>
        <w:rPr>
          <w:lang w:val="ro-MD"/>
        </w:rPr>
      </w:pPr>
      <w:r>
        <w:rPr>
          <w:rFonts w:cs="Times New Roman CE" w:ascii="Times New Roman CE" w:hAnsi="Times New Roman CE"/>
          <w:sz w:val="22"/>
          <w:szCs w:val="22"/>
          <w:lang w:val="ro-MD"/>
        </w:rPr>
        <w:t>Anexă la Raportul de activitate al</w:t>
      </w:r>
      <w:r>
        <w:rPr/>
        <w:br/>
      </w:r>
      <w:r>
        <w:rPr>
          <w:i/>
          <w:sz w:val="22"/>
          <w:szCs w:val="22"/>
          <w:lang w:val="ro-MD"/>
        </w:rPr>
        <w:t xml:space="preserve">  </w:t>
      </w:r>
      <w:r>
        <w:rPr>
          <w:bCs/>
          <w:i/>
          <w:sz w:val="22"/>
          <w:szCs w:val="22"/>
          <w:lang w:val="ro-MD"/>
        </w:rPr>
        <w:t>Institutul</w:t>
      </w:r>
      <w:r>
        <w:rPr>
          <w:bCs/>
          <w:i/>
          <w:sz w:val="22"/>
          <w:szCs w:val="22"/>
          <w:lang w:val="fr-FR"/>
        </w:rPr>
        <w:t>ui</w:t>
      </w:r>
      <w:r>
        <w:rPr>
          <w:bCs/>
          <w:i/>
          <w:sz w:val="22"/>
          <w:szCs w:val="22"/>
          <w:lang w:val="ro-MD"/>
        </w:rPr>
        <w:t xml:space="preserve"> de Matema</w:t>
      </w:r>
      <w:r>
        <w:rPr>
          <w:rFonts w:cs="Times New Roman CE" w:ascii="Times New Roman CE" w:hAnsi="Times New Roman CE"/>
          <w:bCs/>
          <w:i/>
          <w:sz w:val="22"/>
          <w:szCs w:val="22"/>
          <w:lang w:val="ro-MD"/>
        </w:rPr>
        <w:t>tică  şi  Informatic</w:t>
      </w:r>
      <w:r>
        <w:rPr>
          <w:rFonts w:cs="Times New Roman CE" w:ascii="Times New Roman CE" w:hAnsi="Times New Roman CE"/>
          <w:bCs/>
          <w:i/>
          <w:sz w:val="22"/>
          <w:szCs w:val="22"/>
          <w:lang w:val="ro-RO"/>
        </w:rPr>
        <w:t>ă</w:t>
      </w:r>
      <w:r>
        <w:rPr>
          <w:rFonts w:cs="Times New Roman CE" w:ascii="Times New Roman CE" w:hAnsi="Times New Roman CE"/>
          <w:bCs/>
          <w:i/>
          <w:sz w:val="22"/>
          <w:szCs w:val="22"/>
          <w:lang w:val="ro-MD"/>
        </w:rPr>
        <w:t xml:space="preserve"> </w:t>
      </w:r>
      <w:r>
        <w:rPr/>
        <w:br/>
      </w:r>
      <w:r>
        <w:rPr>
          <w:rFonts w:cs="Times New Roman CE" w:ascii="Times New Roman CE" w:hAnsi="Times New Roman CE"/>
          <w:bCs/>
          <w:i/>
          <w:sz w:val="22"/>
          <w:szCs w:val="22"/>
          <w:lang w:val="ro-MD"/>
        </w:rPr>
        <w:t xml:space="preserve">al AŞ a RM, Laboratorul  </w:t>
      </w:r>
      <w:r>
        <w:rPr>
          <w:rFonts w:cs="Times New Roman CE" w:ascii="Times New Roman CE" w:hAnsi="Times New Roman CE"/>
          <w:i/>
          <w:sz w:val="22"/>
          <w:szCs w:val="22"/>
          <w:lang w:val="ro-MD"/>
        </w:rPr>
        <w:t>Algebră şi Topologie</w:t>
      </w:r>
    </w:p>
    <w:p>
      <w:pPr>
        <w:pStyle w:val="2"/>
        <w:keepNext/>
        <w:widowControl/>
        <w:numPr>
          <w:ilvl w:val="0"/>
          <w:numId w:val="0"/>
        </w:numPr>
        <w:bidi w:val="0"/>
        <w:ind w:left="0" w:right="0" w:hanging="0"/>
        <w:jc w:val="left"/>
        <w:textAlignment w:val="auto"/>
        <w:outlineLvl w:val="1"/>
        <w:rPr>
          <w:rFonts w:ascii="Times New Roman" w:hAnsi="Times New Roman"/>
        </w:rPr>
      </w:pPr>
      <w:r>
        <w:rPr/>
      </w:r>
    </w:p>
    <w:p>
      <w:pPr>
        <w:pStyle w:val="2"/>
        <w:keepNext/>
        <w:widowControl/>
        <w:numPr>
          <w:ilvl w:val="0"/>
          <w:numId w:val="0"/>
        </w:numPr>
        <w:bidi w:val="0"/>
        <w:ind w:left="0" w:right="0" w:hanging="0"/>
        <w:jc w:val="left"/>
        <w:textAlignment w:val="auto"/>
        <w:outlineLvl w:val="1"/>
        <w:rPr/>
      </w:pPr>
      <w:bookmarkStart w:id="189" w:name="_Toc375219609"/>
      <w:bookmarkStart w:id="190" w:name="_Toc469651928"/>
      <w:bookmarkEnd w:id="189"/>
      <w:bookmarkEnd w:id="190"/>
      <w:r>
        <w:rPr>
          <w:rFonts w:cs="Times New Roman CE" w:ascii="Times New Roman CE" w:hAnsi="Times New Roman CE"/>
          <w:i/>
          <w:sz w:val="26"/>
          <w:szCs w:val="26"/>
        </w:rPr>
        <w:t>Seminarul ştiinţific internaţional „Valentin Belousov”</w:t>
      </w:r>
    </w:p>
    <w:p>
      <w:pPr>
        <w:pStyle w:val="Normal"/>
        <w:widowControl/>
        <w:bidi w:val="0"/>
        <w:ind w:left="4560" w:right="0" w:hanging="0"/>
        <w:jc w:val="right"/>
        <w:textAlignment w:val="auto"/>
        <w:rPr>
          <w:rFonts w:ascii="Times New Roman" w:hAnsi="Times New Roman"/>
          <w:i/>
          <w:i/>
          <w:color w:val="C00000"/>
          <w:sz w:val="22"/>
          <w:szCs w:val="22"/>
          <w:lang w:val="ro-MD"/>
        </w:rPr>
      </w:pPr>
      <w:r>
        <w:rPr>
          <w:i/>
          <w:color w:val="C00000"/>
          <w:sz w:val="22"/>
          <w:szCs w:val="22"/>
          <w:lang w:val="ro-MD"/>
        </w:rPr>
      </w:r>
    </w:p>
    <w:p>
      <w:pPr>
        <w:pStyle w:val="Normal"/>
        <w:widowControl/>
        <w:numPr>
          <w:ilvl w:val="0"/>
          <w:numId w:val="9"/>
        </w:numPr>
        <w:tabs>
          <w:tab w:val="left" w:pos="993" w:leader="none"/>
          <w:tab w:val="left" w:pos="1065" w:leader="none"/>
          <w:tab w:val="left" w:pos="2201" w:leader="none"/>
          <w:tab w:val="left" w:pos="2732" w:leader="none"/>
        </w:tabs>
        <w:bidi w:val="0"/>
        <w:spacing w:before="120" w:after="120"/>
        <w:ind w:left="2732" w:right="0" w:hanging="0"/>
        <w:jc w:val="left"/>
        <w:textAlignment w:val="auto"/>
        <w:rPr>
          <w:lang w:val="ro-MD"/>
        </w:rPr>
      </w:pPr>
      <w:r>
        <w:rPr>
          <w:rFonts w:cs="Times New Roman CE" w:ascii="Times New Roman CE" w:hAnsi="Times New Roman CE"/>
          <w:bCs/>
          <w:sz w:val="22"/>
          <w:szCs w:val="22"/>
          <w:lang w:val="ro-MD"/>
        </w:rPr>
        <w:t>Denumirea manifestării</w:t>
      </w:r>
    </w:p>
    <w:tbl>
      <w:tblPr>
        <w:tblW w:w="9496" w:type="dxa"/>
        <w:jc w:val="left"/>
        <w:tblInd w:w="284"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496"/>
      </w:tblGrid>
      <w:tr>
        <w:trPr/>
        <w:tc>
          <w:tcPr>
            <w:tcW w:w="9496"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tabs>
                <w:tab w:val="left" w:pos="960" w:leader="none"/>
              </w:tabs>
              <w:bidi w:val="0"/>
              <w:ind w:left="391" w:right="0" w:hanging="6"/>
              <w:jc w:val="left"/>
              <w:textAlignment w:val="auto"/>
              <w:rPr>
                <w:lang w:val="ro-MD"/>
              </w:rPr>
            </w:pPr>
            <w:r>
              <w:rPr>
                <w:rFonts w:cs="Times New Roman CE" w:ascii="Times New Roman CE" w:hAnsi="Times New Roman CE"/>
                <w:bCs/>
                <w:sz w:val="22"/>
                <w:szCs w:val="22"/>
                <w:lang w:val="ro-MD"/>
              </w:rPr>
              <w:t xml:space="preserve">Seminarul ştiinţific internaţional „Valentin Belousov” </w:t>
            </w:r>
          </w:p>
        </w:tc>
      </w:tr>
    </w:tbl>
    <w:p>
      <w:pPr>
        <w:pStyle w:val="Normal"/>
        <w:widowControl/>
        <w:numPr>
          <w:ilvl w:val="0"/>
          <w:numId w:val="9"/>
        </w:numPr>
        <w:tabs>
          <w:tab w:val="left" w:pos="709" w:leader="none"/>
          <w:tab w:val="left" w:pos="1065" w:leader="none"/>
          <w:tab w:val="left" w:pos="2201" w:leader="none"/>
          <w:tab w:val="left" w:pos="2732" w:leader="none"/>
        </w:tabs>
        <w:bidi w:val="0"/>
        <w:spacing w:before="120" w:after="120"/>
        <w:ind w:left="851" w:right="0" w:hanging="0"/>
        <w:jc w:val="left"/>
        <w:textAlignment w:val="auto"/>
        <w:rPr>
          <w:lang w:val="ro-MD"/>
        </w:rPr>
      </w:pPr>
      <w:r>
        <w:rPr>
          <w:bCs/>
          <w:sz w:val="22"/>
          <w:szCs w:val="22"/>
          <w:lang w:val="ro-MD"/>
        </w:rPr>
        <w:t>Denumirea</w:t>
      </w:r>
      <w:r>
        <w:rPr>
          <w:rFonts w:cs="Times New Roman CE" w:ascii="Times New Roman CE" w:hAnsi="Times New Roman CE"/>
          <w:sz w:val="22"/>
          <w:szCs w:val="22"/>
          <w:lang w:val="ro-MD"/>
        </w:rPr>
        <w:t xml:space="preserve"> organizaţiei</w:t>
      </w:r>
    </w:p>
    <w:tbl>
      <w:tblPr>
        <w:tblW w:w="9496" w:type="dxa"/>
        <w:jc w:val="left"/>
        <w:tblInd w:w="284"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496"/>
      </w:tblGrid>
      <w:tr>
        <w:trPr/>
        <w:tc>
          <w:tcPr>
            <w:tcW w:w="9496"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tabs>
                <w:tab w:val="left" w:pos="960" w:leader="none"/>
              </w:tabs>
              <w:bidi w:val="0"/>
              <w:ind w:left="2760" w:right="0" w:hanging="2369"/>
              <w:jc w:val="both"/>
              <w:textAlignment w:val="auto"/>
              <w:rPr>
                <w:lang w:val="ro-MD"/>
              </w:rPr>
            </w:pPr>
            <w:r>
              <w:rPr>
                <w:rFonts w:cs="Times New Roman CE" w:ascii="Times New Roman CE" w:hAnsi="Times New Roman CE"/>
                <w:sz w:val="22"/>
                <w:szCs w:val="22"/>
                <w:lang w:val="ro-MD"/>
              </w:rPr>
              <w:t xml:space="preserve">Institutul de Matemetică şi Informatică al A.Ş.M. </w:t>
            </w:r>
          </w:p>
        </w:tc>
      </w:tr>
    </w:tbl>
    <w:p>
      <w:pPr>
        <w:pStyle w:val="Normal"/>
        <w:widowControl/>
        <w:numPr>
          <w:ilvl w:val="0"/>
          <w:numId w:val="9"/>
        </w:numPr>
        <w:tabs>
          <w:tab w:val="left" w:pos="960" w:leader="none"/>
          <w:tab w:val="left" w:pos="1065" w:leader="none"/>
          <w:tab w:val="left" w:pos="2201" w:leader="none"/>
          <w:tab w:val="left" w:pos="2732" w:leader="none"/>
        </w:tabs>
        <w:bidi w:val="0"/>
        <w:spacing w:before="120" w:after="120"/>
        <w:ind w:left="993" w:right="0" w:hanging="0"/>
        <w:jc w:val="left"/>
        <w:textAlignment w:val="auto"/>
        <w:rPr>
          <w:lang w:val="ro-MD"/>
        </w:rPr>
      </w:pPr>
      <w:r>
        <w:rPr>
          <w:rFonts w:cs="Times New Roman CE" w:ascii="Times New Roman CE" w:hAnsi="Times New Roman CE"/>
          <w:sz w:val="22"/>
          <w:szCs w:val="22"/>
          <w:lang w:val="ro-MD"/>
        </w:rPr>
        <w:t xml:space="preserve">Preşedintele  comitetului de organizare </w:t>
      </w:r>
    </w:p>
    <w:tbl>
      <w:tblPr>
        <w:tblW w:w="9489" w:type="dxa"/>
        <w:jc w:val="left"/>
        <w:tblInd w:w="284"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489"/>
      </w:tblGrid>
      <w:tr>
        <w:trPr>
          <w:trHeight w:val="1083" w:hRule="atLeast"/>
        </w:trPr>
        <w:tc>
          <w:tcPr>
            <w:tcW w:w="9489"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tabs>
                <w:tab w:val="left" w:pos="960" w:leader="none"/>
              </w:tabs>
              <w:bidi w:val="0"/>
              <w:ind w:left="391" w:right="0" w:hanging="0"/>
              <w:jc w:val="left"/>
              <w:textAlignment w:val="auto"/>
              <w:rPr>
                <w:lang w:val="ro-MD"/>
              </w:rPr>
            </w:pPr>
            <w:r>
              <w:rPr>
                <w:sz w:val="22"/>
                <w:szCs w:val="22"/>
                <w:lang w:val="ro-MD"/>
              </w:rPr>
              <w:t>Izba</w:t>
            </w:r>
            <w:r>
              <w:rPr>
                <w:rFonts w:cs="Times New Roman CE" w:ascii="Times New Roman CE" w:hAnsi="Times New Roman CE"/>
                <w:sz w:val="22"/>
                <w:szCs w:val="22"/>
                <w:lang w:val="ro-RO"/>
              </w:rPr>
              <w:t>ş</w:t>
            </w:r>
            <w:r>
              <w:rPr>
                <w:sz w:val="22"/>
                <w:szCs w:val="22"/>
                <w:lang w:val="ro-RO"/>
              </w:rPr>
              <w:t xml:space="preserve"> Vladimir, </w:t>
            </w:r>
            <w:r>
              <w:rPr>
                <w:rFonts w:cs="Times New Roman CE" w:ascii="Times New Roman CE" w:hAnsi="Times New Roman CE"/>
                <w:sz w:val="22"/>
                <w:szCs w:val="22"/>
                <w:lang w:val="ro-MD"/>
              </w:rPr>
              <w:t>doctor în ştiinţe fizico-matematice, Institutul de Matemetică şi Informatică al A.Ş.M.</w:t>
            </w:r>
          </w:p>
          <w:p>
            <w:pPr>
              <w:pStyle w:val="Normal"/>
              <w:widowControl/>
              <w:tabs>
                <w:tab w:val="left" w:pos="960" w:leader="none"/>
              </w:tabs>
              <w:bidi w:val="0"/>
              <w:ind w:left="391" w:right="0" w:hanging="0"/>
              <w:jc w:val="left"/>
              <w:textAlignment w:val="auto"/>
              <w:rPr>
                <w:lang w:val="ro-MD"/>
              </w:rPr>
            </w:pPr>
            <w:r>
              <w:rPr>
                <w:rFonts w:cs="Times New Roman CE" w:ascii="Times New Roman CE" w:hAnsi="Times New Roman CE"/>
                <w:sz w:val="22"/>
                <w:szCs w:val="22"/>
                <w:lang w:val="ro-MD"/>
              </w:rPr>
              <w:t>Şcerbacov Victor</w:t>
            </w:r>
            <w:r>
              <w:rPr>
                <w:sz w:val="22"/>
                <w:szCs w:val="22"/>
                <w:lang w:val="ro-RO"/>
              </w:rPr>
              <w:t xml:space="preserve">, </w:t>
            </w:r>
            <w:r>
              <w:rPr>
                <w:sz w:val="22"/>
                <w:szCs w:val="22"/>
                <w:lang w:val="ro-MD"/>
              </w:rPr>
              <w:t xml:space="preserve">doctor habilitat </w:t>
            </w:r>
            <w:r>
              <w:rPr>
                <w:rFonts w:cs="Times New Roman CE" w:ascii="Times New Roman CE" w:hAnsi="Times New Roman CE"/>
                <w:sz w:val="22"/>
                <w:szCs w:val="22"/>
                <w:lang w:val="ro-MD"/>
              </w:rPr>
              <w:t>în ştiinţe fizico-matematice, Institutul de Matemetică şi Informatică al A.Ş.M.</w:t>
            </w:r>
          </w:p>
        </w:tc>
      </w:tr>
    </w:tbl>
    <w:p>
      <w:pPr>
        <w:pStyle w:val="Normal"/>
        <w:widowControl/>
        <w:numPr>
          <w:ilvl w:val="0"/>
          <w:numId w:val="9"/>
        </w:numPr>
        <w:tabs>
          <w:tab w:val="left" w:pos="960" w:leader="none"/>
          <w:tab w:val="left" w:pos="993" w:leader="none"/>
          <w:tab w:val="left" w:pos="1065" w:leader="none"/>
          <w:tab w:val="left" w:pos="2201" w:leader="none"/>
        </w:tabs>
        <w:bidi w:val="0"/>
        <w:spacing w:before="120" w:after="120"/>
        <w:ind w:left="993" w:right="0" w:hanging="0"/>
        <w:jc w:val="left"/>
        <w:textAlignment w:val="auto"/>
        <w:rPr>
          <w:lang w:val="ro-MD"/>
        </w:rPr>
      </w:pPr>
      <w:r>
        <w:rPr>
          <w:rFonts w:cs="Times New Roman CE" w:ascii="Times New Roman CE" w:hAnsi="Times New Roman CE"/>
          <w:sz w:val="22"/>
          <w:szCs w:val="22"/>
          <w:lang w:val="ro-MD"/>
        </w:rPr>
        <w:t xml:space="preserve">Participanţi </w:t>
      </w:r>
    </w:p>
    <w:tbl>
      <w:tblPr>
        <w:tblW w:w="9496" w:type="dxa"/>
        <w:jc w:val="left"/>
        <w:tblInd w:w="284" w:type="dxa"/>
        <w:tblBorders>
          <w:top w:val="dotted" w:sz="4" w:space="0" w:color="808080"/>
          <w:left w:val="dotted" w:sz="4" w:space="0" w:color="808080"/>
          <w:right w:val="dotted" w:sz="4" w:space="0" w:color="808080"/>
          <w:insideV w:val="dotted" w:sz="4" w:space="0" w:color="808080"/>
        </w:tblBorders>
        <w:tblCellMar>
          <w:top w:w="0" w:type="dxa"/>
          <w:left w:w="103" w:type="dxa"/>
          <w:bottom w:w="0" w:type="dxa"/>
          <w:right w:w="108" w:type="dxa"/>
        </w:tblCellMar>
      </w:tblPr>
      <w:tblGrid>
        <w:gridCol w:w="9496"/>
      </w:tblGrid>
      <w:tr>
        <w:trPr/>
        <w:tc>
          <w:tcPr>
            <w:tcW w:w="9496" w:type="dxa"/>
            <w:tcBorders>
              <w:top w:val="dotted" w:sz="4" w:space="0" w:color="808080"/>
              <w:left w:val="dotted" w:sz="4" w:space="0" w:color="808080"/>
              <w:right w:val="dotted" w:sz="4" w:space="0" w:color="808080"/>
              <w:insideV w:val="dotted" w:sz="4" w:space="0" w:color="808080"/>
            </w:tcBorders>
            <w:shd w:fill="auto" w:val="clear"/>
            <w:tcMar>
              <w:left w:w="103" w:type="dxa"/>
            </w:tcMar>
          </w:tcPr>
          <w:p>
            <w:pPr>
              <w:pStyle w:val="Normal"/>
              <w:widowControl/>
              <w:tabs>
                <w:tab w:val="left" w:pos="960" w:leader="none"/>
              </w:tabs>
              <w:bidi w:val="0"/>
              <w:ind w:left="0" w:right="0" w:hanging="0"/>
              <w:jc w:val="left"/>
              <w:textAlignment w:val="auto"/>
              <w:rPr>
                <w:lang w:val="ro-MD"/>
              </w:rPr>
            </w:pPr>
            <w:r>
              <w:rPr>
                <w:rFonts w:cs="Times New Roman CE" w:ascii="Times New Roman CE" w:hAnsi="Times New Roman CE"/>
                <w:sz w:val="22"/>
                <w:szCs w:val="22"/>
                <w:lang w:val="ro-MD"/>
              </w:rPr>
              <w:t>Numărul total - 23, inclusiv din străinătate -2 (SUA,  P olonia).</w:t>
            </w:r>
          </w:p>
        </w:tc>
      </w:tr>
      <w:tr>
        <w:trPr/>
        <w:tc>
          <w:tcPr>
            <w:tcW w:w="9496" w:type="dxa"/>
            <w:tcBorders>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tabs>
                <w:tab w:val="left" w:pos="960" w:leader="none"/>
              </w:tabs>
              <w:bidi w:val="0"/>
              <w:ind w:left="0" w:right="0" w:hanging="0"/>
              <w:jc w:val="left"/>
              <w:textAlignment w:val="auto"/>
              <w:rPr>
                <w:lang w:val="ro-MD"/>
              </w:rPr>
            </w:pPr>
            <w:r>
              <w:rPr>
                <w:sz w:val="22"/>
                <w:szCs w:val="22"/>
                <w:lang w:val="ro-MD"/>
              </w:rPr>
              <w:t>11 rapoarte.</w:t>
            </w:r>
          </w:p>
        </w:tc>
      </w:tr>
    </w:tbl>
    <w:p>
      <w:pPr>
        <w:pStyle w:val="Normal"/>
        <w:widowControl/>
        <w:numPr>
          <w:ilvl w:val="0"/>
          <w:numId w:val="9"/>
        </w:numPr>
        <w:tabs>
          <w:tab w:val="left" w:pos="960" w:leader="none"/>
          <w:tab w:val="left" w:pos="993" w:leader="none"/>
          <w:tab w:val="left" w:pos="1065" w:leader="none"/>
          <w:tab w:val="left" w:pos="2201" w:leader="none"/>
        </w:tabs>
        <w:bidi w:val="0"/>
        <w:spacing w:before="120" w:after="120"/>
        <w:ind w:left="993" w:right="0" w:hanging="0"/>
        <w:jc w:val="left"/>
        <w:textAlignment w:val="auto"/>
        <w:rPr>
          <w:lang w:val="ro-MD"/>
        </w:rPr>
      </w:pPr>
      <w:r>
        <w:rPr>
          <w:rFonts w:cs="Times New Roman CE" w:ascii="Times New Roman CE" w:hAnsi="Times New Roman CE"/>
          <w:sz w:val="22"/>
          <w:szCs w:val="22"/>
          <w:lang w:val="ro-MD"/>
        </w:rPr>
        <w:t xml:space="preserve">Recomandările manifestării ştiinţifice </w:t>
      </w:r>
    </w:p>
    <w:tbl>
      <w:tblPr>
        <w:tblW w:w="9496" w:type="dxa"/>
        <w:jc w:val="left"/>
        <w:tblInd w:w="284"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496"/>
      </w:tblGrid>
      <w:tr>
        <w:trPr/>
        <w:tc>
          <w:tcPr>
            <w:tcW w:w="9496"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571" w:right="0" w:hanging="0"/>
              <w:jc w:val="left"/>
              <w:textAlignment w:val="auto"/>
              <w:rPr>
                <w:lang w:val="ro-MD"/>
              </w:rPr>
            </w:pPr>
            <w:r>
              <w:rPr>
                <w:b/>
                <w:bCs/>
                <w:sz w:val="22"/>
                <w:szCs w:val="22"/>
                <w:lang w:val="ro-MD"/>
              </w:rPr>
              <w:t xml:space="preserve">- </w:t>
            </w:r>
            <w:r>
              <w:rPr>
                <w:rFonts w:cs="Times New Roman CE" w:ascii="Times New Roman CE" w:hAnsi="Times New Roman CE"/>
                <w:bCs/>
                <w:sz w:val="22"/>
                <w:szCs w:val="22"/>
                <w:lang w:val="ro-MD"/>
              </w:rPr>
              <w:t>De a extinde numărul participanţilor din străinătate;</w:t>
            </w:r>
          </w:p>
          <w:p>
            <w:pPr>
              <w:pStyle w:val="Normal"/>
              <w:widowControl/>
              <w:bidi w:val="0"/>
              <w:ind w:left="571" w:right="0" w:hanging="0"/>
              <w:jc w:val="left"/>
              <w:textAlignment w:val="auto"/>
              <w:rPr>
                <w:lang w:val="ro-MD"/>
              </w:rPr>
            </w:pPr>
            <w:r>
              <w:rPr>
                <w:bCs/>
                <w:sz w:val="22"/>
                <w:szCs w:val="22"/>
                <w:lang w:val="ro-MD"/>
              </w:rPr>
              <w:t>- De a prevedea posibilitatea petrec</w:t>
            </w:r>
            <w:r>
              <w:rPr>
                <w:rFonts w:cs="Times New Roman CE" w:ascii="Times New Roman CE" w:hAnsi="Times New Roman CE"/>
                <w:bCs/>
                <w:sz w:val="22"/>
                <w:szCs w:val="22"/>
                <w:lang w:val="ro-MD"/>
              </w:rPr>
              <w:t>erii seminarului în 2 zile.</w:t>
            </w:r>
          </w:p>
        </w:tc>
      </w:tr>
    </w:tbl>
    <w:p>
      <w:pPr>
        <w:pStyle w:val="Normal"/>
        <w:widowControl/>
        <w:bidi w:val="0"/>
        <w:ind w:left="72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lang w:val="ro-MD"/>
        </w:rPr>
      </w:pPr>
      <w:r>
        <w:rPr>
          <w:rFonts w:cs="Times New Roman CE" w:ascii="Times New Roman CE" w:hAnsi="Times New Roman CE"/>
          <w:sz w:val="22"/>
          <w:szCs w:val="22"/>
          <w:lang w:val="ro-MD"/>
        </w:rPr>
        <w:t>Secretarul ştiinţific______________________________</w:t>
      </w:r>
      <w:r>
        <w:rPr>
          <w:sz w:val="22"/>
          <w:szCs w:val="22"/>
          <w:lang w:val="ro-MD"/>
        </w:rPr>
        <w:t>___________ NAVAL Elvira</w:t>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0" w:right="0" w:hanging="0"/>
        <w:jc w:val="right"/>
        <w:textAlignment w:val="auto"/>
        <w:rPr>
          <w:lang w:val="ro-MD"/>
        </w:rPr>
      </w:pPr>
      <w:r>
        <w:rPr>
          <w:rFonts w:cs="Times New Roman CE" w:ascii="Times New Roman CE" w:hAnsi="Times New Roman CE"/>
          <w:sz w:val="22"/>
          <w:szCs w:val="22"/>
          <w:lang w:val="ro-MD"/>
        </w:rPr>
        <w:t>Anexă la Raportul de activitate al</w:t>
      </w:r>
      <w:r>
        <w:rPr/>
        <w:br/>
      </w:r>
      <w:r>
        <w:rPr>
          <w:i/>
          <w:sz w:val="22"/>
          <w:szCs w:val="22"/>
          <w:lang w:val="ro-MD"/>
        </w:rPr>
        <w:t xml:space="preserve">  </w:t>
      </w:r>
      <w:r>
        <w:rPr>
          <w:bCs/>
          <w:i/>
          <w:sz w:val="22"/>
          <w:szCs w:val="22"/>
          <w:lang w:val="ro-MD"/>
        </w:rPr>
        <w:t>Institutul</w:t>
      </w:r>
      <w:r>
        <w:rPr>
          <w:bCs/>
          <w:i/>
          <w:sz w:val="22"/>
          <w:szCs w:val="22"/>
          <w:lang w:val="fr-FR"/>
        </w:rPr>
        <w:t>ui</w:t>
      </w:r>
      <w:r>
        <w:rPr>
          <w:rFonts w:cs="Times New Roman CE" w:ascii="Times New Roman CE" w:hAnsi="Times New Roman CE"/>
          <w:bCs/>
          <w:i/>
          <w:sz w:val="22"/>
          <w:szCs w:val="22"/>
          <w:lang w:val="ro-MD"/>
        </w:rPr>
        <w:t xml:space="preserve"> de Matematică  şi  Informatic</w:t>
      </w:r>
      <w:r>
        <w:rPr>
          <w:rFonts w:cs="Times New Roman CE" w:ascii="Times New Roman CE" w:hAnsi="Times New Roman CE"/>
          <w:bCs/>
          <w:i/>
          <w:sz w:val="22"/>
          <w:szCs w:val="22"/>
          <w:lang w:val="ro-RO"/>
        </w:rPr>
        <w:t>ă</w:t>
      </w:r>
      <w:r>
        <w:rPr>
          <w:rFonts w:cs="Times New Roman CE" w:ascii="Times New Roman CE" w:hAnsi="Times New Roman CE"/>
          <w:bCs/>
          <w:i/>
          <w:sz w:val="22"/>
          <w:szCs w:val="22"/>
          <w:lang w:val="ro-MD"/>
        </w:rPr>
        <w:t xml:space="preserve"> </w:t>
      </w:r>
      <w:r>
        <w:rPr/>
        <w:br/>
      </w:r>
      <w:r>
        <w:rPr>
          <w:rFonts w:cs="Times New Roman CE" w:ascii="Times New Roman CE" w:hAnsi="Times New Roman CE"/>
          <w:bCs/>
          <w:i/>
          <w:sz w:val="22"/>
          <w:szCs w:val="22"/>
          <w:lang w:val="ro-MD"/>
        </w:rPr>
        <w:t xml:space="preserve">al AŞ a RM, Laboratorul  </w:t>
      </w:r>
      <w:r>
        <w:rPr>
          <w:rFonts w:cs="Times New Roman CE" w:ascii="Times New Roman CE" w:hAnsi="Times New Roman CE"/>
          <w:i/>
          <w:sz w:val="22"/>
          <w:szCs w:val="22"/>
          <w:lang w:val="ro-MD"/>
        </w:rPr>
        <w:t>Algebră şi Topol</w:t>
      </w:r>
      <w:r>
        <w:rPr>
          <w:i/>
          <w:sz w:val="22"/>
          <w:szCs w:val="22"/>
          <w:lang w:val="ro-MD"/>
        </w:rPr>
        <w:t>ogie</w:t>
      </w:r>
    </w:p>
    <w:p>
      <w:pPr>
        <w:pStyle w:val="Normal"/>
        <w:widowControl/>
        <w:bidi w:val="0"/>
        <w:ind w:left="4560" w:right="0" w:hanging="0"/>
        <w:jc w:val="right"/>
        <w:textAlignment w:val="auto"/>
        <w:rPr>
          <w:rFonts w:ascii="Times New Roman" w:hAnsi="Times New Roman"/>
          <w:i/>
          <w:i/>
          <w:color w:val="C00000"/>
          <w:sz w:val="22"/>
          <w:szCs w:val="22"/>
          <w:lang w:val="ro-MD"/>
        </w:rPr>
      </w:pPr>
      <w:r>
        <w:rPr>
          <w:i/>
          <w:color w:val="C00000"/>
          <w:sz w:val="22"/>
          <w:szCs w:val="22"/>
          <w:lang w:val="ro-MD"/>
        </w:rPr>
      </w:r>
    </w:p>
    <w:p>
      <w:pPr>
        <w:pStyle w:val="2"/>
        <w:keepNext/>
        <w:widowControl/>
        <w:numPr>
          <w:ilvl w:val="0"/>
          <w:numId w:val="0"/>
        </w:numPr>
        <w:bidi w:val="0"/>
        <w:ind w:left="0" w:right="0" w:hanging="0"/>
        <w:jc w:val="left"/>
        <w:textAlignment w:val="auto"/>
        <w:outlineLvl w:val="1"/>
        <w:rPr/>
      </w:pPr>
      <w:bookmarkStart w:id="191" w:name="_Toc469651929"/>
      <w:bookmarkEnd w:id="191"/>
      <w:r>
        <w:rPr>
          <w:rFonts w:cs="Times New Roman CE" w:ascii="Times New Roman CE" w:hAnsi="Times New Roman CE"/>
          <w:i/>
          <w:sz w:val="26"/>
          <w:szCs w:val="26"/>
        </w:rPr>
        <w:t>Seminarul ştiinţific internaţional „Alexandru Cuzneţov”</w:t>
      </w:r>
    </w:p>
    <w:p>
      <w:pPr>
        <w:pStyle w:val="Normal"/>
        <w:widowControl/>
        <w:bidi w:val="0"/>
        <w:ind w:left="4560" w:right="0" w:hanging="0"/>
        <w:jc w:val="right"/>
        <w:textAlignment w:val="auto"/>
        <w:rPr>
          <w:rFonts w:ascii="Times New Roman" w:hAnsi="Times New Roman"/>
          <w:i/>
          <w:i/>
          <w:color w:val="C00000"/>
          <w:sz w:val="22"/>
          <w:szCs w:val="22"/>
          <w:lang w:val="ro-MD"/>
        </w:rPr>
      </w:pPr>
      <w:r>
        <w:rPr>
          <w:i/>
          <w:color w:val="C00000"/>
          <w:sz w:val="22"/>
          <w:szCs w:val="22"/>
          <w:lang w:val="ro-MD"/>
        </w:rPr>
      </w:r>
    </w:p>
    <w:p>
      <w:pPr>
        <w:pStyle w:val="Normal"/>
        <w:widowControl/>
        <w:numPr>
          <w:ilvl w:val="0"/>
          <w:numId w:val="32"/>
        </w:numPr>
        <w:tabs>
          <w:tab w:val="left" w:pos="993" w:leader="none"/>
        </w:tabs>
        <w:bidi w:val="0"/>
        <w:spacing w:before="120" w:after="120"/>
        <w:ind w:left="2874" w:right="0" w:hanging="0"/>
        <w:jc w:val="left"/>
        <w:textAlignment w:val="auto"/>
        <w:rPr>
          <w:lang w:val="ro-MD"/>
        </w:rPr>
      </w:pPr>
      <w:r>
        <w:rPr>
          <w:rFonts w:cs="Times New Roman CE" w:ascii="Times New Roman CE" w:hAnsi="Times New Roman CE"/>
          <w:bCs/>
          <w:sz w:val="22"/>
          <w:szCs w:val="22"/>
          <w:lang w:val="ro-MD"/>
        </w:rPr>
        <w:t>Denumirea manifestării</w:t>
      </w:r>
    </w:p>
    <w:tbl>
      <w:tblPr>
        <w:tblW w:w="9213" w:type="dxa"/>
        <w:jc w:val="left"/>
        <w:tblInd w:w="567"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213"/>
      </w:tblGrid>
      <w:tr>
        <w:trPr/>
        <w:tc>
          <w:tcPr>
            <w:tcW w:w="9213"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2"/>
              <w:widowControl/>
              <w:numPr>
                <w:ilvl w:val="0"/>
                <w:numId w:val="0"/>
              </w:numPr>
              <w:bidi w:val="0"/>
              <w:ind w:left="0" w:right="0" w:hanging="0"/>
              <w:jc w:val="left"/>
              <w:textAlignment w:val="auto"/>
              <w:outlineLvl w:val="1"/>
              <w:rPr>
                <w:lang w:val="ro-MD"/>
              </w:rPr>
            </w:pPr>
            <w:bookmarkStart w:id="192" w:name="_Toc469651930"/>
            <w:bookmarkEnd w:id="192"/>
            <w:r>
              <w:rPr>
                <w:rFonts w:cs="Times New Roman CE" w:ascii="Times New Roman CE" w:hAnsi="Times New Roman CE"/>
                <w:bCs/>
                <w:sz w:val="22"/>
                <w:szCs w:val="22"/>
                <w:lang w:val="ro-MD" w:eastAsia="en-US"/>
              </w:rPr>
              <w:t>Seminarul ştiinţific „Alexandru Cuzneţov”</w:t>
            </w:r>
          </w:p>
          <w:p>
            <w:pPr>
              <w:pStyle w:val="Normal"/>
              <w:widowControl/>
              <w:tabs>
                <w:tab w:val="left" w:pos="960" w:leader="none"/>
              </w:tabs>
              <w:bidi w:val="0"/>
              <w:ind w:left="391" w:right="0" w:hanging="6"/>
              <w:jc w:val="left"/>
              <w:textAlignment w:val="auto"/>
              <w:rPr>
                <w:rFonts w:ascii="Times New Roman" w:hAnsi="Times New Roman"/>
                <w:bCs/>
                <w:lang w:val="ro-MD"/>
              </w:rPr>
            </w:pPr>
            <w:r>
              <w:rPr>
                <w:bCs/>
                <w:lang w:val="ro-MD"/>
              </w:rPr>
            </w:r>
          </w:p>
        </w:tc>
      </w:tr>
    </w:tbl>
    <w:p>
      <w:pPr>
        <w:pStyle w:val="Normal"/>
        <w:widowControl/>
        <w:numPr>
          <w:ilvl w:val="0"/>
          <w:numId w:val="32"/>
        </w:numPr>
        <w:tabs>
          <w:tab w:val="left" w:pos="2201" w:leader="none"/>
          <w:tab w:val="left" w:pos="2874" w:leader="none"/>
        </w:tabs>
        <w:bidi w:val="0"/>
        <w:spacing w:before="120" w:after="120"/>
        <w:ind w:left="993" w:right="0" w:hanging="0"/>
        <w:jc w:val="left"/>
        <w:textAlignment w:val="auto"/>
        <w:rPr>
          <w:lang w:val="ro-MD"/>
        </w:rPr>
      </w:pPr>
      <w:r>
        <w:rPr>
          <w:bCs/>
          <w:sz w:val="22"/>
          <w:szCs w:val="22"/>
          <w:lang w:val="ro-MD"/>
        </w:rPr>
        <w:t>Denumirea</w:t>
      </w:r>
      <w:r>
        <w:rPr>
          <w:rFonts w:cs="Times New Roman CE" w:ascii="Times New Roman CE" w:hAnsi="Times New Roman CE"/>
          <w:sz w:val="22"/>
          <w:szCs w:val="22"/>
          <w:lang w:val="ro-MD"/>
        </w:rPr>
        <w:t xml:space="preserve"> organizaţiei</w:t>
      </w:r>
    </w:p>
    <w:tbl>
      <w:tblPr>
        <w:tblW w:w="9213" w:type="dxa"/>
        <w:jc w:val="left"/>
        <w:tblInd w:w="567"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213"/>
      </w:tblGrid>
      <w:tr>
        <w:trPr/>
        <w:tc>
          <w:tcPr>
            <w:tcW w:w="9213"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tabs>
                <w:tab w:val="left" w:pos="960" w:leader="none"/>
              </w:tabs>
              <w:bidi w:val="0"/>
              <w:ind w:left="2760" w:right="0" w:hanging="2369"/>
              <w:jc w:val="both"/>
              <w:textAlignment w:val="auto"/>
              <w:rPr>
                <w:lang w:val="ro-MD"/>
              </w:rPr>
            </w:pPr>
            <w:r>
              <w:rPr>
                <w:rFonts w:cs="Times New Roman CE" w:ascii="Times New Roman CE" w:hAnsi="Times New Roman CE"/>
                <w:sz w:val="22"/>
                <w:szCs w:val="22"/>
                <w:lang w:val="ro-MD"/>
              </w:rPr>
              <w:t xml:space="preserve">Institutul de Matemetică şi Informatică al A.Ş.M. </w:t>
            </w:r>
          </w:p>
        </w:tc>
      </w:tr>
    </w:tbl>
    <w:p>
      <w:pPr>
        <w:pStyle w:val="Normal"/>
        <w:widowControl/>
        <w:numPr>
          <w:ilvl w:val="0"/>
          <w:numId w:val="32"/>
        </w:numPr>
        <w:tabs>
          <w:tab w:val="left" w:pos="2201" w:leader="none"/>
        </w:tabs>
        <w:bidi w:val="0"/>
        <w:spacing w:before="120" w:after="120"/>
        <w:ind w:left="993" w:right="0" w:hanging="0"/>
        <w:jc w:val="left"/>
        <w:textAlignment w:val="auto"/>
        <w:rPr>
          <w:lang w:val="ro-MD"/>
        </w:rPr>
      </w:pPr>
      <w:r>
        <w:rPr>
          <w:rFonts w:cs="Times New Roman CE" w:ascii="Times New Roman CE" w:hAnsi="Times New Roman CE"/>
          <w:sz w:val="22"/>
          <w:szCs w:val="22"/>
          <w:lang w:val="ro-MD"/>
        </w:rPr>
        <w:t xml:space="preserve">Preşedintele  comitetului de organizare </w:t>
      </w:r>
    </w:p>
    <w:tbl>
      <w:tblPr>
        <w:tblW w:w="9213" w:type="dxa"/>
        <w:jc w:val="left"/>
        <w:tblInd w:w="567"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213"/>
      </w:tblGrid>
      <w:tr>
        <w:trPr/>
        <w:tc>
          <w:tcPr>
            <w:tcW w:w="9213"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tabs>
                <w:tab w:val="left" w:pos="960" w:leader="none"/>
              </w:tabs>
              <w:bidi w:val="0"/>
              <w:ind w:left="391" w:right="0" w:hanging="0"/>
              <w:jc w:val="left"/>
              <w:textAlignment w:val="auto"/>
              <w:rPr>
                <w:lang w:val="ro-MD"/>
              </w:rPr>
            </w:pPr>
            <w:r>
              <w:rPr>
                <w:sz w:val="22"/>
                <w:szCs w:val="22"/>
                <w:lang w:val="ro-MD"/>
              </w:rPr>
              <w:t>Izba</w:t>
            </w:r>
            <w:r>
              <w:rPr>
                <w:rFonts w:cs="Times New Roman CE" w:ascii="Times New Roman CE" w:hAnsi="Times New Roman CE"/>
                <w:sz w:val="22"/>
                <w:szCs w:val="22"/>
                <w:lang w:val="ro-MD"/>
              </w:rPr>
              <w:t>ş</w:t>
            </w:r>
            <w:r>
              <w:rPr>
                <w:sz w:val="22"/>
                <w:szCs w:val="22"/>
                <w:lang w:val="ro-MD"/>
              </w:rPr>
              <w:t xml:space="preserve"> Olga</w:t>
            </w:r>
            <w:r>
              <w:rPr>
                <w:rFonts w:cs="Times New Roman CE" w:ascii="Times New Roman CE" w:hAnsi="Times New Roman CE"/>
                <w:sz w:val="22"/>
                <w:szCs w:val="22"/>
                <w:lang w:val="ro-MD"/>
              </w:rPr>
              <w:t>, doctor în ştiinţe fizico-matematice, Institutul de Matemetică şi Informatică al A.Ş.M.</w:t>
            </w:r>
          </w:p>
        </w:tc>
      </w:tr>
    </w:tbl>
    <w:p>
      <w:pPr>
        <w:pStyle w:val="Normal"/>
        <w:widowControl/>
        <w:numPr>
          <w:ilvl w:val="0"/>
          <w:numId w:val="32"/>
        </w:numPr>
        <w:tabs>
          <w:tab w:val="left" w:pos="2201" w:leader="none"/>
        </w:tabs>
        <w:bidi w:val="0"/>
        <w:spacing w:before="120" w:after="120"/>
        <w:ind w:left="993" w:right="0" w:hanging="0"/>
        <w:jc w:val="left"/>
        <w:textAlignment w:val="auto"/>
        <w:rPr>
          <w:lang w:val="ro-MD"/>
        </w:rPr>
      </w:pPr>
      <w:r>
        <w:rPr>
          <w:rFonts w:cs="Times New Roman CE" w:ascii="Times New Roman CE" w:hAnsi="Times New Roman CE"/>
          <w:sz w:val="22"/>
          <w:szCs w:val="22"/>
          <w:lang w:val="ro-MD"/>
        </w:rPr>
        <w:t xml:space="preserve">Participanţi </w:t>
      </w:r>
    </w:p>
    <w:tbl>
      <w:tblPr>
        <w:tblW w:w="9213" w:type="dxa"/>
        <w:jc w:val="left"/>
        <w:tblInd w:w="567" w:type="dxa"/>
        <w:tblBorders>
          <w:top w:val="dotted" w:sz="4" w:space="0" w:color="808080"/>
          <w:left w:val="dotted" w:sz="4" w:space="0" w:color="808080"/>
          <w:right w:val="dotted" w:sz="4" w:space="0" w:color="808080"/>
          <w:insideV w:val="dotted" w:sz="4" w:space="0" w:color="808080"/>
        </w:tblBorders>
        <w:tblCellMar>
          <w:top w:w="0" w:type="dxa"/>
          <w:left w:w="103" w:type="dxa"/>
          <w:bottom w:w="0" w:type="dxa"/>
          <w:right w:w="108" w:type="dxa"/>
        </w:tblCellMar>
      </w:tblPr>
      <w:tblGrid>
        <w:gridCol w:w="9213"/>
      </w:tblGrid>
      <w:tr>
        <w:trPr/>
        <w:tc>
          <w:tcPr>
            <w:tcW w:w="9213" w:type="dxa"/>
            <w:tcBorders>
              <w:top w:val="dotted" w:sz="4" w:space="0" w:color="808080"/>
              <w:left w:val="dotted" w:sz="4" w:space="0" w:color="808080"/>
              <w:right w:val="dotted" w:sz="4" w:space="0" w:color="808080"/>
              <w:insideV w:val="dotted" w:sz="4" w:space="0" w:color="808080"/>
            </w:tcBorders>
            <w:shd w:fill="auto" w:val="clear"/>
            <w:tcMar>
              <w:left w:w="103" w:type="dxa"/>
            </w:tcMar>
          </w:tcPr>
          <w:p>
            <w:pPr>
              <w:pStyle w:val="Normal"/>
              <w:widowControl/>
              <w:tabs>
                <w:tab w:val="left" w:pos="960" w:leader="none"/>
              </w:tabs>
              <w:bidi w:val="0"/>
              <w:ind w:left="0" w:right="0" w:hanging="0"/>
              <w:jc w:val="left"/>
              <w:textAlignment w:val="auto"/>
              <w:rPr>
                <w:lang w:val="ro-MD"/>
              </w:rPr>
            </w:pPr>
            <w:r>
              <w:rPr>
                <w:rFonts w:cs="Times New Roman CE" w:ascii="Times New Roman CE" w:hAnsi="Times New Roman CE"/>
                <w:sz w:val="22"/>
                <w:szCs w:val="22"/>
                <w:lang w:val="ro-MD"/>
              </w:rPr>
              <w:t>Numărul total - 15</w:t>
            </w:r>
          </w:p>
        </w:tc>
      </w:tr>
      <w:tr>
        <w:trPr/>
        <w:tc>
          <w:tcPr>
            <w:tcW w:w="9213" w:type="dxa"/>
            <w:tcBorders>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tabs>
                <w:tab w:val="left" w:pos="960" w:leader="none"/>
              </w:tabs>
              <w:bidi w:val="0"/>
              <w:ind w:left="0" w:right="0" w:hanging="0"/>
              <w:jc w:val="left"/>
              <w:textAlignment w:val="auto"/>
              <w:rPr>
                <w:lang w:val="ro-MD"/>
              </w:rPr>
            </w:pPr>
            <w:r>
              <w:rPr>
                <w:sz w:val="22"/>
                <w:szCs w:val="22"/>
                <w:lang w:val="ro-MD"/>
              </w:rPr>
              <w:t>5 rapoarte.</w:t>
            </w:r>
          </w:p>
        </w:tc>
      </w:tr>
    </w:tbl>
    <w:p>
      <w:pPr>
        <w:pStyle w:val="Normal"/>
        <w:widowControl/>
        <w:numPr>
          <w:ilvl w:val="0"/>
          <w:numId w:val="32"/>
        </w:numPr>
        <w:tabs>
          <w:tab w:val="left" w:pos="2201" w:leader="none"/>
          <w:tab w:val="left" w:pos="2552" w:leader="none"/>
        </w:tabs>
        <w:bidi w:val="0"/>
        <w:spacing w:before="120" w:after="120"/>
        <w:ind w:left="851" w:right="0" w:hanging="0"/>
        <w:jc w:val="left"/>
        <w:textAlignment w:val="auto"/>
        <w:rPr>
          <w:lang w:val="ro-MD"/>
        </w:rPr>
      </w:pPr>
      <w:r>
        <w:rPr>
          <w:rFonts w:cs="Times New Roman CE" w:ascii="Times New Roman CE" w:hAnsi="Times New Roman CE"/>
          <w:sz w:val="22"/>
          <w:szCs w:val="22"/>
          <w:lang w:val="ro-MD"/>
        </w:rPr>
        <w:t xml:space="preserve">Recomandările manifestării ştiinţifice </w:t>
      </w:r>
    </w:p>
    <w:tbl>
      <w:tblPr>
        <w:tblW w:w="9213" w:type="dxa"/>
        <w:jc w:val="left"/>
        <w:tblInd w:w="567"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9213"/>
      </w:tblGrid>
      <w:tr>
        <w:trPr/>
        <w:tc>
          <w:tcPr>
            <w:tcW w:w="9213"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571" w:right="0" w:hanging="0"/>
              <w:jc w:val="left"/>
              <w:textAlignment w:val="auto"/>
              <w:rPr>
                <w:lang w:val="ro-MD"/>
              </w:rPr>
            </w:pPr>
            <w:r>
              <w:rPr>
                <w:rFonts w:cs="Times New Roman CE" w:ascii="Times New Roman CE" w:hAnsi="Times New Roman CE"/>
                <w:bCs/>
                <w:sz w:val="22"/>
                <w:szCs w:val="22"/>
                <w:lang w:val="ro-MD"/>
              </w:rPr>
              <w:t>- De a prevedea posibilitatea petrecerii seminarului în fiecare an.</w:t>
            </w:r>
          </w:p>
          <w:p>
            <w:pPr>
              <w:pStyle w:val="Normal"/>
              <w:widowControl/>
              <w:bidi w:val="0"/>
              <w:ind w:left="571" w:right="0" w:hanging="0"/>
              <w:jc w:val="left"/>
              <w:textAlignment w:val="auto"/>
              <w:rPr>
                <w:lang w:val="ro-MD"/>
              </w:rPr>
            </w:pPr>
            <w:r>
              <w:rPr>
                <w:b/>
                <w:bCs/>
                <w:sz w:val="22"/>
                <w:szCs w:val="22"/>
                <w:lang w:val="ro-MD"/>
              </w:rPr>
              <w:t xml:space="preserve">- </w:t>
            </w:r>
            <w:r>
              <w:rPr>
                <w:bCs/>
                <w:sz w:val="22"/>
                <w:szCs w:val="22"/>
                <w:lang w:val="ro-MD"/>
              </w:rPr>
              <w:t>De a exti</w:t>
            </w:r>
            <w:r>
              <w:rPr>
                <w:rFonts w:cs="Times New Roman CE" w:ascii="Times New Roman CE" w:hAnsi="Times New Roman CE"/>
                <w:bCs/>
                <w:sz w:val="22"/>
                <w:szCs w:val="22"/>
                <w:lang w:val="ro-MD"/>
              </w:rPr>
              <w:t>nde numărul participanţilor cu invitaţi din străinătate;</w:t>
            </w:r>
          </w:p>
        </w:tc>
      </w:tr>
    </w:tbl>
    <w:p>
      <w:pPr>
        <w:pStyle w:val="Normal"/>
        <w:widowControl/>
        <w:bidi w:val="0"/>
        <w:ind w:left="72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72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720" w:right="0" w:hanging="0"/>
        <w:jc w:val="left"/>
        <w:textAlignment w:val="auto"/>
        <w:rPr>
          <w:lang w:val="ro-MD"/>
        </w:rPr>
      </w:pPr>
      <w:r>
        <w:rPr>
          <w:rFonts w:cs="Times New Roman CE" w:ascii="Times New Roman CE" w:hAnsi="Times New Roman CE"/>
          <w:sz w:val="22"/>
          <w:szCs w:val="22"/>
          <w:lang w:val="ro-MD"/>
        </w:rPr>
        <w:t>Secretarul ştiinţific_________________________________________ NAVAL Elvira</w:t>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0" w:right="0" w:hanging="0"/>
        <w:jc w:val="right"/>
        <w:textAlignment w:val="auto"/>
        <w:rPr>
          <w:lang w:val="ro-MD"/>
        </w:rPr>
      </w:pPr>
      <w:r>
        <w:rPr>
          <w:rFonts w:cs="Times New Roman CE" w:ascii="Times New Roman CE" w:hAnsi="Times New Roman CE"/>
          <w:sz w:val="22"/>
          <w:szCs w:val="22"/>
          <w:lang w:val="ro-MD"/>
        </w:rPr>
        <w:t>Anexă la Raportul de activitate al</w:t>
      </w:r>
      <w:r>
        <w:rPr/>
        <w:br/>
      </w:r>
      <w:r>
        <w:rPr>
          <w:i/>
          <w:sz w:val="22"/>
          <w:szCs w:val="22"/>
          <w:lang w:val="ro-MD"/>
        </w:rPr>
        <w:t xml:space="preserve">  </w:t>
      </w:r>
      <w:r>
        <w:rPr>
          <w:bCs/>
          <w:i/>
          <w:sz w:val="22"/>
          <w:szCs w:val="22"/>
          <w:lang w:val="ro-MD"/>
        </w:rPr>
        <w:t>Institutul</w:t>
      </w:r>
      <w:r>
        <w:rPr>
          <w:bCs/>
          <w:i/>
          <w:sz w:val="22"/>
          <w:szCs w:val="22"/>
          <w:lang w:val="fr-FR"/>
        </w:rPr>
        <w:t>ui</w:t>
      </w:r>
      <w:r>
        <w:rPr>
          <w:rFonts w:cs="Times New Roman CE" w:ascii="Times New Roman CE" w:hAnsi="Times New Roman CE"/>
          <w:bCs/>
          <w:i/>
          <w:sz w:val="22"/>
          <w:szCs w:val="22"/>
          <w:lang w:val="ro-MD"/>
        </w:rPr>
        <w:t xml:space="preserve"> de Matematică  şi  Informatic</w:t>
      </w:r>
      <w:r>
        <w:rPr>
          <w:rFonts w:cs="Times New Roman CE" w:ascii="Times New Roman CE" w:hAnsi="Times New Roman CE"/>
          <w:bCs/>
          <w:i/>
          <w:sz w:val="22"/>
          <w:szCs w:val="22"/>
          <w:lang w:val="ro-RO"/>
        </w:rPr>
        <w:t>ă</w:t>
      </w:r>
      <w:r>
        <w:rPr>
          <w:rFonts w:cs="Times New Roman CE" w:ascii="Times New Roman CE" w:hAnsi="Times New Roman CE"/>
          <w:bCs/>
          <w:i/>
          <w:sz w:val="22"/>
          <w:szCs w:val="22"/>
          <w:lang w:val="ro-MD"/>
        </w:rPr>
        <w:t xml:space="preserve"> </w:t>
      </w:r>
      <w:r>
        <w:rPr/>
        <w:br/>
      </w:r>
      <w:r>
        <w:rPr>
          <w:rFonts w:cs="Times New Roman CE" w:ascii="Times New Roman CE" w:hAnsi="Times New Roman CE"/>
          <w:bCs/>
          <w:i/>
          <w:sz w:val="22"/>
          <w:szCs w:val="22"/>
          <w:lang w:val="ro-MD"/>
        </w:rPr>
        <w:t>al AŞ a R</w:t>
      </w:r>
      <w:r>
        <w:rPr>
          <w:bCs/>
          <w:i/>
          <w:sz w:val="22"/>
          <w:szCs w:val="22"/>
          <w:lang w:val="ro-MD"/>
        </w:rPr>
        <w:t xml:space="preserve">M, Laboratorul  </w:t>
      </w:r>
      <w:r>
        <w:rPr>
          <w:i/>
          <w:sz w:val="22"/>
          <w:szCs w:val="22"/>
          <w:lang w:val="ro-MD"/>
        </w:rPr>
        <w:t>Sisteme de Programare</w:t>
      </w:r>
    </w:p>
    <w:p>
      <w:pPr>
        <w:pStyle w:val="Normal"/>
        <w:widowControl/>
        <w:bidi w:val="0"/>
        <w:ind w:left="0" w:right="0" w:hanging="0"/>
        <w:jc w:val="right"/>
        <w:textAlignment w:val="auto"/>
        <w:rPr>
          <w:lang w:val="ro-MD"/>
        </w:rPr>
      </w:pPr>
      <w:r>
        <w:rPr>
          <w:i/>
          <w:sz w:val="22"/>
          <w:szCs w:val="22"/>
          <w:lang w:val="ro-MD"/>
        </w:rPr>
        <w:t>Laboratorul Sisteme Informatice</w:t>
      </w:r>
    </w:p>
    <w:p>
      <w:pPr>
        <w:pStyle w:val="Normal"/>
        <w:widowControl/>
        <w:bidi w:val="0"/>
        <w:ind w:left="4560" w:right="0" w:hanging="0"/>
        <w:jc w:val="right"/>
        <w:textAlignment w:val="auto"/>
        <w:rPr>
          <w:rFonts w:ascii="Times New Roman" w:hAnsi="Times New Roman"/>
          <w:i/>
          <w:i/>
          <w:sz w:val="22"/>
          <w:szCs w:val="22"/>
          <w:lang w:val="ro-MD"/>
        </w:rPr>
      </w:pPr>
      <w:r>
        <w:rPr>
          <w:i/>
          <w:sz w:val="22"/>
          <w:szCs w:val="22"/>
          <w:lang w:val="ro-MD"/>
        </w:rPr>
      </w:r>
    </w:p>
    <w:p>
      <w:pPr>
        <w:pStyle w:val="2"/>
        <w:keepNext/>
        <w:widowControl/>
        <w:numPr>
          <w:ilvl w:val="0"/>
          <w:numId w:val="0"/>
        </w:numPr>
        <w:bidi w:val="0"/>
        <w:ind w:left="0" w:right="0" w:hanging="0"/>
        <w:jc w:val="left"/>
        <w:textAlignment w:val="auto"/>
        <w:outlineLvl w:val="1"/>
        <w:rPr/>
      </w:pPr>
      <w:bookmarkStart w:id="193" w:name="_Toc469651931"/>
      <w:r>
        <w:rPr>
          <w:rFonts w:cs="Times New Roman CE" w:ascii="Times New Roman CE" w:hAnsi="Times New Roman CE"/>
          <w:i/>
          <w:sz w:val="26"/>
          <w:szCs w:val="26"/>
        </w:rPr>
        <w:t>Seminarul ştiinţific internaţional dedicat prof</w:t>
      </w:r>
      <w:bookmarkEnd w:id="193"/>
      <w:r>
        <w:rPr>
          <w:i/>
          <w:sz w:val="26"/>
          <w:szCs w:val="26"/>
        </w:rPr>
        <w:t>esorului Iurie Rogojin</w:t>
      </w:r>
    </w:p>
    <w:p>
      <w:pPr>
        <w:pStyle w:val="Normal"/>
        <w:widowControl/>
        <w:numPr>
          <w:ilvl w:val="0"/>
          <w:numId w:val="31"/>
        </w:numPr>
        <w:tabs>
          <w:tab w:val="left" w:pos="-6564" w:leader="none"/>
          <w:tab w:val="left" w:pos="852" w:leader="none"/>
          <w:tab w:val="left" w:pos="960" w:leader="none"/>
          <w:tab w:val="left" w:pos="1065" w:leader="none"/>
          <w:tab w:val="left" w:pos="2201" w:leader="none"/>
        </w:tabs>
        <w:bidi w:val="0"/>
        <w:spacing w:before="120" w:after="120"/>
        <w:ind w:left="284" w:right="0" w:hanging="0"/>
        <w:jc w:val="left"/>
        <w:textAlignment w:val="auto"/>
        <w:rPr>
          <w:lang w:val="ro-MD"/>
        </w:rPr>
      </w:pPr>
      <w:r>
        <w:rPr>
          <w:rFonts w:cs="Times New Roman CE" w:ascii="Times New Roman CE" w:hAnsi="Times New Roman CE"/>
          <w:bCs/>
          <w:sz w:val="22"/>
          <w:szCs w:val="22"/>
          <w:lang w:val="ro-MD"/>
        </w:rPr>
        <w:t>Denumirea manifestării</w:t>
      </w:r>
    </w:p>
    <w:tbl>
      <w:tblPr>
        <w:tblW w:w="7579" w:type="dxa"/>
        <w:jc w:val="left"/>
        <w:tblInd w:w="-109"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7579"/>
      </w:tblGrid>
      <w:tr>
        <w:trPr/>
        <w:tc>
          <w:tcPr>
            <w:tcW w:w="7579"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tabs>
                <w:tab w:val="left" w:pos="960" w:leader="none"/>
              </w:tabs>
              <w:bidi w:val="0"/>
              <w:ind w:left="385" w:right="0" w:hanging="0"/>
              <w:jc w:val="left"/>
              <w:textAlignment w:val="auto"/>
              <w:rPr/>
            </w:pPr>
            <w:r>
              <w:rPr>
                <w:bCs/>
              </w:rPr>
              <w:t>"</w:t>
            </w:r>
            <w:r>
              <w:rPr>
                <w:bCs/>
                <w:i/>
              </w:rPr>
              <w:t>Unconventional Computing Systems</w:t>
            </w:r>
            <w:r>
              <w:rPr>
                <w:bCs/>
              </w:rPr>
              <w:t>"</w:t>
            </w:r>
          </w:p>
          <w:p>
            <w:pPr>
              <w:pStyle w:val="Normal"/>
              <w:widowControl/>
              <w:tabs>
                <w:tab w:val="left" w:pos="960" w:leader="none"/>
              </w:tabs>
              <w:bidi w:val="0"/>
              <w:ind w:left="385" w:right="0" w:hanging="0"/>
              <w:jc w:val="left"/>
              <w:textAlignment w:val="auto"/>
              <w:rPr>
                <w:lang w:val="en-US"/>
              </w:rPr>
            </w:pPr>
            <w:r>
              <w:rPr>
                <w:rFonts w:cs="Times New Roman CE" w:ascii="Times New Roman CE" w:hAnsi="Times New Roman CE"/>
                <w:lang w:val="en-US"/>
              </w:rPr>
              <w:t>Seminarul şiinţific</w:t>
            </w:r>
            <w:r>
              <w:rPr>
                <w:b/>
                <w:sz w:val="28"/>
                <w:szCs w:val="28"/>
                <w:lang w:val="en-US"/>
              </w:rPr>
              <w:t xml:space="preserve"> </w:t>
            </w:r>
            <w:r>
              <w:rPr>
                <w:lang w:val="en-US"/>
              </w:rPr>
              <w:t>dedicat prof. Iurie Rogojin</w:t>
            </w:r>
          </w:p>
        </w:tc>
      </w:tr>
    </w:tbl>
    <w:p>
      <w:pPr>
        <w:pStyle w:val="Normal"/>
        <w:widowControl/>
        <w:numPr>
          <w:ilvl w:val="0"/>
          <w:numId w:val="31"/>
        </w:numPr>
        <w:tabs>
          <w:tab w:val="left" w:pos="-6564" w:leader="none"/>
          <w:tab w:val="left" w:pos="852" w:leader="none"/>
          <w:tab w:val="left" w:pos="960" w:leader="none"/>
          <w:tab w:val="left" w:pos="1065" w:leader="none"/>
          <w:tab w:val="left" w:pos="2201" w:leader="none"/>
        </w:tabs>
        <w:bidi w:val="0"/>
        <w:spacing w:before="120" w:after="120"/>
        <w:ind w:left="284" w:right="0" w:hanging="0"/>
        <w:jc w:val="left"/>
        <w:textAlignment w:val="auto"/>
        <w:rPr>
          <w:lang w:val="ro-MD"/>
        </w:rPr>
      </w:pPr>
      <w:r>
        <w:rPr>
          <w:bCs/>
          <w:sz w:val="22"/>
          <w:szCs w:val="22"/>
          <w:lang w:val="ro-MD"/>
        </w:rPr>
        <w:t>Denumirea</w:t>
      </w:r>
      <w:r>
        <w:rPr>
          <w:rFonts w:cs="Times New Roman CE" w:ascii="Times New Roman CE" w:hAnsi="Times New Roman CE"/>
          <w:bCs/>
          <w:sz w:val="22"/>
          <w:szCs w:val="22"/>
          <w:lang w:val="ro-MD"/>
        </w:rPr>
        <w:t xml:space="preserve"> organizaţiei</w:t>
      </w:r>
    </w:p>
    <w:tbl>
      <w:tblPr>
        <w:tblW w:w="7579" w:type="dxa"/>
        <w:jc w:val="left"/>
        <w:tblInd w:w="-109"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7579"/>
      </w:tblGrid>
      <w:tr>
        <w:trPr/>
        <w:tc>
          <w:tcPr>
            <w:tcW w:w="7579"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tabs>
                <w:tab w:val="left" w:pos="960" w:leader="none"/>
              </w:tabs>
              <w:bidi w:val="0"/>
              <w:ind w:left="2760" w:right="0" w:hanging="2369"/>
              <w:jc w:val="both"/>
              <w:textAlignment w:val="auto"/>
              <w:rPr>
                <w:lang w:val="ro-MD"/>
              </w:rPr>
            </w:pPr>
            <w:r>
              <w:rPr>
                <w:rFonts w:cs="Times New Roman CE" w:ascii="Times New Roman CE" w:hAnsi="Times New Roman CE"/>
                <w:sz w:val="22"/>
                <w:szCs w:val="22"/>
                <w:lang w:val="ro-MD"/>
              </w:rPr>
              <w:t xml:space="preserve">Institutul de Matemetică şi Informatică al A.Ş.M. </w:t>
            </w:r>
          </w:p>
        </w:tc>
      </w:tr>
    </w:tbl>
    <w:p>
      <w:pPr>
        <w:pStyle w:val="Normal"/>
        <w:widowControl/>
        <w:numPr>
          <w:ilvl w:val="0"/>
          <w:numId w:val="31"/>
        </w:numPr>
        <w:tabs>
          <w:tab w:val="left" w:pos="-6564" w:leader="none"/>
          <w:tab w:val="left" w:pos="852" w:leader="none"/>
          <w:tab w:val="left" w:pos="960" w:leader="none"/>
          <w:tab w:val="left" w:pos="1065" w:leader="none"/>
          <w:tab w:val="left" w:pos="2201" w:leader="none"/>
        </w:tabs>
        <w:bidi w:val="0"/>
        <w:spacing w:before="120" w:after="120"/>
        <w:ind w:left="284" w:right="0" w:hanging="0"/>
        <w:jc w:val="left"/>
        <w:textAlignment w:val="auto"/>
        <w:rPr>
          <w:lang w:val="ro-MD"/>
        </w:rPr>
      </w:pPr>
      <w:r>
        <w:rPr>
          <w:rFonts w:cs="Times New Roman CE" w:ascii="Times New Roman CE" w:hAnsi="Times New Roman CE"/>
          <w:bCs/>
          <w:sz w:val="22"/>
          <w:szCs w:val="22"/>
          <w:lang w:val="ro-MD"/>
        </w:rPr>
        <w:t xml:space="preserve">Preşedintele  comitetului de organizare </w:t>
      </w:r>
    </w:p>
    <w:tbl>
      <w:tblPr>
        <w:tblW w:w="7579" w:type="dxa"/>
        <w:jc w:val="left"/>
        <w:tblInd w:w="-109"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7579"/>
      </w:tblGrid>
      <w:tr>
        <w:trPr/>
        <w:tc>
          <w:tcPr>
            <w:tcW w:w="7579"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tabs>
                <w:tab w:val="left" w:pos="960" w:leader="none"/>
              </w:tabs>
              <w:bidi w:val="0"/>
              <w:ind w:left="391" w:right="0" w:hanging="0"/>
              <w:jc w:val="left"/>
              <w:textAlignment w:val="auto"/>
              <w:rPr>
                <w:lang w:val="ro-MD"/>
              </w:rPr>
            </w:pPr>
            <w:r>
              <w:rPr>
                <w:rFonts w:cs="Times New Roman CE" w:ascii="Times New Roman CE" w:hAnsi="Times New Roman CE"/>
                <w:i/>
                <w:sz w:val="22"/>
                <w:szCs w:val="22"/>
                <w:lang w:val="ro-MD"/>
              </w:rPr>
              <w:t>COJOCARU Svetlana, doctor habilitat  în informatică, Institutul de Matematică şi Informatică al A.Ş.M.</w:t>
            </w:r>
          </w:p>
        </w:tc>
      </w:tr>
    </w:tbl>
    <w:p>
      <w:pPr>
        <w:pStyle w:val="Normal"/>
        <w:widowControl/>
        <w:numPr>
          <w:ilvl w:val="0"/>
          <w:numId w:val="31"/>
        </w:numPr>
        <w:tabs>
          <w:tab w:val="left" w:pos="-6564" w:leader="none"/>
          <w:tab w:val="left" w:pos="852" w:leader="none"/>
          <w:tab w:val="left" w:pos="960" w:leader="none"/>
          <w:tab w:val="left" w:pos="1065" w:leader="none"/>
          <w:tab w:val="left" w:pos="2201" w:leader="none"/>
        </w:tabs>
        <w:bidi w:val="0"/>
        <w:spacing w:before="120" w:after="120"/>
        <w:ind w:left="284" w:right="0" w:hanging="0"/>
        <w:jc w:val="left"/>
        <w:textAlignment w:val="auto"/>
        <w:rPr>
          <w:lang w:val="ro-MD"/>
        </w:rPr>
      </w:pPr>
      <w:r>
        <w:rPr>
          <w:rFonts w:cs="Times New Roman CE" w:ascii="Times New Roman CE" w:hAnsi="Times New Roman CE"/>
          <w:bCs/>
          <w:sz w:val="22"/>
          <w:szCs w:val="22"/>
          <w:lang w:val="ro-MD"/>
        </w:rPr>
        <w:t xml:space="preserve">Participanţi </w:t>
      </w:r>
    </w:p>
    <w:tbl>
      <w:tblPr>
        <w:tblW w:w="7579" w:type="dxa"/>
        <w:jc w:val="left"/>
        <w:tblInd w:w="-109" w:type="dxa"/>
        <w:tblBorders>
          <w:top w:val="dotted" w:sz="4" w:space="0" w:color="808080"/>
          <w:left w:val="dotted" w:sz="4" w:space="0" w:color="808080"/>
          <w:right w:val="dotted" w:sz="4" w:space="0" w:color="808080"/>
          <w:insideV w:val="dotted" w:sz="4" w:space="0" w:color="808080"/>
        </w:tblBorders>
        <w:tblCellMar>
          <w:top w:w="0" w:type="dxa"/>
          <w:left w:w="103" w:type="dxa"/>
          <w:bottom w:w="0" w:type="dxa"/>
          <w:right w:w="108" w:type="dxa"/>
        </w:tblCellMar>
      </w:tblPr>
      <w:tblGrid>
        <w:gridCol w:w="7579"/>
      </w:tblGrid>
      <w:tr>
        <w:trPr/>
        <w:tc>
          <w:tcPr>
            <w:tcW w:w="7579" w:type="dxa"/>
            <w:tcBorders>
              <w:top w:val="dotted" w:sz="4" w:space="0" w:color="808080"/>
              <w:left w:val="dotted" w:sz="4" w:space="0" w:color="808080"/>
              <w:right w:val="dotted" w:sz="4" w:space="0" w:color="808080"/>
              <w:insideV w:val="dotted" w:sz="4" w:space="0" w:color="808080"/>
            </w:tcBorders>
            <w:shd w:fill="auto" w:val="clear"/>
            <w:tcMar>
              <w:left w:w="103" w:type="dxa"/>
            </w:tcMar>
          </w:tcPr>
          <w:p>
            <w:pPr>
              <w:pStyle w:val="Normal"/>
              <w:widowControl/>
              <w:tabs>
                <w:tab w:val="left" w:pos="960" w:leader="none"/>
              </w:tabs>
              <w:bidi w:val="0"/>
              <w:ind w:left="0" w:right="0" w:hanging="0"/>
              <w:jc w:val="left"/>
              <w:textAlignment w:val="auto"/>
              <w:rPr>
                <w:lang w:val="ro-MD"/>
              </w:rPr>
            </w:pPr>
            <w:r>
              <w:rPr>
                <w:rFonts w:cs="Times New Roman CE" w:ascii="Times New Roman CE" w:hAnsi="Times New Roman CE"/>
                <w:sz w:val="22"/>
                <w:szCs w:val="22"/>
                <w:lang w:val="ro-MD"/>
              </w:rPr>
              <w:t>Numărul total - 20, inclusiv din străinătate - 4 (Franţa, Finlanda</w:t>
            </w:r>
            <w:r>
              <w:rPr>
                <w:sz w:val="22"/>
                <w:szCs w:val="22"/>
                <w:lang w:val="ro-MD"/>
              </w:rPr>
              <w:t>, SUA).</w:t>
            </w:r>
          </w:p>
        </w:tc>
      </w:tr>
      <w:tr>
        <w:trPr/>
        <w:tc>
          <w:tcPr>
            <w:tcW w:w="7579" w:type="dxa"/>
            <w:tcBorders>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tabs>
                <w:tab w:val="left" w:pos="960" w:leader="none"/>
              </w:tabs>
              <w:bidi w:val="0"/>
              <w:ind w:left="0" w:right="0" w:hanging="0"/>
              <w:jc w:val="left"/>
              <w:textAlignment w:val="auto"/>
              <w:rPr>
                <w:lang w:val="ro-MD"/>
              </w:rPr>
            </w:pPr>
            <w:r>
              <w:rPr>
                <w:rFonts w:cs="Times New Roman CE" w:ascii="Times New Roman CE" w:hAnsi="Times New Roman CE"/>
                <w:sz w:val="22"/>
                <w:szCs w:val="22"/>
                <w:lang w:val="ro-MD"/>
              </w:rPr>
              <w:t>Comunicări:</w:t>
            </w:r>
          </w:p>
          <w:p>
            <w:pPr>
              <w:pStyle w:val="ListParagraph"/>
              <w:widowControl/>
              <w:numPr>
                <w:ilvl w:val="0"/>
                <w:numId w:val="112"/>
              </w:numPr>
              <w:tabs>
                <w:tab w:val="left" w:pos="960" w:leader="none"/>
              </w:tabs>
              <w:bidi w:val="0"/>
              <w:spacing w:before="0" w:after="0"/>
              <w:ind w:left="360" w:right="0" w:hanging="360"/>
              <w:contextualSpacing/>
              <w:jc w:val="left"/>
              <w:textAlignment w:val="auto"/>
              <w:rPr>
                <w:lang w:val="ro-MD"/>
              </w:rPr>
            </w:pPr>
            <w:r>
              <w:rPr>
                <w:szCs w:val="20"/>
                <w:lang w:val="ro-MD"/>
              </w:rPr>
              <w:t>Artiom Alhazov, Omar Belingheri, Rudolf Freund, Sergiu Ivanov, Antonio E. Porreca, Claudio Zandron.</w:t>
            </w:r>
            <w:r>
              <w:rPr>
                <w:bCs/>
                <w:szCs w:val="20"/>
                <w:lang w:val="ro-MD"/>
              </w:rPr>
              <w:t xml:space="preserve"> </w:t>
            </w:r>
            <w:r>
              <w:rPr>
                <w:bCs/>
                <w:szCs w:val="20"/>
                <w:lang w:val="en-US"/>
              </w:rPr>
              <w:t xml:space="preserve">Semilinear Sets, Register Machines, and Integer Vector Addition (P) Systems. </w:t>
            </w:r>
          </w:p>
          <w:p>
            <w:pPr>
              <w:pStyle w:val="NormalWeb"/>
              <w:widowControl/>
              <w:numPr>
                <w:ilvl w:val="0"/>
                <w:numId w:val="112"/>
              </w:numPr>
              <w:bidi w:val="0"/>
              <w:spacing w:beforeAutospacing="1" w:afterAutospacing="1"/>
              <w:ind w:left="360" w:right="0" w:hanging="360"/>
              <w:jc w:val="left"/>
              <w:textAlignment w:val="auto"/>
              <w:rPr>
                <w:lang w:val="en-US"/>
              </w:rPr>
            </w:pPr>
            <w:r>
              <w:rPr>
                <w:lang w:val="en-US"/>
              </w:rPr>
              <w:t>Vladimir Rogojin.</w:t>
            </w:r>
            <w:r>
              <w:rPr>
                <w:bCs/>
                <w:lang w:val="en-US"/>
              </w:rPr>
              <w:t xml:space="preserve"> NetControl4BioMed - Automatic discovery of combined drug therapy </w:t>
            </w:r>
          </w:p>
          <w:p>
            <w:pPr>
              <w:pStyle w:val="NormalWeb"/>
              <w:widowControl/>
              <w:numPr>
                <w:ilvl w:val="0"/>
                <w:numId w:val="112"/>
              </w:numPr>
              <w:bidi w:val="0"/>
              <w:spacing w:beforeAutospacing="1" w:afterAutospacing="1"/>
              <w:ind w:left="360" w:right="0" w:hanging="360"/>
              <w:jc w:val="left"/>
              <w:textAlignment w:val="auto"/>
              <w:rPr/>
            </w:pPr>
            <w:r>
              <w:rPr>
                <w:lang w:val="en-US"/>
              </w:rPr>
              <w:t>Eugen Czeizler.</w:t>
            </w:r>
            <w:r>
              <w:rPr>
                <w:bCs/>
                <w:lang w:val="en-US"/>
              </w:rPr>
              <w:t xml:space="preserve"> How graphs help us fight cancer: structural control of disease networks.</w:t>
            </w:r>
          </w:p>
          <w:p>
            <w:pPr>
              <w:pStyle w:val="NormalWeb"/>
              <w:widowControl/>
              <w:numPr>
                <w:ilvl w:val="0"/>
                <w:numId w:val="112"/>
              </w:numPr>
              <w:bidi w:val="0"/>
              <w:spacing w:beforeAutospacing="1" w:afterAutospacing="1"/>
              <w:ind w:left="360" w:right="0" w:hanging="360"/>
              <w:jc w:val="left"/>
              <w:textAlignment w:val="auto"/>
              <w:rPr/>
            </w:pPr>
            <w:r>
              <w:rPr>
                <w:lang w:val="en-US"/>
              </w:rPr>
              <w:t>Serghei Verlan, Sergiu Ivanov</w:t>
            </w:r>
            <w:r>
              <w:rPr>
                <w:bCs/>
                <w:lang w:val="en-US"/>
              </w:rPr>
              <w:t xml:space="preserve"> Universality of Graph-controlled Leftist Insertion-deletion Systems with Two States. </w:t>
            </w:r>
          </w:p>
          <w:p>
            <w:pPr>
              <w:pStyle w:val="NormalWeb"/>
              <w:widowControl/>
              <w:numPr>
                <w:ilvl w:val="0"/>
                <w:numId w:val="112"/>
              </w:numPr>
              <w:bidi w:val="0"/>
              <w:spacing w:beforeAutospacing="1" w:afterAutospacing="1"/>
              <w:ind w:left="360" w:right="0" w:hanging="360"/>
              <w:jc w:val="left"/>
              <w:textAlignment w:val="auto"/>
              <w:rPr/>
            </w:pPr>
            <w:r>
              <w:rPr>
                <w:lang w:val="en-US"/>
              </w:rPr>
              <w:t>Artiom Alhazov.</w:t>
            </w:r>
            <w:r>
              <w:rPr>
                <w:bCs/>
                <w:lang w:val="en-US"/>
              </w:rPr>
              <w:t xml:space="preserve"> Small Asynchronous P Systems with Inhibitors Defining Non-semilinear Sets.</w:t>
            </w:r>
          </w:p>
          <w:p>
            <w:pPr>
              <w:pStyle w:val="NormalWeb"/>
              <w:widowControl/>
              <w:numPr>
                <w:ilvl w:val="0"/>
                <w:numId w:val="112"/>
              </w:numPr>
              <w:bidi w:val="0"/>
              <w:spacing w:beforeAutospacing="1" w:afterAutospacing="1"/>
              <w:ind w:left="360" w:right="0" w:hanging="360"/>
              <w:jc w:val="left"/>
              <w:textAlignment w:val="auto"/>
              <w:rPr>
                <w:lang w:val="en-US"/>
              </w:rPr>
            </w:pPr>
            <w:r>
              <w:rPr>
                <w:lang w:val="en-US"/>
              </w:rPr>
              <w:t xml:space="preserve">Yuri Gurevich. </w:t>
            </w:r>
            <w:r>
              <w:rPr>
                <w:bCs/>
                <w:lang w:val="en-US"/>
              </w:rPr>
              <w:t>Logic in Computer Science, Engineering and Industry (</w:t>
            </w:r>
            <w:r>
              <w:rPr>
                <w:rFonts w:cs="Times New Roman CE" w:ascii="Times New Roman CE" w:hAnsi="Times New Roman CE"/>
                <w:lang w:val="en-US"/>
              </w:rPr>
              <w:t>Microsoft Research, teleconferinţă).</w:t>
            </w:r>
          </w:p>
        </w:tc>
      </w:tr>
    </w:tbl>
    <w:p>
      <w:pPr>
        <w:pStyle w:val="Normal"/>
        <w:widowControl/>
        <w:bidi w:val="0"/>
        <w:ind w:left="720" w:right="0" w:hanging="0"/>
        <w:jc w:val="left"/>
        <w:textAlignment w:val="auto"/>
        <w:rPr>
          <w:rFonts w:ascii="Times New Roman" w:hAnsi="Times New Roman"/>
          <w:color w:val="C00000"/>
          <w:sz w:val="22"/>
          <w:szCs w:val="22"/>
          <w:lang w:val="en-US"/>
        </w:rPr>
      </w:pPr>
      <w:r>
        <w:rPr>
          <w:color w:val="C00000"/>
          <w:sz w:val="22"/>
          <w:szCs w:val="22"/>
          <w:lang w:val="en-US"/>
        </w:rPr>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720" w:right="0" w:hanging="0"/>
        <w:jc w:val="left"/>
        <w:textAlignment w:val="auto"/>
        <w:rPr>
          <w:lang w:val="ro-MD"/>
        </w:rPr>
      </w:pPr>
      <w:r>
        <w:rPr>
          <w:rFonts w:cs="Times New Roman CE" w:ascii="Times New Roman CE" w:hAnsi="Times New Roman CE"/>
          <w:sz w:val="22"/>
          <w:szCs w:val="22"/>
          <w:lang w:val="ro-MD"/>
        </w:rPr>
        <w:t>Secretarul ştiinţific________________________</w:t>
      </w:r>
      <w:r>
        <w:rPr>
          <w:sz w:val="22"/>
          <w:szCs w:val="22"/>
          <w:lang w:val="ro-MD"/>
        </w:rPr>
        <w:t>_________________ NAVAL Elvira</w:t>
      </w:r>
    </w:p>
    <w:p>
      <w:pPr>
        <w:pStyle w:val="Normal"/>
        <w:widowControl/>
        <w:bidi w:val="0"/>
        <w:ind w:left="720" w:right="0" w:hanging="0"/>
        <w:jc w:val="lef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4560" w:right="0" w:hanging="0"/>
        <w:jc w:val="righ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4560" w:right="0" w:hanging="0"/>
        <w:jc w:val="righ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4560" w:right="0" w:hanging="0"/>
        <w:jc w:val="righ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4560" w:right="0" w:hanging="0"/>
        <w:jc w:val="righ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4560" w:right="0" w:hanging="0"/>
        <w:jc w:val="righ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4560" w:right="0" w:hanging="0"/>
        <w:jc w:val="righ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4560" w:right="0" w:hanging="0"/>
        <w:jc w:val="righ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4560" w:right="0" w:hanging="0"/>
        <w:jc w:val="righ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4560" w:right="0" w:hanging="0"/>
        <w:jc w:val="righ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4560" w:right="0" w:hanging="0"/>
        <w:jc w:val="righ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4560" w:right="0" w:hanging="0"/>
        <w:jc w:val="righ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4560" w:right="0" w:hanging="0"/>
        <w:jc w:val="righ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4560" w:right="0" w:hanging="0"/>
        <w:jc w:val="righ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4560" w:right="0" w:hanging="0"/>
        <w:jc w:val="right"/>
        <w:textAlignment w:val="auto"/>
        <w:rPr>
          <w:rFonts w:ascii="Times New Roman" w:hAnsi="Times New Roman"/>
          <w:color w:val="C00000"/>
          <w:sz w:val="22"/>
          <w:szCs w:val="22"/>
          <w:lang w:val="ro-MD"/>
        </w:rPr>
      </w:pPr>
      <w:r>
        <w:rPr>
          <w:color w:val="C00000"/>
          <w:sz w:val="22"/>
          <w:szCs w:val="22"/>
          <w:lang w:val="ro-MD"/>
        </w:rPr>
      </w:r>
    </w:p>
    <w:p>
      <w:pPr>
        <w:pStyle w:val="Normal"/>
        <w:widowControl/>
        <w:bidi w:val="0"/>
        <w:ind w:left="4560" w:right="0" w:hanging="0"/>
        <w:jc w:val="right"/>
        <w:textAlignment w:val="auto"/>
        <w:rPr>
          <w:rFonts w:ascii="Times New Roman" w:hAnsi="Times New Roman"/>
          <w:i/>
          <w:i/>
          <w:color w:val="C00000"/>
          <w:sz w:val="22"/>
          <w:szCs w:val="22"/>
          <w:lang w:val="ro-MD"/>
        </w:rPr>
      </w:pPr>
      <w:r>
        <w:rPr>
          <w:i/>
          <w:color w:val="C00000"/>
          <w:sz w:val="22"/>
          <w:szCs w:val="22"/>
          <w:lang w:val="ro-MD"/>
        </w:rPr>
      </w:r>
    </w:p>
    <w:p>
      <w:pPr>
        <w:pStyle w:val="2"/>
        <w:keepNext/>
        <w:widowControl/>
        <w:numPr>
          <w:ilvl w:val="0"/>
          <w:numId w:val="0"/>
        </w:numPr>
        <w:bidi w:val="0"/>
        <w:ind w:left="0" w:right="0" w:hanging="0"/>
        <w:jc w:val="left"/>
        <w:textAlignment w:val="auto"/>
        <w:outlineLvl w:val="1"/>
        <w:rPr/>
      </w:pPr>
      <w:bookmarkStart w:id="194" w:name="_Toc469651932"/>
      <w:r>
        <w:rPr>
          <w:i/>
          <w:sz w:val="26"/>
          <w:szCs w:val="26"/>
        </w:rPr>
        <w:t>International Workshop on Foundations of Informatics</w:t>
      </w:r>
      <w:bookmarkEnd w:id="194"/>
      <w:r>
        <w:rPr>
          <w:i/>
          <w:sz w:val="26"/>
          <w:szCs w:val="26"/>
        </w:rPr>
        <w:t xml:space="preserve"> </w:t>
      </w:r>
    </w:p>
    <w:p>
      <w:pPr>
        <w:pStyle w:val="Normal"/>
        <w:widowControl/>
        <w:bidi w:val="0"/>
        <w:ind w:left="0" w:right="0" w:hanging="0"/>
        <w:jc w:val="left"/>
        <w:textAlignment w:val="auto"/>
        <w:rPr>
          <w:rFonts w:ascii="Times New Roman" w:hAnsi="Times New Roman"/>
          <w:color w:val="C00000"/>
          <w:lang w:val="ro-MD"/>
        </w:rPr>
      </w:pPr>
      <w:r>
        <w:rPr>
          <w:color w:val="C00000"/>
          <w:lang w:val="ro-MD"/>
        </w:rPr>
      </w:r>
    </w:p>
    <w:p>
      <w:pPr>
        <w:pStyle w:val="Normal"/>
        <w:widowControl/>
        <w:numPr>
          <w:ilvl w:val="0"/>
          <w:numId w:val="113"/>
        </w:numPr>
        <w:tabs>
          <w:tab w:val="left" w:pos="852" w:leader="none"/>
          <w:tab w:val="left" w:pos="960" w:leader="none"/>
          <w:tab w:val="left" w:pos="1065" w:leader="none"/>
          <w:tab w:val="left" w:pos="2201" w:leader="none"/>
        </w:tabs>
        <w:bidi w:val="0"/>
        <w:spacing w:before="120" w:after="120"/>
        <w:ind w:left="142" w:right="0" w:hanging="0"/>
        <w:jc w:val="left"/>
        <w:textAlignment w:val="auto"/>
        <w:rPr>
          <w:lang w:val="ro-MD"/>
        </w:rPr>
      </w:pPr>
      <w:r>
        <w:rPr>
          <w:rFonts w:cs="Times New Roman CE" w:ascii="Times New Roman CE" w:hAnsi="Times New Roman CE"/>
          <w:bCs/>
          <w:sz w:val="22"/>
          <w:szCs w:val="22"/>
          <w:lang w:val="ro-MD"/>
        </w:rPr>
        <w:t>Denumirea manifestării</w:t>
      </w:r>
    </w:p>
    <w:tbl>
      <w:tblPr>
        <w:tblW w:w="7579" w:type="dxa"/>
        <w:jc w:val="left"/>
        <w:tblInd w:w="-109"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7579"/>
      </w:tblGrid>
      <w:tr>
        <w:trPr/>
        <w:tc>
          <w:tcPr>
            <w:tcW w:w="7579"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eastAsia="ro-RO"/>
              </w:rPr>
              <w:t xml:space="preserve">Conference on Mathematical Foundations of Informatics MFOI-2016, July 25-31, 2016, Chişinău/Inst. of Mathematics and Computer </w:t>
            </w:r>
          </w:p>
          <w:p>
            <w:pPr>
              <w:pStyle w:val="Normal"/>
              <w:widowControl/>
              <w:bidi w:val="0"/>
              <w:ind w:left="0" w:right="0" w:hanging="0"/>
              <w:jc w:val="left"/>
              <w:textAlignment w:val="auto"/>
              <w:rPr>
                <w:lang w:val="ro-RO"/>
              </w:rPr>
            </w:pPr>
            <w:r>
              <w:rPr>
                <w:sz w:val="22"/>
                <w:szCs w:val="22"/>
                <w:lang w:val="ro-RO" w:eastAsia="ro-RO"/>
              </w:rPr>
              <w:t>Science, Acad. of Sciences of Moldova;</w:t>
            </w:r>
          </w:p>
        </w:tc>
      </w:tr>
    </w:tbl>
    <w:p>
      <w:pPr>
        <w:pStyle w:val="Normal"/>
        <w:widowControl/>
        <w:numPr>
          <w:ilvl w:val="0"/>
          <w:numId w:val="113"/>
        </w:numPr>
        <w:tabs>
          <w:tab w:val="left" w:pos="852" w:leader="none"/>
          <w:tab w:val="left" w:pos="960" w:leader="none"/>
          <w:tab w:val="left" w:pos="1065" w:leader="none"/>
          <w:tab w:val="left" w:pos="2201" w:leader="none"/>
        </w:tabs>
        <w:bidi w:val="0"/>
        <w:spacing w:before="120" w:after="120"/>
        <w:ind w:left="142" w:right="0" w:hanging="0"/>
        <w:jc w:val="left"/>
        <w:textAlignment w:val="auto"/>
        <w:rPr>
          <w:lang w:val="ro-MD"/>
        </w:rPr>
      </w:pPr>
      <w:r>
        <w:rPr>
          <w:bCs/>
          <w:sz w:val="22"/>
          <w:szCs w:val="22"/>
          <w:lang w:val="ro-MD"/>
        </w:rPr>
        <w:t>Denumirea</w:t>
      </w:r>
      <w:r>
        <w:rPr>
          <w:rFonts w:cs="Times New Roman CE" w:ascii="Times New Roman CE" w:hAnsi="Times New Roman CE"/>
          <w:bCs/>
          <w:sz w:val="22"/>
          <w:szCs w:val="22"/>
          <w:lang w:val="ro-MD"/>
        </w:rPr>
        <w:t xml:space="preserve"> organizaţiei</w:t>
      </w:r>
    </w:p>
    <w:tbl>
      <w:tblPr>
        <w:tblW w:w="7579" w:type="dxa"/>
        <w:jc w:val="left"/>
        <w:tblInd w:w="-109"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7579"/>
      </w:tblGrid>
      <w:tr>
        <w:trPr/>
        <w:tc>
          <w:tcPr>
            <w:tcW w:w="7579"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tabs>
                <w:tab w:val="left" w:pos="960" w:leader="none"/>
              </w:tabs>
              <w:bidi w:val="0"/>
              <w:ind w:left="0" w:right="0" w:hanging="0"/>
              <w:jc w:val="left"/>
              <w:textAlignment w:val="auto"/>
              <w:rPr>
                <w:lang w:val="ro-MD"/>
              </w:rPr>
            </w:pPr>
            <w:r>
              <w:rPr>
                <w:rFonts w:cs="Times New Roman CE" w:ascii="Times New Roman CE" w:hAnsi="Times New Roman CE"/>
                <w:sz w:val="22"/>
                <w:szCs w:val="22"/>
                <w:lang w:val="ro-MD"/>
              </w:rPr>
              <w:t xml:space="preserve">Institutul de Matematică şi Informatică </w:t>
            </w:r>
          </w:p>
        </w:tc>
      </w:tr>
    </w:tbl>
    <w:p>
      <w:pPr>
        <w:pStyle w:val="Normal"/>
        <w:widowControl/>
        <w:numPr>
          <w:ilvl w:val="0"/>
          <w:numId w:val="113"/>
        </w:numPr>
        <w:tabs>
          <w:tab w:val="left" w:pos="852" w:leader="none"/>
          <w:tab w:val="left" w:pos="960" w:leader="none"/>
          <w:tab w:val="left" w:pos="1065" w:leader="none"/>
          <w:tab w:val="left" w:pos="2201" w:leader="none"/>
        </w:tabs>
        <w:bidi w:val="0"/>
        <w:spacing w:before="120" w:after="120"/>
        <w:ind w:left="142" w:right="0" w:hanging="0"/>
        <w:jc w:val="left"/>
        <w:textAlignment w:val="auto"/>
        <w:rPr>
          <w:lang w:val="ro-MD"/>
        </w:rPr>
      </w:pPr>
      <w:r>
        <w:rPr>
          <w:rFonts w:cs="Times New Roman CE" w:ascii="Times New Roman CE" w:hAnsi="Times New Roman CE"/>
          <w:bCs/>
          <w:sz w:val="22"/>
          <w:szCs w:val="22"/>
          <w:lang w:val="ro-MD"/>
        </w:rPr>
        <w:t xml:space="preserve">Preşedintele  Comitetului de organizare </w:t>
      </w:r>
    </w:p>
    <w:tbl>
      <w:tblPr>
        <w:tblW w:w="7579" w:type="dxa"/>
        <w:jc w:val="left"/>
        <w:tblInd w:w="-109"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7579"/>
      </w:tblGrid>
      <w:tr>
        <w:trPr/>
        <w:tc>
          <w:tcPr>
            <w:tcW w:w="7579"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tabs>
                <w:tab w:val="left" w:pos="960" w:leader="none"/>
              </w:tabs>
              <w:bidi w:val="0"/>
              <w:ind w:left="0" w:right="0" w:hanging="0"/>
              <w:jc w:val="left"/>
              <w:textAlignment w:val="auto"/>
              <w:rPr>
                <w:lang w:val="ro-MD"/>
              </w:rPr>
            </w:pPr>
            <w:r>
              <w:rPr>
                <w:i/>
                <w:sz w:val="22"/>
                <w:szCs w:val="22"/>
                <w:lang w:val="ro-MD"/>
              </w:rPr>
              <w:t>COJOCARU Svetlana,</w:t>
            </w:r>
            <w:r>
              <w:rPr>
                <w:rFonts w:cs="Times New Roman CE" w:ascii="Times New Roman CE" w:hAnsi="Times New Roman CE"/>
                <w:sz w:val="22"/>
                <w:szCs w:val="22"/>
                <w:lang w:val="ro-MD"/>
              </w:rPr>
              <w:t xml:space="preserve"> dr.hab., prof. cerc., director IMI AŞM</w:t>
            </w:r>
          </w:p>
        </w:tc>
      </w:tr>
    </w:tbl>
    <w:p>
      <w:pPr>
        <w:pStyle w:val="Normal"/>
        <w:widowControl/>
        <w:numPr>
          <w:ilvl w:val="0"/>
          <w:numId w:val="113"/>
        </w:numPr>
        <w:tabs>
          <w:tab w:val="left" w:pos="852" w:leader="none"/>
          <w:tab w:val="left" w:pos="960" w:leader="none"/>
          <w:tab w:val="left" w:pos="1065" w:leader="none"/>
          <w:tab w:val="left" w:pos="2201" w:leader="none"/>
        </w:tabs>
        <w:bidi w:val="0"/>
        <w:spacing w:before="120" w:after="120"/>
        <w:ind w:left="142" w:right="0" w:hanging="0"/>
        <w:jc w:val="left"/>
        <w:textAlignment w:val="auto"/>
        <w:rPr>
          <w:lang w:val="ro-MD"/>
        </w:rPr>
      </w:pPr>
      <w:r>
        <w:rPr>
          <w:rFonts w:cs="Times New Roman CE" w:ascii="Times New Roman CE" w:hAnsi="Times New Roman CE"/>
          <w:bCs/>
          <w:sz w:val="22"/>
          <w:szCs w:val="22"/>
          <w:lang w:val="ro-MD"/>
        </w:rPr>
        <w:t xml:space="preserve">Participanţi </w:t>
      </w:r>
    </w:p>
    <w:tbl>
      <w:tblPr>
        <w:tblW w:w="7579" w:type="dxa"/>
        <w:jc w:val="left"/>
        <w:tblInd w:w="-109"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7579"/>
      </w:tblGrid>
      <w:tr>
        <w:trPr/>
        <w:tc>
          <w:tcPr>
            <w:tcW w:w="7579"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tabs>
                <w:tab w:val="left" w:pos="960" w:leader="none"/>
              </w:tabs>
              <w:bidi w:val="0"/>
              <w:ind w:left="0" w:right="0" w:hanging="0"/>
              <w:jc w:val="left"/>
              <w:textAlignment w:val="auto"/>
              <w:rPr>
                <w:lang w:val="ro-MD"/>
              </w:rPr>
            </w:pPr>
            <w:r>
              <w:rPr>
                <w:rFonts w:cs="Times New Roman CE" w:ascii="Times New Roman CE" w:hAnsi="Times New Roman CE"/>
                <w:sz w:val="22"/>
                <w:szCs w:val="22"/>
                <w:lang w:val="ro-MD"/>
              </w:rPr>
              <w:t xml:space="preserve">Total participanţi – peste 40 din </w:t>
            </w:r>
            <w:r>
              <w:rPr>
                <w:sz w:val="22"/>
                <w:szCs w:val="22"/>
                <w:lang w:val="ro-MD"/>
              </w:rPr>
              <w:t xml:space="preserve">9 </w:t>
            </w:r>
            <w:r>
              <w:rPr>
                <w:rFonts w:cs="Times New Roman CE" w:ascii="Times New Roman CE" w:hAnsi="Times New Roman CE"/>
                <w:sz w:val="22"/>
                <w:szCs w:val="22"/>
                <w:lang w:val="ro-MD"/>
              </w:rPr>
              <w:t>ţări, inclusiv din străinătate -21 (</w:t>
            </w:r>
            <w:r>
              <w:rPr>
                <w:sz w:val="22"/>
                <w:szCs w:val="22"/>
                <w:lang w:val="ro-MD"/>
              </w:rPr>
              <w:t xml:space="preserve">Moldova, </w:t>
            </w:r>
            <w:r>
              <w:rPr>
                <w:rFonts w:cs="Times New Roman CE" w:ascii="Times New Roman CE" w:hAnsi="Times New Roman CE"/>
                <w:sz w:val="22"/>
                <w:szCs w:val="22"/>
                <w:lang w:val="ro-MD"/>
              </w:rPr>
              <w:t>Cehia, Olanda, SUA, România, Rusia, Ucraina, Turcia</w:t>
            </w:r>
            <w:r>
              <w:rPr>
                <w:sz w:val="22"/>
                <w:szCs w:val="22"/>
                <w:lang w:val="ro-MD"/>
              </w:rPr>
              <w:t>, Austria)</w:t>
            </w:r>
          </w:p>
        </w:tc>
      </w:tr>
    </w:tbl>
    <w:p>
      <w:pPr>
        <w:pStyle w:val="Normal"/>
        <w:widowControl/>
        <w:numPr>
          <w:ilvl w:val="0"/>
          <w:numId w:val="113"/>
        </w:numPr>
        <w:tabs>
          <w:tab w:val="left" w:pos="852" w:leader="none"/>
          <w:tab w:val="left" w:pos="960" w:leader="none"/>
          <w:tab w:val="left" w:pos="1065" w:leader="none"/>
          <w:tab w:val="left" w:pos="2201" w:leader="none"/>
        </w:tabs>
        <w:bidi w:val="0"/>
        <w:spacing w:before="120" w:after="120"/>
        <w:ind w:left="142" w:right="0" w:hanging="0"/>
        <w:jc w:val="left"/>
        <w:textAlignment w:val="auto"/>
        <w:rPr>
          <w:lang w:val="ro-MD"/>
        </w:rPr>
      </w:pPr>
      <w:r>
        <w:rPr>
          <w:rFonts w:cs="Times New Roman CE" w:ascii="Times New Roman CE" w:hAnsi="Times New Roman CE"/>
          <w:bCs/>
          <w:sz w:val="22"/>
          <w:szCs w:val="22"/>
          <w:lang w:val="ro-MD"/>
        </w:rPr>
        <w:t xml:space="preserve">Recomandările manifestării ştiinţifice </w:t>
      </w:r>
    </w:p>
    <w:tbl>
      <w:tblPr>
        <w:tblW w:w="7579" w:type="dxa"/>
        <w:jc w:val="left"/>
        <w:tblInd w:w="-109"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CellMar>
          <w:top w:w="0" w:type="dxa"/>
          <w:left w:w="103" w:type="dxa"/>
          <w:bottom w:w="0" w:type="dxa"/>
          <w:right w:w="108" w:type="dxa"/>
        </w:tblCellMar>
      </w:tblPr>
      <w:tblGrid>
        <w:gridCol w:w="7579"/>
      </w:tblGrid>
      <w:tr>
        <w:trPr/>
        <w:tc>
          <w:tcPr>
            <w:tcW w:w="7579" w:type="dxa"/>
            <w:tcBorders>
              <w:top w:val="dotted" w:sz="4" w:space="0" w:color="808080"/>
              <w:left w:val="dotted" w:sz="4" w:space="0" w:color="808080"/>
              <w:bottom w:val="dotted" w:sz="4" w:space="0" w:color="808080"/>
              <w:right w:val="dotted" w:sz="4" w:space="0" w:color="808080"/>
              <w:insideH w:val="dotted" w:sz="4" w:space="0" w:color="808080"/>
              <w:insideV w:val="dotted" w:sz="4" w:space="0" w:color="808080"/>
            </w:tcBorders>
            <w:shd w:fill="auto" w:val="clear"/>
            <w:tcMar>
              <w:left w:w="103" w:type="dxa"/>
            </w:tcMar>
          </w:tcPr>
          <w:p>
            <w:pPr>
              <w:pStyle w:val="Normal"/>
              <w:widowControl/>
              <w:bidi w:val="0"/>
              <w:ind w:left="0" w:right="0" w:hanging="0"/>
              <w:jc w:val="left"/>
              <w:textAlignment w:val="auto"/>
              <w:rPr>
                <w:lang w:val="ro-MD"/>
              </w:rPr>
            </w:pPr>
            <w:r>
              <w:rPr>
                <w:rFonts w:cs="Times New Roman CE" w:ascii="Times New Roman CE" w:hAnsi="Times New Roman CE"/>
                <w:bCs/>
                <w:sz w:val="22"/>
                <w:szCs w:val="22"/>
                <w:lang w:val="ro-MD"/>
              </w:rPr>
              <w:t xml:space="preserve">Revigorarea cercetărilor în domeniul bazelor teoretice ale informaticii în </w:t>
            </w:r>
            <w:r>
              <w:rPr>
                <w:rFonts w:cs="Cambria Math" w:ascii="Cambria Math" w:hAnsi="Cambria Math"/>
                <w:bCs/>
                <w:sz w:val="22"/>
                <w:szCs w:val="22"/>
                <w:lang w:val="ro-MD"/>
              </w:rPr>
              <w:t>ț</w:t>
            </w:r>
            <w:r>
              <w:rPr>
                <w:rFonts w:cs="Times New Roman CE" w:ascii="Times New Roman CE" w:hAnsi="Times New Roman CE"/>
                <w:bCs/>
                <w:sz w:val="22"/>
                <w:szCs w:val="22"/>
                <w:lang w:val="ro-MD"/>
              </w:rPr>
              <w:t xml:space="preserve">ările Europei de Est; organizarea </w:t>
            </w:r>
            <w:r>
              <w:rPr>
                <w:bCs/>
                <w:sz w:val="22"/>
                <w:szCs w:val="22"/>
                <w:lang w:val="ro-MD"/>
              </w:rPr>
              <w:t>per</w:t>
            </w:r>
            <w:r>
              <w:rPr>
                <w:rFonts w:cs="Times New Roman CE" w:ascii="Times New Roman CE" w:hAnsi="Times New Roman CE"/>
                <w:bCs/>
                <w:sz w:val="22"/>
                <w:szCs w:val="22"/>
                <w:lang w:val="ro-MD"/>
              </w:rPr>
              <w:t>iodică a conferinţe</w:t>
            </w:r>
            <w:r>
              <w:rPr>
                <w:bCs/>
                <w:sz w:val="22"/>
                <w:szCs w:val="22"/>
                <w:lang w:val="ro-MD"/>
              </w:rPr>
              <w:t>lor ; crearea unui site pentru domeniul respectiv.</w:t>
            </w:r>
          </w:p>
        </w:tc>
      </w:tr>
    </w:tbl>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0" w:right="0" w:hanging="0"/>
        <w:jc w:val="left"/>
        <w:textAlignment w:val="auto"/>
        <w:rPr>
          <w:rFonts w:ascii="Times New Roman" w:hAnsi="Times New Roman"/>
          <w:lang w:val="ro-MD"/>
        </w:rPr>
      </w:pPr>
      <w:r>
        <w:rPr>
          <w:lang w:val="ro-MD"/>
        </w:rPr>
      </w:r>
    </w:p>
    <w:p>
      <w:pPr>
        <w:pStyle w:val="Normal"/>
        <w:widowControl/>
        <w:bidi w:val="0"/>
        <w:ind w:left="720" w:right="0" w:hanging="0"/>
        <w:jc w:val="left"/>
        <w:textAlignment w:val="auto"/>
        <w:rPr>
          <w:lang w:val="ro-MD"/>
        </w:rPr>
      </w:pPr>
      <w:r>
        <w:rPr>
          <w:rFonts w:cs="Times New Roman CE" w:ascii="Times New Roman CE" w:hAnsi="Times New Roman CE"/>
          <w:sz w:val="22"/>
          <w:szCs w:val="22"/>
          <w:lang w:val="ro-MD"/>
        </w:rPr>
        <w:t>Secretarul ştiinţific_________________________________________ NAVAL Elvira</w:t>
      </w:r>
    </w:p>
    <w:p>
      <w:pPr>
        <w:pStyle w:val="Normal"/>
        <w:widowControl/>
        <w:bidi w:val="0"/>
        <w:ind w:left="72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72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72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72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72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72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72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72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72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72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72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72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72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72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72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72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72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72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72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72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72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72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72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72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72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72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72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720" w:right="0" w:hanging="0"/>
        <w:jc w:val="left"/>
        <w:textAlignment w:val="auto"/>
        <w:rPr>
          <w:rFonts w:ascii="Times New Roman" w:hAnsi="Times New Roman"/>
          <w:sz w:val="22"/>
          <w:szCs w:val="22"/>
          <w:lang w:val="ro-MD"/>
        </w:rPr>
      </w:pPr>
      <w:r>
        <w:rPr>
          <w:sz w:val="22"/>
          <w:szCs w:val="22"/>
          <w:lang w:val="ro-MD"/>
        </w:rPr>
      </w:r>
    </w:p>
    <w:p>
      <w:pPr>
        <w:sectPr>
          <w:type w:val="nextPage"/>
          <w:pgSz w:w="11906" w:h="16838"/>
          <w:pgMar w:left="1560" w:right="720" w:header="0" w:top="284" w:footer="0" w:bottom="426" w:gutter="0"/>
          <w:pgNumType w:fmt="decimal"/>
          <w:formProt w:val="false"/>
          <w:textDirection w:val="lrTb"/>
          <w:docGrid w:type="default" w:linePitch="240" w:charSpace="4294961151"/>
        </w:sectPr>
        <w:pStyle w:val="Normal"/>
        <w:widowControl/>
        <w:bidi w:val="0"/>
        <w:ind w:left="72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720" w:right="0" w:hanging="0"/>
        <w:jc w:val="left"/>
        <w:textAlignment w:val="auto"/>
        <w:rPr>
          <w:rFonts w:ascii="Times New Roman" w:hAnsi="Times New Roman"/>
          <w:sz w:val="22"/>
          <w:szCs w:val="22"/>
          <w:lang w:val="ro-MD"/>
        </w:rPr>
      </w:pPr>
      <w:r>
        <w:rPr>
          <w:sz w:val="22"/>
          <w:szCs w:val="22"/>
          <w:lang w:val="ro-MD"/>
        </w:rPr>
      </w:r>
    </w:p>
    <w:p>
      <w:pPr>
        <w:pStyle w:val="Normal"/>
        <w:widowControl/>
        <w:bidi w:val="0"/>
        <w:ind w:left="720" w:right="0" w:hanging="0"/>
        <w:jc w:val="left"/>
        <w:textAlignment w:val="auto"/>
        <w:rPr>
          <w:rFonts w:ascii="Times New Roman" w:hAnsi="Times New Roman"/>
          <w:sz w:val="22"/>
          <w:szCs w:val="22"/>
          <w:lang w:val="ro-MD"/>
        </w:rPr>
      </w:pPr>
      <w:r>
        <w:rPr>
          <w:sz w:val="22"/>
          <w:szCs w:val="22"/>
          <w:lang w:val="ro-MD"/>
        </w:rPr>
      </w:r>
    </w:p>
    <w:p>
      <w:pPr>
        <w:pStyle w:val="1"/>
        <w:keepNext/>
        <w:widowControl/>
        <w:numPr>
          <w:ilvl w:val="0"/>
          <w:numId w:val="0"/>
        </w:numPr>
        <w:bidi w:val="0"/>
        <w:spacing w:before="0" w:after="0"/>
        <w:ind w:left="0" w:right="0" w:hanging="0"/>
        <w:jc w:val="left"/>
        <w:textAlignment w:val="auto"/>
        <w:outlineLvl w:val="0"/>
        <w:rPr>
          <w:b w:val="false"/>
          <w:b w:val="false"/>
          <w:lang w:val="en-US"/>
        </w:rPr>
      </w:pPr>
      <w:bookmarkStart w:id="195" w:name="_Toc469651933"/>
      <w:r>
        <w:rPr>
          <w:rFonts w:cs="Times New Roman" w:ascii="Times New Roman" w:hAnsi="Times New Roman"/>
          <w:b w:val="false"/>
          <w:lang w:val="en-US"/>
        </w:rPr>
        <w:t xml:space="preserve">Date </w:t>
      </w:r>
      <w:r>
        <w:rPr>
          <w:rFonts w:cs="Times New Roman CE" w:ascii="Times New Roman CE" w:hAnsi="Times New Roman CE"/>
          <w:b w:val="false"/>
          <w:lang w:val="en-US"/>
        </w:rPr>
        <w:t xml:space="preserve">despre implementarea rezultatelor ştiinţifice în anul </w:t>
      </w:r>
      <w:bookmarkEnd w:id="195"/>
      <w:r>
        <w:rPr>
          <w:rFonts w:cs="Times New Roman" w:ascii="Times New Roman" w:hAnsi="Times New Roman"/>
          <w:b w:val="false"/>
          <w:lang w:val="en-US"/>
        </w:rPr>
        <w:t>2016 (Forma 9)</w:t>
      </w:r>
    </w:p>
    <w:p>
      <w:pPr>
        <w:pStyle w:val="Normal"/>
        <w:widowControl/>
        <w:bidi w:val="0"/>
        <w:ind w:left="0" w:right="0" w:hanging="0"/>
        <w:jc w:val="left"/>
        <w:textAlignment w:val="auto"/>
        <w:rPr>
          <w:rFonts w:ascii="Times New Roman" w:hAnsi="Times New Roman"/>
          <w:sz w:val="22"/>
          <w:szCs w:val="22"/>
          <w:lang w:val="it-IT"/>
        </w:rPr>
      </w:pPr>
      <w:r>
        <w:rPr>
          <w:sz w:val="22"/>
          <w:szCs w:val="22"/>
          <w:lang w:val="it-IT"/>
        </w:rPr>
      </w:r>
    </w:p>
    <w:tbl>
      <w:tblPr>
        <w:tblW w:w="9771" w:type="dxa"/>
        <w:jc w:val="left"/>
        <w:tblInd w:w="-71" w:type="dxa"/>
        <w:tblBorders>
          <w:top w:val="single" w:sz="4" w:space="0" w:color="000001"/>
          <w:left w:val="single" w:sz="4" w:space="0" w:color="000001"/>
          <w:bottom w:val="single" w:sz="6" w:space="0" w:color="000001"/>
          <w:right w:val="single" w:sz="6" w:space="0" w:color="000001"/>
          <w:insideH w:val="single" w:sz="6" w:space="0" w:color="000001"/>
          <w:insideV w:val="single" w:sz="6" w:space="0" w:color="000001"/>
        </w:tblBorders>
        <w:tblCellMar>
          <w:top w:w="0" w:type="dxa"/>
          <w:left w:w="66" w:type="dxa"/>
          <w:bottom w:w="0" w:type="dxa"/>
          <w:right w:w="71" w:type="dxa"/>
        </w:tblCellMar>
      </w:tblPr>
      <w:tblGrid>
        <w:gridCol w:w="3151"/>
        <w:gridCol w:w="1892"/>
        <w:gridCol w:w="2189"/>
        <w:gridCol w:w="2538"/>
      </w:tblGrid>
      <w:tr>
        <w:trPr>
          <w:trHeight w:val="1374" w:hRule="atLeast"/>
        </w:trPr>
        <w:tc>
          <w:tcPr>
            <w:tcW w:w="3151" w:type="dxa"/>
            <w:tcBorders>
              <w:top w:val="single" w:sz="4" w:space="0" w:color="000001"/>
              <w:left w:val="single" w:sz="4" w:space="0" w:color="000001"/>
              <w:bottom w:val="single" w:sz="6" w:space="0" w:color="000001"/>
              <w:right w:val="single" w:sz="6" w:space="0" w:color="000001"/>
              <w:insideH w:val="single" w:sz="6" w:space="0" w:color="000001"/>
              <w:insideV w:val="single" w:sz="6" w:space="0" w:color="000001"/>
            </w:tcBorders>
            <w:shd w:fill="auto" w:val="clear"/>
            <w:tcMar>
              <w:left w:w="66" w:type="dxa"/>
            </w:tcMar>
          </w:tcPr>
          <w:p>
            <w:pPr>
              <w:pStyle w:val="Normal"/>
              <w:widowControl/>
              <w:bidi w:val="0"/>
              <w:ind w:left="0" w:right="0" w:hanging="0"/>
              <w:jc w:val="left"/>
              <w:textAlignment w:val="auto"/>
              <w:rPr>
                <w:lang w:val="ro-MD"/>
              </w:rPr>
            </w:pPr>
            <w:r>
              <w:rPr>
                <w:rFonts w:cs="Times New Roman CE" w:ascii="Times New Roman CE" w:hAnsi="Times New Roman CE"/>
                <w:sz w:val="22"/>
                <w:szCs w:val="22"/>
                <w:lang w:val="ro-MD"/>
              </w:rPr>
              <w:t>Denumirea lucrărilor</w:t>
            </w:r>
          </w:p>
          <w:p>
            <w:pPr>
              <w:pStyle w:val="Normal"/>
              <w:widowControl/>
              <w:bidi w:val="0"/>
              <w:ind w:left="0" w:right="0" w:hanging="0"/>
              <w:jc w:val="left"/>
              <w:textAlignment w:val="auto"/>
              <w:rPr>
                <w:lang w:val="ro-MD"/>
              </w:rPr>
            </w:pPr>
            <w:r>
              <w:rPr>
                <w:rFonts w:cs="Times New Roman CE" w:ascii="Times New Roman CE" w:hAnsi="Times New Roman CE"/>
                <w:sz w:val="22"/>
                <w:szCs w:val="22"/>
                <w:lang w:val="ro-MD"/>
              </w:rPr>
              <w:t>Executantul (laboratorul, secţia) Conducătorul  (gradul ştiinţific, numele, prenumele)</w:t>
            </w:r>
          </w:p>
        </w:tc>
        <w:tc>
          <w:tcPr>
            <w:tcW w:w="1892" w:type="dxa"/>
            <w:tcBorders>
              <w:top w:val="single" w:sz="4"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63" w:type="dxa"/>
            </w:tcMar>
          </w:tcPr>
          <w:p>
            <w:pPr>
              <w:pStyle w:val="Normal"/>
              <w:widowControl/>
              <w:bidi w:val="0"/>
              <w:ind w:left="0" w:right="0" w:hanging="0"/>
              <w:jc w:val="center"/>
              <w:textAlignment w:val="auto"/>
              <w:rPr>
                <w:lang w:val="ro-MD"/>
              </w:rPr>
            </w:pPr>
            <w:r>
              <w:rPr>
                <w:rFonts w:cs="Times New Roman CE" w:ascii="Times New Roman CE" w:hAnsi="Times New Roman CE"/>
                <w:sz w:val="22"/>
                <w:szCs w:val="22"/>
                <w:lang w:val="ro-MD"/>
              </w:rPr>
              <w:t>Locul implementării (întreprinderea, organizaţia)</w:t>
            </w:r>
          </w:p>
        </w:tc>
        <w:tc>
          <w:tcPr>
            <w:tcW w:w="2189" w:type="dxa"/>
            <w:tcBorders>
              <w:top w:val="single" w:sz="4"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63" w:type="dxa"/>
            </w:tcMar>
          </w:tcPr>
          <w:p>
            <w:pPr>
              <w:pStyle w:val="Normal"/>
              <w:widowControl/>
              <w:bidi w:val="0"/>
              <w:ind w:left="0" w:right="0" w:hanging="0"/>
              <w:jc w:val="left"/>
              <w:textAlignment w:val="auto"/>
              <w:rPr>
                <w:lang w:val="ro-MD"/>
              </w:rPr>
            </w:pPr>
            <w:r>
              <w:rPr>
                <w:rFonts w:cs="Times New Roman CE" w:ascii="Times New Roman CE" w:hAnsi="Times New Roman CE"/>
                <w:bCs/>
                <w:iCs/>
                <w:sz w:val="22"/>
                <w:szCs w:val="22"/>
                <w:lang w:val="ro-MD"/>
              </w:rPr>
              <w:t>Volumul implementării</w:t>
            </w:r>
            <w:r>
              <w:rPr>
                <w:bCs/>
                <w:iCs/>
                <w:sz w:val="22"/>
                <w:szCs w:val="22"/>
                <w:lang w:val="ro-MD"/>
              </w:rPr>
              <w:t>,</w:t>
            </w:r>
            <w:r>
              <w:rPr>
                <w:sz w:val="22"/>
                <w:szCs w:val="22"/>
                <w:lang w:val="ro-MD"/>
              </w:rPr>
              <w:t xml:space="preserve"> efectul economic (social) preconizat sau real</w:t>
            </w:r>
          </w:p>
        </w:tc>
        <w:tc>
          <w:tcPr>
            <w:tcW w:w="2538" w:type="dxa"/>
            <w:tcBorders>
              <w:top w:val="single" w:sz="4" w:space="0" w:color="000001"/>
              <w:left w:val="single" w:sz="6" w:space="0" w:color="000001"/>
              <w:bottom w:val="single" w:sz="6" w:space="0" w:color="000001"/>
              <w:right w:val="single" w:sz="4" w:space="0" w:color="000001"/>
              <w:insideH w:val="single" w:sz="6" w:space="0" w:color="000001"/>
              <w:insideV w:val="single" w:sz="4" w:space="0" w:color="000001"/>
            </w:tcBorders>
            <w:shd w:fill="auto" w:val="clear"/>
            <w:tcMar>
              <w:left w:w="63" w:type="dxa"/>
            </w:tcMar>
          </w:tcPr>
          <w:p>
            <w:pPr>
              <w:pStyle w:val="Normal"/>
              <w:widowControl/>
              <w:tabs>
                <w:tab w:val="left" w:pos="288" w:leader="none"/>
                <w:tab w:val="left" w:pos="432" w:leader="none"/>
                <w:tab w:val="left" w:pos="2016" w:leader="none"/>
                <w:tab w:val="left" w:pos="2304" w:leader="none"/>
                <w:tab w:val="left" w:pos="2448" w:leader="none"/>
                <w:tab w:val="left" w:pos="3456" w:leader="none"/>
                <w:tab w:val="left" w:pos="3600" w:leader="none"/>
                <w:tab w:val="left" w:pos="5040" w:leader="none"/>
                <w:tab w:val="left" w:pos="5328" w:leader="none"/>
                <w:tab w:val="left" w:pos="5472" w:leader="none"/>
                <w:tab w:val="left" w:pos="6624" w:leader="none"/>
                <w:tab w:val="left" w:pos="7056" w:leader="none"/>
                <w:tab w:val="left" w:pos="7200" w:leader="none"/>
                <w:tab w:val="left" w:pos="7632" w:leader="none"/>
                <w:tab w:val="left" w:pos="7776" w:leader="none"/>
                <w:tab w:val="left" w:pos="8208" w:leader="none"/>
                <w:tab w:val="left" w:pos="8640" w:leader="none"/>
                <w:tab w:val="left" w:pos="9216" w:leader="none"/>
              </w:tabs>
              <w:bidi w:val="0"/>
              <w:ind w:left="0" w:right="0" w:hanging="0"/>
              <w:jc w:val="both"/>
              <w:textAlignment w:val="auto"/>
              <w:rPr>
                <w:lang w:val="ro-MD"/>
              </w:rPr>
            </w:pPr>
            <w:r>
              <w:rPr>
                <w:rFonts w:cs="Times New Roman CE" w:ascii="Times New Roman CE" w:hAnsi="Times New Roman CE"/>
                <w:sz w:val="22"/>
                <w:szCs w:val="22"/>
                <w:lang w:val="ro-MD"/>
              </w:rPr>
              <w:t xml:space="preserve">Prin care act se confirmă faptul implementării </w:t>
            </w:r>
          </w:p>
        </w:tc>
      </w:tr>
      <w:tr>
        <w:trPr>
          <w:trHeight w:val="270" w:hRule="atLeast"/>
        </w:trPr>
        <w:tc>
          <w:tcPr>
            <w:tcW w:w="3151" w:type="dxa"/>
            <w:tcBorders>
              <w:top w:val="single" w:sz="6" w:space="0" w:color="000001"/>
              <w:left w:val="single" w:sz="4" w:space="0" w:color="000001"/>
              <w:bottom w:val="single" w:sz="6" w:space="0" w:color="000001"/>
              <w:right w:val="single" w:sz="6" w:space="0" w:color="000001"/>
              <w:insideH w:val="single" w:sz="6" w:space="0" w:color="000001"/>
              <w:insideV w:val="single" w:sz="6" w:space="0" w:color="000001"/>
            </w:tcBorders>
            <w:shd w:fill="auto" w:val="clear"/>
            <w:tcMar>
              <w:left w:w="66" w:type="dxa"/>
            </w:tcMar>
          </w:tcPr>
          <w:p>
            <w:pPr>
              <w:pStyle w:val="Normal"/>
              <w:widowControl/>
              <w:numPr>
                <w:ilvl w:val="0"/>
                <w:numId w:val="1"/>
              </w:numPr>
              <w:tabs>
                <w:tab w:val="left" w:pos="720" w:leader="none"/>
              </w:tabs>
              <w:bidi w:val="0"/>
              <w:ind w:left="720" w:right="0" w:hanging="360"/>
              <w:jc w:val="center"/>
              <w:textAlignment w:val="auto"/>
              <w:rPr>
                <w:rFonts w:ascii="Times New Roman" w:hAnsi="Times New Roman"/>
                <w:sz w:val="22"/>
                <w:szCs w:val="22"/>
                <w:lang w:val="ro-MD"/>
              </w:rPr>
            </w:pPr>
            <w:r>
              <w:rPr>
                <w:sz w:val="22"/>
                <w:szCs w:val="22"/>
                <w:lang w:val="ro-MD"/>
              </w:rPr>
            </w:r>
          </w:p>
        </w:tc>
        <w:tc>
          <w:tcPr>
            <w:tcW w:w="1892"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63" w:type="dxa"/>
            </w:tcMar>
          </w:tcPr>
          <w:p>
            <w:pPr>
              <w:pStyle w:val="Normal"/>
              <w:widowControl/>
              <w:numPr>
                <w:ilvl w:val="0"/>
                <w:numId w:val="1"/>
              </w:numPr>
              <w:tabs>
                <w:tab w:val="left" w:pos="720" w:leader="none"/>
              </w:tabs>
              <w:bidi w:val="0"/>
              <w:ind w:left="720" w:right="0" w:hanging="360"/>
              <w:jc w:val="center"/>
              <w:textAlignment w:val="auto"/>
              <w:rPr>
                <w:rFonts w:ascii="Times New Roman" w:hAnsi="Times New Roman"/>
                <w:sz w:val="22"/>
                <w:szCs w:val="22"/>
                <w:lang w:val="ro-MD"/>
              </w:rPr>
            </w:pPr>
            <w:r>
              <w:rPr>
                <w:sz w:val="22"/>
                <w:szCs w:val="22"/>
                <w:lang w:val="ro-MD"/>
              </w:rPr>
            </w:r>
          </w:p>
        </w:tc>
        <w:tc>
          <w:tcPr>
            <w:tcW w:w="218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63" w:type="dxa"/>
            </w:tcMar>
          </w:tcPr>
          <w:p>
            <w:pPr>
              <w:pStyle w:val="Normal"/>
              <w:widowControl/>
              <w:numPr>
                <w:ilvl w:val="0"/>
                <w:numId w:val="1"/>
              </w:numPr>
              <w:tabs>
                <w:tab w:val="left" w:pos="720" w:leader="none"/>
              </w:tabs>
              <w:bidi w:val="0"/>
              <w:ind w:left="720" w:right="0" w:hanging="360"/>
              <w:jc w:val="center"/>
              <w:textAlignment w:val="auto"/>
              <w:rPr>
                <w:rFonts w:ascii="Times New Roman" w:hAnsi="Times New Roman"/>
                <w:sz w:val="22"/>
                <w:szCs w:val="22"/>
                <w:lang w:val="ro-MD"/>
              </w:rPr>
            </w:pPr>
            <w:r>
              <w:rPr>
                <w:sz w:val="22"/>
                <w:szCs w:val="22"/>
                <w:lang w:val="ro-MD"/>
              </w:rPr>
            </w:r>
          </w:p>
        </w:tc>
        <w:tc>
          <w:tcPr>
            <w:tcW w:w="2538" w:type="dxa"/>
            <w:tcBorders>
              <w:top w:val="single" w:sz="6" w:space="0" w:color="000001"/>
              <w:left w:val="single" w:sz="6" w:space="0" w:color="000001"/>
              <w:bottom w:val="single" w:sz="6" w:space="0" w:color="000001"/>
              <w:right w:val="single" w:sz="4" w:space="0" w:color="000001"/>
              <w:insideH w:val="single" w:sz="6" w:space="0" w:color="000001"/>
              <w:insideV w:val="single" w:sz="4" w:space="0" w:color="000001"/>
            </w:tcBorders>
            <w:shd w:fill="auto" w:val="clear"/>
            <w:tcMar>
              <w:left w:w="63" w:type="dxa"/>
            </w:tcMar>
          </w:tcPr>
          <w:p>
            <w:pPr>
              <w:pStyle w:val="Normal"/>
              <w:widowControl/>
              <w:numPr>
                <w:ilvl w:val="0"/>
                <w:numId w:val="1"/>
              </w:numPr>
              <w:tabs>
                <w:tab w:val="left" w:pos="288" w:leader="none"/>
                <w:tab w:val="left" w:pos="432" w:leader="none"/>
                <w:tab w:val="left" w:pos="720" w:leader="none"/>
                <w:tab w:val="left" w:pos="2016" w:leader="none"/>
                <w:tab w:val="left" w:pos="2304" w:leader="none"/>
                <w:tab w:val="left" w:pos="2448" w:leader="none"/>
                <w:tab w:val="left" w:pos="3456" w:leader="none"/>
                <w:tab w:val="left" w:pos="3600" w:leader="none"/>
                <w:tab w:val="left" w:pos="5040" w:leader="none"/>
                <w:tab w:val="left" w:pos="5328" w:leader="none"/>
                <w:tab w:val="left" w:pos="5472" w:leader="none"/>
                <w:tab w:val="left" w:pos="6624" w:leader="none"/>
                <w:tab w:val="left" w:pos="7056" w:leader="none"/>
                <w:tab w:val="left" w:pos="7200" w:leader="none"/>
                <w:tab w:val="left" w:pos="7632" w:leader="none"/>
                <w:tab w:val="left" w:pos="7776" w:leader="none"/>
                <w:tab w:val="left" w:pos="8208" w:leader="none"/>
                <w:tab w:val="left" w:pos="8640" w:leader="none"/>
                <w:tab w:val="left" w:pos="9216" w:leader="none"/>
              </w:tabs>
              <w:bidi w:val="0"/>
              <w:ind w:left="720" w:right="0" w:hanging="360"/>
              <w:jc w:val="both"/>
              <w:textAlignment w:val="auto"/>
              <w:rPr>
                <w:rFonts w:ascii="Times New Roman" w:hAnsi="Times New Roman"/>
                <w:sz w:val="22"/>
                <w:szCs w:val="22"/>
                <w:lang w:val="ro-MD"/>
              </w:rPr>
            </w:pPr>
            <w:r>
              <w:rPr>
                <w:sz w:val="22"/>
                <w:szCs w:val="22"/>
                <w:lang w:val="ro-MD"/>
              </w:rPr>
            </w:r>
          </w:p>
        </w:tc>
      </w:tr>
      <w:tr>
        <w:trPr>
          <w:trHeight w:val="270" w:hRule="atLeast"/>
        </w:trPr>
        <w:tc>
          <w:tcPr>
            <w:tcW w:w="3151" w:type="dxa"/>
            <w:tcBorders>
              <w:top w:val="single" w:sz="6" w:space="0" w:color="000001"/>
              <w:left w:val="single" w:sz="4" w:space="0" w:color="000001"/>
              <w:bottom w:val="single" w:sz="4" w:space="0" w:color="000001"/>
              <w:right w:val="single" w:sz="6" w:space="0" w:color="000001"/>
              <w:insideH w:val="single" w:sz="4" w:space="0" w:color="000001"/>
              <w:insideV w:val="single" w:sz="6" w:space="0" w:color="000001"/>
            </w:tcBorders>
            <w:shd w:fill="auto" w:val="clear"/>
            <w:tcMar>
              <w:left w:w="66" w:type="dxa"/>
            </w:tcMar>
          </w:tcPr>
          <w:p>
            <w:pPr>
              <w:pStyle w:val="Normal"/>
              <w:widowControl/>
              <w:bidi w:val="0"/>
              <w:ind w:left="0" w:right="0" w:hanging="0"/>
              <w:jc w:val="left"/>
              <w:textAlignment w:val="auto"/>
              <w:rPr>
                <w:lang w:val="ro-RO"/>
              </w:rPr>
            </w:pPr>
            <w:r>
              <w:rPr>
                <w:b/>
                <w:sz w:val="22"/>
                <w:szCs w:val="22"/>
                <w:lang w:val="ro-RO"/>
              </w:rPr>
              <w:t xml:space="preserve">Nu au fost </w:t>
            </w:r>
            <w:r>
              <w:rPr>
                <w:rFonts w:cs="Times New Roman CE" w:ascii="Times New Roman CE" w:hAnsi="Times New Roman CE"/>
                <w:b/>
                <w:sz w:val="22"/>
                <w:szCs w:val="22"/>
                <w:lang w:val="ro-RO"/>
              </w:rPr>
              <w:t>î</w:t>
            </w:r>
            <w:r>
              <w:rPr>
                <w:b/>
                <w:sz w:val="22"/>
                <w:szCs w:val="22"/>
                <w:lang w:val="ro-RO"/>
              </w:rPr>
              <w:t>nregistrate</w:t>
            </w:r>
          </w:p>
        </w:tc>
        <w:tc>
          <w:tcPr>
            <w:tcW w:w="1892" w:type="dxa"/>
            <w:tcBorders>
              <w:top w:val="single" w:sz="6" w:space="0" w:color="000001"/>
              <w:left w:val="single" w:sz="6" w:space="0" w:color="000001"/>
              <w:bottom w:val="single" w:sz="4" w:space="0" w:color="000001"/>
              <w:right w:val="single" w:sz="6" w:space="0" w:color="000001"/>
              <w:insideH w:val="single" w:sz="4" w:space="0" w:color="000001"/>
              <w:insideV w:val="single" w:sz="6" w:space="0" w:color="000001"/>
            </w:tcBorders>
            <w:shd w:fill="auto" w:val="clear"/>
            <w:tcMar>
              <w:left w:w="63" w:type="dxa"/>
            </w:tcMar>
          </w:tcPr>
          <w:p>
            <w:pPr>
              <w:pStyle w:val="Normal"/>
              <w:widowControl/>
              <w:bidi w:val="0"/>
              <w:ind w:left="720" w:right="0" w:hanging="0"/>
              <w:jc w:val="left"/>
              <w:textAlignment w:val="auto"/>
              <w:rPr>
                <w:rFonts w:ascii="Times New Roman" w:hAnsi="Times New Roman"/>
                <w:sz w:val="22"/>
                <w:szCs w:val="22"/>
                <w:lang w:val="ro-MD"/>
              </w:rPr>
            </w:pPr>
            <w:r>
              <w:rPr>
                <w:sz w:val="22"/>
                <w:szCs w:val="22"/>
                <w:lang w:val="ro-MD"/>
              </w:rPr>
            </w:r>
          </w:p>
        </w:tc>
        <w:tc>
          <w:tcPr>
            <w:tcW w:w="2189" w:type="dxa"/>
            <w:tcBorders>
              <w:top w:val="single" w:sz="6" w:space="0" w:color="000001"/>
              <w:left w:val="single" w:sz="6" w:space="0" w:color="000001"/>
              <w:bottom w:val="single" w:sz="4" w:space="0" w:color="000001"/>
              <w:right w:val="single" w:sz="6" w:space="0" w:color="000001"/>
              <w:insideH w:val="single" w:sz="4" w:space="0" w:color="000001"/>
              <w:insideV w:val="single" w:sz="6" w:space="0" w:color="000001"/>
            </w:tcBorders>
            <w:shd w:fill="auto" w:val="clear"/>
            <w:tcMar>
              <w:left w:w="63" w:type="dxa"/>
            </w:tcMar>
          </w:tcPr>
          <w:p>
            <w:pPr>
              <w:pStyle w:val="Normal"/>
              <w:widowControl/>
              <w:bidi w:val="0"/>
              <w:ind w:left="720" w:right="0" w:hanging="0"/>
              <w:jc w:val="left"/>
              <w:textAlignment w:val="auto"/>
              <w:rPr>
                <w:rFonts w:ascii="Times New Roman" w:hAnsi="Times New Roman"/>
                <w:sz w:val="22"/>
                <w:szCs w:val="22"/>
                <w:lang w:val="ro-MD"/>
              </w:rPr>
            </w:pPr>
            <w:r>
              <w:rPr>
                <w:sz w:val="22"/>
                <w:szCs w:val="22"/>
                <w:lang w:val="ro-MD"/>
              </w:rPr>
            </w:r>
          </w:p>
        </w:tc>
        <w:tc>
          <w:tcPr>
            <w:tcW w:w="2538" w:type="dxa"/>
            <w:tcBorders>
              <w:top w:val="single" w:sz="6" w:space="0" w:color="000001"/>
              <w:left w:val="single" w:sz="6" w:space="0" w:color="000001"/>
              <w:bottom w:val="single" w:sz="4" w:space="0" w:color="000001"/>
              <w:right w:val="single" w:sz="4" w:space="0" w:color="000001"/>
              <w:insideH w:val="single" w:sz="4" w:space="0" w:color="000001"/>
              <w:insideV w:val="single" w:sz="4" w:space="0" w:color="000001"/>
            </w:tcBorders>
            <w:shd w:fill="auto" w:val="clear"/>
            <w:tcMar>
              <w:left w:w="63" w:type="dxa"/>
            </w:tcMar>
          </w:tcPr>
          <w:p>
            <w:pPr>
              <w:pStyle w:val="Normal"/>
              <w:widowControl/>
              <w:tabs>
                <w:tab w:val="left" w:pos="288" w:leader="none"/>
                <w:tab w:val="left" w:pos="432" w:leader="none"/>
                <w:tab w:val="left" w:pos="2016" w:leader="none"/>
                <w:tab w:val="left" w:pos="2304" w:leader="none"/>
                <w:tab w:val="left" w:pos="2448" w:leader="none"/>
                <w:tab w:val="left" w:pos="3456" w:leader="none"/>
                <w:tab w:val="left" w:pos="3600" w:leader="none"/>
                <w:tab w:val="left" w:pos="5040" w:leader="none"/>
                <w:tab w:val="left" w:pos="5328" w:leader="none"/>
                <w:tab w:val="left" w:pos="5472" w:leader="none"/>
                <w:tab w:val="left" w:pos="6624" w:leader="none"/>
                <w:tab w:val="left" w:pos="7056" w:leader="none"/>
                <w:tab w:val="left" w:pos="7200" w:leader="none"/>
                <w:tab w:val="left" w:pos="7632" w:leader="none"/>
                <w:tab w:val="left" w:pos="7776" w:leader="none"/>
                <w:tab w:val="left" w:pos="8208" w:leader="none"/>
                <w:tab w:val="left" w:pos="8640" w:leader="none"/>
                <w:tab w:val="left" w:pos="9216" w:leader="none"/>
              </w:tabs>
              <w:bidi w:val="0"/>
              <w:ind w:left="720" w:right="0" w:hanging="0"/>
              <w:jc w:val="both"/>
              <w:textAlignment w:val="auto"/>
              <w:rPr>
                <w:rFonts w:ascii="Times New Roman" w:hAnsi="Times New Roman"/>
                <w:sz w:val="22"/>
                <w:szCs w:val="22"/>
                <w:lang w:val="ro-MD"/>
              </w:rPr>
            </w:pPr>
            <w:r>
              <w:rPr>
                <w:sz w:val="22"/>
                <w:szCs w:val="22"/>
                <w:lang w:val="ro-MD"/>
              </w:rPr>
            </w:r>
          </w:p>
        </w:tc>
      </w:tr>
    </w:tbl>
    <w:p>
      <w:pPr>
        <w:pStyle w:val="Normal"/>
        <w:widowControl/>
        <w:bidi w:val="0"/>
        <w:ind w:left="0" w:right="-2016" w:hanging="0"/>
        <w:jc w:val="left"/>
        <w:textAlignment w:val="auto"/>
        <w:rPr>
          <w:rFonts w:ascii="Times New Roman" w:hAnsi="Times New Roman"/>
          <w:sz w:val="22"/>
          <w:szCs w:val="22"/>
          <w:lang w:val="ro-MD"/>
        </w:rPr>
      </w:pPr>
      <w:r>
        <w:rPr>
          <w:sz w:val="22"/>
          <w:szCs w:val="22"/>
          <w:lang w:val="ro-MD"/>
        </w:rPr>
      </w:r>
    </w:p>
    <w:p>
      <w:pPr>
        <w:pStyle w:val="Normal"/>
        <w:widowControl/>
        <w:bidi w:val="0"/>
        <w:ind w:left="0" w:right="-2016" w:hanging="0"/>
        <w:jc w:val="left"/>
        <w:textAlignment w:val="auto"/>
        <w:rPr>
          <w:rFonts w:ascii="Times New Roman" w:hAnsi="Times New Roman"/>
          <w:sz w:val="22"/>
          <w:szCs w:val="22"/>
          <w:lang w:val="ro-MD"/>
        </w:rPr>
      </w:pPr>
      <w:r>
        <w:rPr>
          <w:sz w:val="22"/>
          <w:szCs w:val="22"/>
          <w:lang w:val="ro-MD"/>
        </w:rPr>
      </w:r>
    </w:p>
    <w:p>
      <w:pPr>
        <w:pStyle w:val="Normal"/>
        <w:widowControl/>
        <w:bidi w:val="0"/>
        <w:ind w:left="0" w:right="-2016" w:hanging="0"/>
        <w:jc w:val="left"/>
        <w:textAlignment w:val="auto"/>
        <w:rPr>
          <w:lang w:val="ro-MD"/>
        </w:rPr>
      </w:pPr>
      <w:r>
        <w:rPr>
          <w:sz w:val="22"/>
          <w:szCs w:val="22"/>
          <w:lang w:val="ro-MD"/>
        </w:rPr>
        <w:t>Directorul     __________________________________________ COJOCARU Svetlana</w:t>
      </w:r>
    </w:p>
    <w:p>
      <w:pPr>
        <w:pStyle w:val="Normal"/>
        <w:widowControl/>
        <w:bidi w:val="0"/>
        <w:ind w:left="0" w:right="0" w:hanging="0"/>
        <w:jc w:val="left"/>
        <w:textAlignment w:val="auto"/>
        <w:rPr>
          <w:lang w:val="ro-MD"/>
        </w:rPr>
      </w:pPr>
      <w:r>
        <w:rPr>
          <w:sz w:val="22"/>
          <w:szCs w:val="22"/>
          <w:lang w:val="ro-MD"/>
        </w:rPr>
        <w:tab/>
        <w:tab/>
        <w:tab/>
        <w:tab/>
        <w:tab/>
      </w:r>
    </w:p>
    <w:p>
      <w:pPr>
        <w:pStyle w:val="Normal"/>
        <w:widowControl/>
        <w:bidi w:val="0"/>
        <w:ind w:left="0" w:right="0" w:hanging="0"/>
        <w:jc w:val="left"/>
        <w:textAlignment w:val="auto"/>
        <w:rPr>
          <w:lang w:val="ro-MD"/>
        </w:rPr>
      </w:pPr>
      <w:r>
        <w:rPr>
          <w:rFonts w:cs="Times New Roman CE" w:ascii="Times New Roman CE" w:hAnsi="Times New Roman CE"/>
          <w:sz w:val="22"/>
          <w:szCs w:val="22"/>
          <w:lang w:val="ro-MD"/>
        </w:rPr>
        <w:t>Secretarul ştiinţific  _________________________________</w:t>
      </w:r>
      <w:r>
        <w:rPr>
          <w:sz w:val="22"/>
          <w:szCs w:val="22"/>
          <w:lang w:val="ro-MD"/>
        </w:rPr>
        <w:t>____NAVAL Elvira</w:t>
      </w:r>
    </w:p>
    <w:p>
      <w:pPr>
        <w:pStyle w:val="Normal"/>
        <w:widowControl/>
        <w:bidi w:val="0"/>
        <w:spacing w:before="0" w:after="240"/>
        <w:ind w:left="0" w:right="-2016" w:hanging="0"/>
        <w:jc w:val="left"/>
        <w:textAlignment w:val="auto"/>
        <w:rPr>
          <w:lang w:val="ro-MD"/>
        </w:rPr>
      </w:pPr>
      <w:r>
        <w:rPr>
          <w:sz w:val="22"/>
          <w:szCs w:val="22"/>
          <w:lang w:val="ro-MD"/>
        </w:rPr>
        <w:tab/>
        <w:tab/>
      </w:r>
    </w:p>
    <w:p>
      <w:pPr>
        <w:pStyle w:val="Normal"/>
        <w:widowControl/>
        <w:bidi w:val="0"/>
        <w:spacing w:before="0" w:after="240"/>
        <w:ind w:left="0" w:right="-2016" w:hanging="0"/>
        <w:jc w:val="left"/>
        <w:textAlignment w:val="auto"/>
        <w:rPr>
          <w:rFonts w:ascii="Times New Roman" w:hAnsi="Times New Roman"/>
          <w:sz w:val="22"/>
          <w:szCs w:val="22"/>
          <w:lang w:val="ro-MD"/>
        </w:rPr>
      </w:pPr>
      <w:r>
        <w:rPr>
          <w:sz w:val="22"/>
          <w:szCs w:val="22"/>
          <w:lang w:val="ro-MD"/>
        </w:rPr>
      </w:r>
    </w:p>
    <w:p>
      <w:pPr>
        <w:pStyle w:val="Normal"/>
        <w:widowControl/>
        <w:bidi w:val="0"/>
        <w:spacing w:before="0" w:after="240"/>
        <w:ind w:left="0" w:right="-2016" w:hanging="0"/>
        <w:jc w:val="left"/>
        <w:textAlignment w:val="auto"/>
        <w:rPr>
          <w:rFonts w:ascii="Times New Roman" w:hAnsi="Times New Roman"/>
          <w:sz w:val="22"/>
          <w:szCs w:val="22"/>
          <w:lang w:val="ro-MD"/>
        </w:rPr>
      </w:pPr>
      <w:r>
        <w:rPr>
          <w:sz w:val="22"/>
          <w:szCs w:val="22"/>
          <w:lang w:val="ro-MD"/>
        </w:rPr>
      </w:r>
    </w:p>
    <w:p>
      <w:pPr>
        <w:pStyle w:val="Normal"/>
        <w:widowControl/>
        <w:bidi w:val="0"/>
        <w:spacing w:before="0" w:after="240"/>
        <w:ind w:left="0" w:right="-2016" w:hanging="0"/>
        <w:jc w:val="left"/>
        <w:textAlignment w:val="auto"/>
        <w:rPr>
          <w:rFonts w:ascii="Times New Roman" w:hAnsi="Times New Roman"/>
          <w:sz w:val="22"/>
          <w:szCs w:val="22"/>
          <w:lang w:val="ro-MD"/>
        </w:rPr>
      </w:pPr>
      <w:r>
        <w:rPr>
          <w:sz w:val="22"/>
          <w:szCs w:val="22"/>
          <w:lang w:val="ro-MD"/>
        </w:rPr>
      </w:r>
    </w:p>
    <w:p>
      <w:pPr>
        <w:pStyle w:val="1"/>
        <w:keepNext/>
        <w:widowControl/>
        <w:numPr>
          <w:ilvl w:val="0"/>
          <w:numId w:val="0"/>
        </w:numPr>
        <w:bidi w:val="0"/>
        <w:spacing w:before="0" w:after="0"/>
        <w:ind w:left="0" w:right="0" w:hanging="0"/>
        <w:jc w:val="left"/>
        <w:textAlignment w:val="auto"/>
        <w:outlineLvl w:val="0"/>
        <w:rPr>
          <w:b w:val="false"/>
          <w:b w:val="false"/>
          <w:lang w:val="fr-FR"/>
        </w:rPr>
      </w:pPr>
      <w:bookmarkStart w:id="196" w:name="_Toc311818467"/>
      <w:bookmarkStart w:id="197" w:name="_Toc469651934"/>
      <w:bookmarkStart w:id="198" w:name="_Toc375219612"/>
      <w:bookmarkStart w:id="199" w:name="_Toc311820810"/>
      <w:bookmarkStart w:id="200" w:name="_Toc311820486"/>
      <w:bookmarkStart w:id="201" w:name="_Toc311820006"/>
      <w:bookmarkStart w:id="202" w:name="_Toc311819737"/>
      <w:bookmarkStart w:id="203" w:name="_Toc311818799"/>
      <w:r>
        <w:rPr>
          <w:rFonts w:cs="Times New Roman" w:ascii="Times New Roman" w:hAnsi="Times New Roman"/>
          <w:b w:val="false"/>
          <w:lang w:val="fr-FR"/>
        </w:rPr>
        <w:t>Date despre activitatea de colaborare în</w:t>
      </w:r>
      <w:bookmarkEnd w:id="196"/>
      <w:bookmarkEnd w:id="197"/>
      <w:bookmarkEnd w:id="198"/>
      <w:bookmarkEnd w:id="199"/>
      <w:bookmarkEnd w:id="200"/>
      <w:bookmarkEnd w:id="201"/>
      <w:bookmarkEnd w:id="202"/>
      <w:bookmarkEnd w:id="203"/>
      <w:r>
        <w:rPr>
          <w:rFonts w:cs="Times New Roman CE" w:ascii="Times New Roman CE" w:hAnsi="Times New Roman CE"/>
          <w:b w:val="false"/>
          <w:lang w:val="fr-FR"/>
        </w:rPr>
        <w:t xml:space="preserve"> sfera ştiinţei şi inovării (Forma 10)</w:t>
      </w:r>
    </w:p>
    <w:p>
      <w:pPr>
        <w:pStyle w:val="Normal"/>
        <w:widowControl/>
        <w:bidi w:val="0"/>
        <w:ind w:left="0" w:right="0" w:hanging="0"/>
        <w:jc w:val="left"/>
        <w:textAlignment w:val="auto"/>
        <w:rPr>
          <w:rFonts w:ascii="Times New Roman" w:hAnsi="Times New Roman"/>
          <w:lang w:val="fr-FR"/>
        </w:rPr>
      </w:pPr>
      <w:r>
        <w:rPr>
          <w:lang w:val="fr-FR"/>
        </w:rPr>
      </w:r>
    </w:p>
    <w:p>
      <w:pPr>
        <w:pStyle w:val="Normal"/>
        <w:widowControl/>
        <w:bidi w:val="0"/>
        <w:ind w:left="0" w:right="0" w:hanging="0"/>
        <w:jc w:val="left"/>
        <w:textAlignment w:val="auto"/>
        <w:rPr>
          <w:rFonts w:ascii="Times New Roman" w:hAnsi="Times New Roman"/>
          <w:lang w:val="fr-FR"/>
        </w:rPr>
      </w:pPr>
      <w:r>
        <w:rPr>
          <w:lang w:val="fr-FR"/>
        </w:rPr>
      </w:r>
    </w:p>
    <w:tbl>
      <w:tblPr>
        <w:tblW w:w="10597" w:type="dxa"/>
        <w:jc w:val="left"/>
        <w:tblInd w:w="-71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3" w:type="dxa"/>
          <w:bottom w:w="0" w:type="dxa"/>
          <w:right w:w="108" w:type="dxa"/>
        </w:tblCellMar>
      </w:tblPr>
      <w:tblGrid>
        <w:gridCol w:w="2942"/>
        <w:gridCol w:w="1134"/>
        <w:gridCol w:w="4111"/>
        <w:gridCol w:w="2410"/>
      </w:tblGrid>
      <w:tr>
        <w:trPr/>
        <w:tc>
          <w:tcPr>
            <w:tcW w:w="407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120"/>
              <w:ind w:left="0" w:right="0" w:hanging="0"/>
              <w:jc w:val="both"/>
              <w:textAlignment w:val="auto"/>
              <w:rPr>
                <w:lang w:val="ro-MD"/>
              </w:rPr>
            </w:pPr>
            <w:r>
              <w:rPr>
                <w:rFonts w:cs="Times New Roman CE" w:ascii="Times New Roman CE" w:hAnsi="Times New Roman CE"/>
                <w:sz w:val="22"/>
                <w:szCs w:val="22"/>
                <w:lang w:val="ro-MD"/>
              </w:rPr>
              <w:t>Organizaţia</w:t>
            </w:r>
          </w:p>
          <w:p>
            <w:pPr>
              <w:pStyle w:val="Normal"/>
              <w:widowControl/>
              <w:bidi w:val="0"/>
              <w:spacing w:before="0" w:after="120"/>
              <w:ind w:left="0" w:right="0" w:hanging="0"/>
              <w:jc w:val="both"/>
              <w:textAlignment w:val="auto"/>
              <w:rPr>
                <w:lang w:val="ro-MD"/>
              </w:rPr>
            </w:pPr>
            <w:r>
              <w:rPr>
                <w:sz w:val="22"/>
                <w:szCs w:val="22"/>
                <w:lang w:val="ro-MD"/>
              </w:rPr>
              <w:t>Subdiviziunile implicare</w:t>
            </w:r>
          </w:p>
        </w:tc>
        <w:tc>
          <w:tcPr>
            <w:tcW w:w="652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120"/>
              <w:ind w:left="0" w:right="0" w:hanging="0"/>
              <w:jc w:val="both"/>
              <w:textAlignment w:val="auto"/>
              <w:rPr>
                <w:lang w:val="ro-MD"/>
              </w:rPr>
            </w:pPr>
            <w:r>
              <w:rPr>
                <w:sz w:val="22"/>
                <w:szCs w:val="22"/>
                <w:lang w:val="ro-MD"/>
              </w:rPr>
              <w:t xml:space="preserve">Forma de colaborare </w:t>
            </w:r>
          </w:p>
          <w:p>
            <w:pPr>
              <w:pStyle w:val="Normal"/>
              <w:widowControl/>
              <w:bidi w:val="0"/>
              <w:ind w:left="0" w:right="0" w:hanging="0"/>
              <w:jc w:val="both"/>
              <w:textAlignment w:val="auto"/>
              <w:rPr>
                <w:lang w:val="ro-MD"/>
              </w:rPr>
            </w:pPr>
            <w:r>
              <w:rPr>
                <w:i/>
                <w:sz w:val="22"/>
                <w:szCs w:val="22"/>
                <w:lang w:val="ro-MD"/>
              </w:rPr>
              <w:t xml:space="preserve">Proiecte de cercetare  </w:t>
            </w:r>
          </w:p>
          <w:p>
            <w:pPr>
              <w:pStyle w:val="Normal"/>
              <w:widowControl/>
              <w:bidi w:val="0"/>
              <w:ind w:left="0" w:right="0" w:hanging="0"/>
              <w:jc w:val="both"/>
              <w:textAlignment w:val="auto"/>
              <w:rPr>
                <w:lang w:val="ro-MD"/>
              </w:rPr>
            </w:pPr>
            <w:r>
              <w:rPr>
                <w:rFonts w:cs="Times New Roman CE" w:ascii="Times New Roman CE" w:hAnsi="Times New Roman CE"/>
                <w:i/>
                <w:sz w:val="22"/>
                <w:szCs w:val="22"/>
                <w:lang w:val="ro-MD"/>
              </w:rPr>
              <w:t>Unităţi comune de cercetare</w:t>
            </w:r>
          </w:p>
          <w:p>
            <w:pPr>
              <w:pStyle w:val="Normal"/>
              <w:widowControl/>
              <w:bidi w:val="0"/>
              <w:ind w:left="0" w:right="0" w:hanging="0"/>
              <w:jc w:val="both"/>
              <w:textAlignment w:val="auto"/>
              <w:rPr>
                <w:lang w:val="ro-MD"/>
              </w:rPr>
            </w:pPr>
            <w:r>
              <w:rPr>
                <w:rFonts w:cs="Times New Roman CE" w:ascii="Times New Roman CE" w:hAnsi="Times New Roman CE"/>
                <w:i/>
                <w:sz w:val="22"/>
                <w:szCs w:val="22"/>
                <w:lang w:val="ro-MD"/>
              </w:rPr>
              <w:t>Contracte ştiinţifice</w:t>
            </w:r>
          </w:p>
          <w:p>
            <w:pPr>
              <w:pStyle w:val="Normal"/>
              <w:widowControl/>
              <w:bidi w:val="0"/>
              <w:ind w:left="0" w:right="0" w:hanging="0"/>
              <w:jc w:val="both"/>
              <w:textAlignment w:val="auto"/>
              <w:rPr>
                <w:lang w:val="ro-MD"/>
              </w:rPr>
            </w:pPr>
            <w:r>
              <w:rPr>
                <w:rFonts w:cs="Times New Roman CE" w:ascii="Times New Roman CE" w:hAnsi="Times New Roman CE"/>
                <w:i/>
                <w:sz w:val="22"/>
                <w:szCs w:val="22"/>
                <w:lang w:val="ro-MD"/>
              </w:rPr>
              <w:t>Organizarea manifestărilor ştiinţifice şi al.</w:t>
            </w:r>
          </w:p>
        </w:tc>
      </w:tr>
      <w:tr>
        <w:trPr/>
        <w:tc>
          <w:tcPr>
            <w:tcW w:w="407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MD"/>
              </w:rPr>
            </w:pPr>
            <w:r>
              <w:rPr>
                <w:sz w:val="22"/>
                <w:szCs w:val="22"/>
                <w:lang w:val="ro-MD"/>
              </w:rPr>
              <w:t>Societatea Matematicienilor din Republica Moldova</w:t>
            </w:r>
          </w:p>
        </w:tc>
        <w:tc>
          <w:tcPr>
            <w:tcW w:w="652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120"/>
              <w:ind w:left="0" w:right="0" w:hanging="0"/>
              <w:jc w:val="both"/>
              <w:textAlignment w:val="auto"/>
              <w:rPr>
                <w:lang w:val="ro-MD"/>
              </w:rPr>
            </w:pPr>
            <w:r>
              <w:rPr>
                <w:rFonts w:cs="Times New Roman CE" w:ascii="Times New Roman CE" w:hAnsi="Times New Roman CE"/>
                <w:sz w:val="22"/>
                <w:szCs w:val="22"/>
                <w:lang w:val="ro-MD"/>
              </w:rPr>
              <w:t>Organizarea Conferinţei MFOI 2016</w:t>
            </w:r>
          </w:p>
        </w:tc>
      </w:tr>
      <w:tr>
        <w:trPr/>
        <w:tc>
          <w:tcPr>
            <w:tcW w:w="407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120"/>
              <w:ind w:left="0" w:right="0" w:hanging="0"/>
              <w:jc w:val="both"/>
              <w:textAlignment w:val="auto"/>
              <w:rPr>
                <w:lang w:val="en-US"/>
              </w:rPr>
            </w:pPr>
            <w:r>
              <w:rPr>
                <w:lang w:val="en-US"/>
              </w:rPr>
              <w:t>Taras Shevchenko National University of Kyiv, Ukraine</w:t>
            </w:r>
          </w:p>
        </w:tc>
        <w:tc>
          <w:tcPr>
            <w:tcW w:w="652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120"/>
              <w:ind w:left="0" w:right="0" w:hanging="0"/>
              <w:jc w:val="both"/>
              <w:textAlignment w:val="auto"/>
              <w:rPr>
                <w:lang w:val="ro-MD"/>
              </w:rPr>
            </w:pPr>
            <w:r>
              <w:rPr>
                <w:rFonts w:cs="Times New Roman CE" w:ascii="Times New Roman CE" w:hAnsi="Times New Roman CE"/>
                <w:sz w:val="22"/>
                <w:szCs w:val="22"/>
                <w:lang w:val="ro-MD"/>
              </w:rPr>
              <w:t>Organizarea Conferinţei MFOI 2016</w:t>
            </w:r>
          </w:p>
        </w:tc>
      </w:tr>
      <w:tr>
        <w:trPr/>
        <w:tc>
          <w:tcPr>
            <w:tcW w:w="407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120"/>
              <w:ind w:left="0" w:right="0" w:hanging="0"/>
              <w:jc w:val="both"/>
              <w:textAlignment w:val="auto"/>
              <w:rPr/>
            </w:pPr>
            <w:r>
              <w:rPr/>
              <w:t>East</w:t>
            </w:r>
            <w:r>
              <w:rPr>
                <w:lang w:val="ro-RO"/>
              </w:rPr>
              <w:t xml:space="preserve"> </w:t>
            </w:r>
            <w:r>
              <w:rPr/>
              <w:t>Computers, SRL</w:t>
            </w:r>
          </w:p>
        </w:tc>
        <w:tc>
          <w:tcPr>
            <w:tcW w:w="652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120"/>
              <w:ind w:left="0" w:right="0" w:hanging="0"/>
              <w:jc w:val="both"/>
              <w:textAlignment w:val="auto"/>
              <w:rPr>
                <w:lang w:val="ro-MD"/>
              </w:rPr>
            </w:pPr>
            <w:r>
              <w:rPr>
                <w:rFonts w:cs="Times New Roman CE" w:ascii="Times New Roman CE" w:hAnsi="Times New Roman CE"/>
                <w:sz w:val="22"/>
                <w:szCs w:val="22"/>
                <w:lang w:val="ro-MD"/>
              </w:rPr>
              <w:t>Organizarea Conferinţei MFOI 2016</w:t>
            </w:r>
          </w:p>
        </w:tc>
      </w:tr>
      <w:tr>
        <w:trPr/>
        <w:tc>
          <w:tcPr>
            <w:tcW w:w="407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120"/>
              <w:ind w:left="0" w:right="0" w:hanging="0"/>
              <w:jc w:val="both"/>
              <w:textAlignment w:val="auto"/>
              <w:rPr/>
            </w:pPr>
            <w:hyperlink r:id="rId97">
              <w:r>
                <w:rPr>
                  <w:webHidden/>
                  <w:rStyle w:val="Style5"/>
                </w:rPr>
                <w:t>Tiraspol</w:t>
              </w:r>
              <w:r>
                <w:rPr>
                  <w:rStyle w:val="Style5"/>
                  <w:lang w:val="ro-RO"/>
                </w:rPr>
                <w:t xml:space="preserve"> </w:t>
              </w:r>
              <w:r>
                <w:rPr>
                  <w:rStyle w:val="Style5"/>
                </w:rPr>
                <w:t>State</w:t>
              </w:r>
              <w:r>
                <w:rPr>
                  <w:rStyle w:val="Style5"/>
                  <w:lang w:val="ro-RO"/>
                </w:rPr>
                <w:t xml:space="preserve"> </w:t>
              </w:r>
              <w:r>
                <w:rPr>
                  <w:rStyle w:val="Style5"/>
                </w:rPr>
                <w:t>University</w:t>
              </w:r>
            </w:hyperlink>
          </w:p>
        </w:tc>
        <w:tc>
          <w:tcPr>
            <w:tcW w:w="652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120"/>
              <w:ind w:left="0" w:right="0" w:hanging="0"/>
              <w:jc w:val="both"/>
              <w:textAlignment w:val="auto"/>
              <w:rPr>
                <w:lang w:val="ro-MD"/>
              </w:rPr>
            </w:pPr>
            <w:r>
              <w:rPr>
                <w:rFonts w:cs="Times New Roman CE" w:ascii="Times New Roman CE" w:hAnsi="Times New Roman CE"/>
                <w:sz w:val="22"/>
                <w:szCs w:val="22"/>
                <w:lang w:val="ro-MD"/>
              </w:rPr>
              <w:t>Organizarea Conferinţei MFOI 2016</w:t>
            </w:r>
          </w:p>
        </w:tc>
      </w:tr>
      <w:tr>
        <w:trPr/>
        <w:tc>
          <w:tcPr>
            <w:tcW w:w="407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120"/>
              <w:ind w:left="0" w:right="0" w:hanging="0"/>
              <w:jc w:val="both"/>
              <w:textAlignment w:val="auto"/>
              <w:rPr>
                <w:lang w:val="en-US"/>
              </w:rPr>
            </w:pPr>
            <w:r>
              <w:rPr>
                <w:lang w:val="en-US"/>
              </w:rPr>
              <w:t>Information Society Development Institute</w:t>
            </w:r>
            <w:r>
              <w:rPr>
                <w:rFonts w:cs="Times New Roman CE" w:ascii="Times New Roman CE" w:hAnsi="Times New Roman CE"/>
                <w:lang w:val="ro-RO"/>
              </w:rPr>
              <w:t>, AŞM RM</w:t>
            </w:r>
            <w:r>
              <w:rPr>
                <w:lang w:val="en-US"/>
              </w:rPr>
              <w:t>.</w:t>
            </w:r>
          </w:p>
        </w:tc>
        <w:tc>
          <w:tcPr>
            <w:tcW w:w="652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120"/>
              <w:ind w:left="0" w:right="0" w:hanging="0"/>
              <w:jc w:val="both"/>
              <w:textAlignment w:val="auto"/>
              <w:rPr>
                <w:lang w:val="ro-MD"/>
              </w:rPr>
            </w:pPr>
            <w:r>
              <w:rPr>
                <w:rFonts w:cs="Times New Roman CE" w:ascii="Times New Roman CE" w:hAnsi="Times New Roman CE"/>
                <w:sz w:val="22"/>
                <w:szCs w:val="22"/>
                <w:lang w:val="ro-MD"/>
              </w:rPr>
              <w:t>Organizarea Conferinţei MFOI 2016</w:t>
            </w:r>
          </w:p>
        </w:tc>
      </w:tr>
      <w:tr>
        <w:trPr/>
        <w:tc>
          <w:tcPr>
            <w:tcW w:w="407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120"/>
              <w:ind w:left="0" w:right="0" w:hanging="0"/>
              <w:jc w:val="both"/>
              <w:textAlignment w:val="auto"/>
              <w:rPr>
                <w:lang w:val="en-US"/>
              </w:rPr>
            </w:pPr>
            <w:r>
              <w:rPr>
                <w:rFonts w:cs="Times New Roman CE" w:ascii="Times New Roman CE" w:hAnsi="Times New Roman CE"/>
                <w:lang w:val="en-US"/>
              </w:rPr>
              <w:t>Universitatea “A.I.Cuza”, Iaşi, România</w:t>
            </w:r>
          </w:p>
        </w:tc>
        <w:tc>
          <w:tcPr>
            <w:tcW w:w="652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120"/>
              <w:ind w:left="0" w:right="0" w:hanging="0"/>
              <w:jc w:val="both"/>
              <w:textAlignment w:val="auto"/>
              <w:rPr>
                <w:lang w:val="ro-MD"/>
              </w:rPr>
            </w:pPr>
            <w:r>
              <w:rPr>
                <w:rFonts w:cs="Times New Roman CE" w:ascii="Times New Roman CE" w:hAnsi="Times New Roman CE"/>
                <w:sz w:val="22"/>
                <w:szCs w:val="22"/>
                <w:lang w:val="ro-MD"/>
              </w:rPr>
              <w:t>Organizarea Conferinţei MFOI 2016</w:t>
            </w:r>
          </w:p>
        </w:tc>
      </w:tr>
      <w:tr>
        <w:trPr/>
        <w:tc>
          <w:tcPr>
            <w:tcW w:w="407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120"/>
              <w:ind w:left="0" w:right="0" w:hanging="0"/>
              <w:jc w:val="both"/>
              <w:textAlignment w:val="auto"/>
              <w:rPr>
                <w:lang w:val="ro-MD"/>
              </w:rPr>
            </w:pPr>
            <w:r>
              <w:rPr>
                <w:rFonts w:cs="Times New Roman CE" w:ascii="Times New Roman CE" w:hAnsi="Times New Roman CE"/>
                <w:sz w:val="22"/>
                <w:szCs w:val="22"/>
                <w:lang w:val="ro-MD"/>
              </w:rPr>
              <w:t>UAŞM, USM, UST</w:t>
            </w:r>
          </w:p>
        </w:tc>
        <w:tc>
          <w:tcPr>
            <w:tcW w:w="652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120"/>
              <w:ind w:left="0" w:right="0" w:hanging="0"/>
              <w:jc w:val="both"/>
              <w:textAlignment w:val="auto"/>
              <w:rPr>
                <w:lang w:val="ro-MD"/>
              </w:rPr>
            </w:pPr>
            <w:r>
              <w:rPr>
                <w:rFonts w:cs="Times New Roman CE" w:ascii="Times New Roman CE" w:hAnsi="Times New Roman CE"/>
                <w:i/>
                <w:sz w:val="22"/>
                <w:szCs w:val="22"/>
                <w:lang w:val="ro-MD"/>
              </w:rPr>
              <w:t>Cluster Educaţional, Proiecte de cercetare, Organizarea manifestărilor ştiinţifice</w:t>
            </w:r>
          </w:p>
        </w:tc>
      </w:tr>
      <w:tr>
        <w:trPr/>
        <w:tc>
          <w:tcPr>
            <w:tcW w:w="407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120"/>
              <w:ind w:left="0" w:right="0" w:hanging="0"/>
              <w:jc w:val="both"/>
              <w:textAlignment w:val="auto"/>
              <w:rPr>
                <w:lang w:val="ro-RO"/>
              </w:rPr>
            </w:pPr>
            <w:r>
              <w:rPr>
                <w:rFonts w:cs="Times New Roman CE" w:ascii="Times New Roman CE" w:hAnsi="Times New Roman CE"/>
                <w:lang w:val="ro-RO"/>
              </w:rPr>
              <w:t>Universitatea Tehnică a Moldovei</w:t>
            </w:r>
          </w:p>
        </w:tc>
        <w:tc>
          <w:tcPr>
            <w:tcW w:w="652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numPr>
                <w:ilvl w:val="0"/>
                <w:numId w:val="11"/>
              </w:numPr>
              <w:bidi w:val="0"/>
              <w:ind w:left="360" w:right="0" w:hanging="0"/>
              <w:jc w:val="both"/>
              <w:textAlignment w:val="auto"/>
              <w:rPr>
                <w:lang w:val="ro-MD"/>
              </w:rPr>
            </w:pPr>
            <w:r>
              <w:rPr>
                <w:i/>
                <w:sz w:val="22"/>
                <w:szCs w:val="22"/>
                <w:lang w:val="ro-MD"/>
              </w:rPr>
              <w:t xml:space="preserve">Acord de colaborare </w:t>
            </w:r>
          </w:p>
        </w:tc>
      </w:tr>
      <w:tr>
        <w:trPr/>
        <w:tc>
          <w:tcPr>
            <w:tcW w:w="407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lang w:val="ro-RO"/>
              </w:rPr>
              <w:t xml:space="preserve">Institutul </w:t>
            </w:r>
            <w:r>
              <w:rPr>
                <w:rFonts w:cs="Cambria Math" w:ascii="Cambria Math" w:hAnsi="Cambria Math"/>
                <w:lang w:val="ro-RO"/>
              </w:rPr>
              <w:t>Ș</w:t>
            </w:r>
            <w:r>
              <w:rPr>
                <w:lang w:val="ro-RO"/>
              </w:rPr>
              <w:t>tiin</w:t>
            </w:r>
            <w:r>
              <w:rPr>
                <w:rFonts w:cs="Cambria Math" w:ascii="Cambria Math" w:hAnsi="Cambria Math"/>
                <w:lang w:val="ro-RO"/>
              </w:rPr>
              <w:t>ț</w:t>
            </w:r>
            <w:r>
              <w:rPr>
                <w:lang w:val="ro-RO"/>
              </w:rPr>
              <w:t>elor de Control al A</w:t>
            </w:r>
            <w:r>
              <w:rPr>
                <w:rFonts w:cs="Times New Roman CE" w:ascii="Times New Roman CE" w:hAnsi="Times New Roman CE"/>
                <w:lang w:val="ro-RO"/>
              </w:rPr>
              <w:t>Ş</w:t>
            </w:r>
            <w:r>
              <w:rPr>
                <w:lang w:val="ro-RO"/>
              </w:rPr>
              <w:t>R</w:t>
            </w:r>
          </w:p>
        </w:tc>
        <w:tc>
          <w:tcPr>
            <w:tcW w:w="652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numPr>
                <w:ilvl w:val="0"/>
                <w:numId w:val="11"/>
              </w:numPr>
              <w:bidi w:val="0"/>
              <w:ind w:left="360" w:right="0" w:hanging="0"/>
              <w:jc w:val="both"/>
              <w:textAlignment w:val="auto"/>
              <w:rPr>
                <w:lang w:val="ro-MD"/>
              </w:rPr>
            </w:pPr>
            <w:r>
              <w:rPr>
                <w:i/>
                <w:sz w:val="22"/>
                <w:szCs w:val="22"/>
                <w:lang w:val="ro-MD"/>
              </w:rPr>
              <w:t xml:space="preserve">Acord de colaborare </w:t>
            </w:r>
          </w:p>
        </w:tc>
      </w:tr>
      <w:tr>
        <w:trPr/>
        <w:tc>
          <w:tcPr>
            <w:tcW w:w="407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lang w:val="ro-RO"/>
              </w:rPr>
              <w:t>Institu</w:t>
            </w:r>
            <w:r>
              <w:rPr>
                <w:rFonts w:cs="Cambria Math" w:ascii="Cambria Math" w:hAnsi="Cambria Math"/>
                <w:lang w:val="ro-RO"/>
              </w:rPr>
              <w:t>ț</w:t>
            </w:r>
            <w:r>
              <w:rPr>
                <w:rFonts w:cs="Times New Roman CE" w:ascii="Times New Roman CE" w:hAnsi="Times New Roman CE"/>
                <w:lang w:val="ro-RO"/>
              </w:rPr>
              <w:t>ia Autonomă ”Oreol GTU- RŞ</w:t>
            </w:r>
            <w:r>
              <w:rPr>
                <w:lang w:val="ro-RO"/>
              </w:rPr>
              <w:t>FIO”, Rusia</w:t>
            </w:r>
          </w:p>
        </w:tc>
        <w:tc>
          <w:tcPr>
            <w:tcW w:w="652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numPr>
                <w:ilvl w:val="0"/>
                <w:numId w:val="11"/>
              </w:numPr>
              <w:bidi w:val="0"/>
              <w:ind w:left="360" w:right="0" w:hanging="0"/>
              <w:jc w:val="both"/>
              <w:textAlignment w:val="auto"/>
              <w:rPr>
                <w:lang w:val="ro-MD"/>
              </w:rPr>
            </w:pPr>
            <w:r>
              <w:rPr>
                <w:i/>
                <w:sz w:val="22"/>
                <w:szCs w:val="22"/>
                <w:lang w:val="ro-MD"/>
              </w:rPr>
              <w:t xml:space="preserve">Acord de colaborare </w:t>
            </w:r>
          </w:p>
        </w:tc>
      </w:tr>
      <w:tr>
        <w:trPr/>
        <w:tc>
          <w:tcPr>
            <w:tcW w:w="407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lang w:val="ro-RO"/>
              </w:rPr>
              <w:t xml:space="preserve">Centrul de Calcul al Academiei de </w:t>
            </w:r>
            <w:r>
              <w:rPr>
                <w:rFonts w:cs="Cambria Math" w:ascii="Cambria Math" w:hAnsi="Cambria Math"/>
                <w:lang w:val="ro-RO"/>
              </w:rPr>
              <w:t>Ș</w:t>
            </w:r>
            <w:r>
              <w:rPr>
                <w:lang w:val="ro-RO"/>
              </w:rPr>
              <w:t>tiin</w:t>
            </w:r>
            <w:r>
              <w:rPr>
                <w:rFonts w:cs="Cambria Math" w:ascii="Cambria Math" w:hAnsi="Cambria Math"/>
                <w:lang w:val="ro-RO"/>
              </w:rPr>
              <w:t>ț</w:t>
            </w:r>
            <w:r>
              <w:rPr>
                <w:lang w:val="ro-RO"/>
              </w:rPr>
              <w:t>e a Rusiei (A</w:t>
            </w:r>
            <w:r>
              <w:rPr>
                <w:rFonts w:cs="Times New Roman CE" w:ascii="Times New Roman CE" w:hAnsi="Times New Roman CE"/>
                <w:lang w:val="ro-RO"/>
              </w:rPr>
              <w:t>Ş</w:t>
            </w:r>
            <w:r>
              <w:rPr>
                <w:lang w:val="ro-RO"/>
              </w:rPr>
              <w:t xml:space="preserve">R). </w:t>
            </w:r>
          </w:p>
        </w:tc>
        <w:tc>
          <w:tcPr>
            <w:tcW w:w="652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numPr>
                <w:ilvl w:val="0"/>
                <w:numId w:val="11"/>
              </w:numPr>
              <w:bidi w:val="0"/>
              <w:ind w:left="360" w:right="0" w:hanging="0"/>
              <w:jc w:val="both"/>
              <w:textAlignment w:val="auto"/>
              <w:rPr>
                <w:lang w:val="ro-MD"/>
              </w:rPr>
            </w:pPr>
            <w:r>
              <w:rPr>
                <w:i/>
                <w:sz w:val="22"/>
                <w:szCs w:val="22"/>
                <w:lang w:val="ro-MD"/>
              </w:rPr>
              <w:t xml:space="preserve">Acord de colaborare </w:t>
            </w:r>
          </w:p>
        </w:tc>
      </w:tr>
      <w:tr>
        <w:trPr/>
        <w:tc>
          <w:tcPr>
            <w:tcW w:w="407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120"/>
              <w:ind w:left="0" w:right="0" w:hanging="0"/>
              <w:jc w:val="both"/>
              <w:textAlignment w:val="auto"/>
              <w:rPr>
                <w:lang w:val="ro-MD"/>
              </w:rPr>
            </w:pPr>
            <w:r>
              <w:rPr>
                <w:rFonts w:cs="Times New Roman CE" w:ascii="Times New Roman CE" w:hAnsi="Times New Roman CE"/>
                <w:sz w:val="22"/>
                <w:szCs w:val="22"/>
                <w:lang w:val="ro-MD"/>
              </w:rPr>
              <w:t>Institutul Mecanica solidelor al Academie Române</w:t>
            </w:r>
          </w:p>
        </w:tc>
        <w:tc>
          <w:tcPr>
            <w:tcW w:w="652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numPr>
                <w:ilvl w:val="0"/>
                <w:numId w:val="11"/>
              </w:numPr>
              <w:bidi w:val="0"/>
              <w:ind w:left="360" w:right="0" w:hanging="0"/>
              <w:jc w:val="both"/>
              <w:textAlignment w:val="auto"/>
              <w:rPr>
                <w:lang w:val="ro-MD"/>
              </w:rPr>
            </w:pPr>
            <w:r>
              <w:rPr>
                <w:i/>
                <w:sz w:val="22"/>
                <w:szCs w:val="22"/>
                <w:lang w:val="ro-MD"/>
              </w:rPr>
              <w:t>Acord de colaborare</w:t>
            </w:r>
          </w:p>
        </w:tc>
      </w:tr>
      <w:tr>
        <w:trPr/>
        <w:tc>
          <w:tcPr>
            <w:tcW w:w="407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120"/>
              <w:ind w:left="0" w:right="0" w:hanging="0"/>
              <w:jc w:val="both"/>
              <w:textAlignment w:val="auto"/>
              <w:rPr>
                <w:lang w:val="ro-MD"/>
              </w:rPr>
            </w:pPr>
            <w:r>
              <w:rPr>
                <w:rFonts w:cs="Times New Roman CE" w:ascii="Times New Roman CE" w:hAnsi="Times New Roman CE"/>
                <w:sz w:val="22"/>
                <w:szCs w:val="22"/>
                <w:lang w:val="ro-MD"/>
              </w:rPr>
              <w:t>Institutul de Informatică Teoretică (filiala Iaşi a Academiei Române)</w:t>
            </w:r>
          </w:p>
        </w:tc>
        <w:tc>
          <w:tcPr>
            <w:tcW w:w="652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numPr>
                <w:ilvl w:val="0"/>
                <w:numId w:val="11"/>
              </w:numPr>
              <w:bidi w:val="0"/>
              <w:ind w:left="360" w:right="0" w:hanging="0"/>
              <w:jc w:val="both"/>
              <w:textAlignment w:val="auto"/>
              <w:rPr>
                <w:lang w:val="ro-MD"/>
              </w:rPr>
            </w:pPr>
            <w:r>
              <w:rPr>
                <w:i/>
                <w:sz w:val="22"/>
                <w:szCs w:val="22"/>
                <w:lang w:val="ro-MD"/>
              </w:rPr>
              <w:t>Acord de colaborare</w:t>
            </w:r>
          </w:p>
          <w:p>
            <w:pPr>
              <w:pStyle w:val="Normal"/>
              <w:widowControl/>
              <w:bidi w:val="0"/>
              <w:ind w:left="360" w:right="0" w:hanging="0"/>
              <w:jc w:val="both"/>
              <w:textAlignment w:val="auto"/>
              <w:rPr>
                <w:rFonts w:ascii="Times New Roman" w:hAnsi="Times New Roman"/>
                <w:sz w:val="22"/>
                <w:szCs w:val="22"/>
                <w:lang w:val="ro-MD"/>
              </w:rPr>
            </w:pPr>
            <w:r>
              <w:rPr>
                <w:sz w:val="22"/>
                <w:szCs w:val="22"/>
                <w:lang w:val="ro-MD"/>
              </w:rPr>
            </w:r>
          </w:p>
        </w:tc>
      </w:tr>
      <w:tr>
        <w:trPr/>
        <w:tc>
          <w:tcPr>
            <w:tcW w:w="407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120"/>
              <w:ind w:left="0" w:right="0" w:hanging="0"/>
              <w:jc w:val="both"/>
              <w:textAlignment w:val="auto"/>
              <w:rPr>
                <w:lang w:val="ro-MD"/>
              </w:rPr>
            </w:pPr>
            <w:r>
              <w:rPr>
                <w:sz w:val="22"/>
                <w:szCs w:val="22"/>
                <w:lang w:val="ro-MD"/>
              </w:rPr>
              <w:t>Universitatea „Alexandru Ioan Cuza”,</w:t>
            </w:r>
            <w:r>
              <w:rPr>
                <w:rFonts w:cs="Times New Roman CE" w:ascii="Times New Roman CE" w:hAnsi="Times New Roman CE"/>
                <w:sz w:val="22"/>
                <w:szCs w:val="22"/>
                <w:lang w:val="ro-MD"/>
              </w:rPr>
              <w:t xml:space="preserve"> Iaşi, România</w:t>
            </w:r>
          </w:p>
        </w:tc>
        <w:tc>
          <w:tcPr>
            <w:tcW w:w="652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numPr>
                <w:ilvl w:val="0"/>
                <w:numId w:val="12"/>
              </w:numPr>
              <w:bidi w:val="0"/>
              <w:spacing w:before="0" w:after="120"/>
              <w:ind w:left="360" w:right="0" w:hanging="0"/>
              <w:jc w:val="both"/>
              <w:textAlignment w:val="auto"/>
              <w:rPr>
                <w:lang w:val="ro-MD"/>
              </w:rPr>
            </w:pPr>
            <w:r>
              <w:rPr>
                <w:i/>
                <w:sz w:val="22"/>
                <w:szCs w:val="22"/>
                <w:lang w:val="ro-MD"/>
              </w:rPr>
              <w:t>Acord de colaborare</w:t>
            </w:r>
          </w:p>
        </w:tc>
      </w:tr>
      <w:tr>
        <w:trPr/>
        <w:tc>
          <w:tcPr>
            <w:tcW w:w="407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120"/>
              <w:ind w:left="0" w:right="0" w:hanging="0"/>
              <w:jc w:val="both"/>
              <w:textAlignment w:val="auto"/>
              <w:rPr>
                <w:lang w:val="ro-MD"/>
              </w:rPr>
            </w:pPr>
            <w:r>
              <w:rPr>
                <w:sz w:val="22"/>
                <w:szCs w:val="22"/>
                <w:lang w:val="ro-MD"/>
              </w:rPr>
              <w:t>West Pomeranian University of Technology, Faculty of Computer Science and Information Systems, Szczecin, Polonia</w:t>
            </w:r>
          </w:p>
        </w:tc>
        <w:tc>
          <w:tcPr>
            <w:tcW w:w="652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numPr>
                <w:ilvl w:val="0"/>
                <w:numId w:val="12"/>
              </w:numPr>
              <w:bidi w:val="0"/>
              <w:spacing w:before="0" w:after="120"/>
              <w:ind w:left="360" w:right="0" w:hanging="0"/>
              <w:jc w:val="both"/>
              <w:textAlignment w:val="auto"/>
              <w:rPr>
                <w:lang w:val="ro-MD"/>
              </w:rPr>
            </w:pPr>
            <w:r>
              <w:rPr>
                <w:i/>
                <w:sz w:val="22"/>
                <w:szCs w:val="22"/>
                <w:lang w:val="ro-MD"/>
              </w:rPr>
              <w:t>Acord de colaborare</w:t>
            </w:r>
          </w:p>
        </w:tc>
      </w:tr>
      <w:tr>
        <w:trPr/>
        <w:tc>
          <w:tcPr>
            <w:tcW w:w="407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120"/>
              <w:ind w:left="0" w:right="0" w:hanging="0"/>
              <w:jc w:val="both"/>
              <w:textAlignment w:val="auto"/>
              <w:rPr>
                <w:lang w:val="ro-MD"/>
              </w:rPr>
            </w:pPr>
            <w:r>
              <w:rPr>
                <w:rFonts w:cs="Times New Roman CE" w:ascii="Times New Roman CE" w:hAnsi="Times New Roman CE"/>
                <w:sz w:val="22"/>
                <w:szCs w:val="22"/>
                <w:lang w:val="ro-MD"/>
              </w:rPr>
              <w:t>Institutul de Cercetări pentru Inteligenţă Artificială, Academia Română, Bucure</w:t>
            </w:r>
            <w:r>
              <w:rPr>
                <w:rFonts w:cs="Cambria Math" w:ascii="Cambria Math" w:hAnsi="Cambria Math"/>
                <w:sz w:val="22"/>
                <w:szCs w:val="22"/>
                <w:lang w:val="ro-MD"/>
              </w:rPr>
              <w:t>ș</w:t>
            </w:r>
            <w:r>
              <w:rPr>
                <w:sz w:val="22"/>
                <w:szCs w:val="22"/>
                <w:lang w:val="ro-MD"/>
              </w:rPr>
              <w:t>ti</w:t>
            </w:r>
          </w:p>
        </w:tc>
        <w:tc>
          <w:tcPr>
            <w:tcW w:w="652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numPr>
                <w:ilvl w:val="0"/>
                <w:numId w:val="12"/>
              </w:numPr>
              <w:bidi w:val="0"/>
              <w:spacing w:before="0" w:after="120"/>
              <w:ind w:left="360" w:right="0" w:hanging="0"/>
              <w:jc w:val="both"/>
              <w:textAlignment w:val="auto"/>
              <w:rPr>
                <w:lang w:val="ro-MD"/>
              </w:rPr>
            </w:pPr>
            <w:r>
              <w:rPr>
                <w:i/>
                <w:sz w:val="22"/>
                <w:szCs w:val="22"/>
                <w:lang w:val="ro-MD"/>
              </w:rPr>
              <w:t>Acord de colaborare</w:t>
            </w:r>
          </w:p>
        </w:tc>
      </w:tr>
      <w:tr>
        <w:trPr/>
        <w:tc>
          <w:tcPr>
            <w:tcW w:w="407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120"/>
              <w:ind w:left="0" w:right="0" w:hanging="0"/>
              <w:jc w:val="both"/>
              <w:textAlignment w:val="auto"/>
              <w:rPr>
                <w:lang w:val="ro-MD"/>
              </w:rPr>
            </w:pPr>
            <w:r>
              <w:rPr>
                <w:sz w:val="22"/>
                <w:szCs w:val="22"/>
                <w:lang w:val="ro-MD"/>
              </w:rPr>
              <w:t>Taurida National V.I. Vernadsky University, Simferopol, Ukraina</w:t>
            </w:r>
          </w:p>
        </w:tc>
        <w:tc>
          <w:tcPr>
            <w:tcW w:w="652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numPr>
                <w:ilvl w:val="0"/>
                <w:numId w:val="12"/>
              </w:numPr>
              <w:bidi w:val="0"/>
              <w:spacing w:before="0" w:after="120"/>
              <w:ind w:left="360" w:right="0" w:hanging="0"/>
              <w:jc w:val="both"/>
              <w:textAlignment w:val="auto"/>
              <w:rPr>
                <w:lang w:val="ro-MD"/>
              </w:rPr>
            </w:pPr>
            <w:r>
              <w:rPr>
                <w:i/>
                <w:sz w:val="22"/>
                <w:szCs w:val="22"/>
                <w:lang w:val="ro-MD"/>
              </w:rPr>
              <w:t>Acord de colaborare</w:t>
            </w:r>
          </w:p>
          <w:p>
            <w:pPr>
              <w:pStyle w:val="Normal"/>
              <w:widowControl/>
              <w:suppressAutoHyphens w:val="true"/>
              <w:bidi w:val="0"/>
              <w:ind w:left="360" w:right="0" w:hanging="0"/>
              <w:jc w:val="both"/>
              <w:textAlignment w:val="auto"/>
              <w:rPr>
                <w:rFonts w:ascii="Times New Roman" w:hAnsi="Times New Roman"/>
                <w:sz w:val="22"/>
                <w:szCs w:val="22"/>
                <w:lang w:val="ro-MD"/>
              </w:rPr>
            </w:pPr>
            <w:r>
              <w:rPr>
                <w:sz w:val="22"/>
                <w:szCs w:val="22"/>
                <w:lang w:val="ro-MD"/>
              </w:rPr>
            </w:r>
          </w:p>
        </w:tc>
      </w:tr>
      <w:tr>
        <w:trPr/>
        <w:tc>
          <w:tcPr>
            <w:tcW w:w="407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120"/>
              <w:ind w:left="0" w:right="0" w:hanging="0"/>
              <w:jc w:val="both"/>
              <w:textAlignment w:val="auto"/>
              <w:rPr>
                <w:lang w:val="ro-MD"/>
              </w:rPr>
            </w:pPr>
            <w:r>
              <w:rPr>
                <w:sz w:val="22"/>
                <w:szCs w:val="22"/>
                <w:lang w:val="ro-MD"/>
              </w:rPr>
              <w:t>Centre de recherches mathematiques of the Universite de Montreal, Canada</w:t>
            </w:r>
          </w:p>
        </w:tc>
        <w:tc>
          <w:tcPr>
            <w:tcW w:w="652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numPr>
                <w:ilvl w:val="0"/>
                <w:numId w:val="12"/>
              </w:numPr>
              <w:bidi w:val="0"/>
              <w:spacing w:before="0" w:after="120"/>
              <w:ind w:left="360" w:right="0" w:hanging="0"/>
              <w:jc w:val="both"/>
              <w:textAlignment w:val="auto"/>
              <w:rPr>
                <w:lang w:val="ro-MD"/>
              </w:rPr>
            </w:pPr>
            <w:r>
              <w:rPr>
                <w:i/>
                <w:sz w:val="22"/>
                <w:szCs w:val="22"/>
                <w:lang w:val="ro-MD"/>
              </w:rPr>
              <w:t>Acord de colaborare</w:t>
            </w:r>
          </w:p>
        </w:tc>
      </w:tr>
      <w:tr>
        <w:trPr/>
        <w:tc>
          <w:tcPr>
            <w:tcW w:w="407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lineRule="exact" w:line="240"/>
              <w:ind w:left="0" w:right="0" w:hanging="0"/>
              <w:jc w:val="left"/>
              <w:textAlignment w:val="auto"/>
              <w:rPr>
                <w:lang w:val="ro-RO"/>
              </w:rPr>
            </w:pPr>
            <w:r>
              <w:rPr>
                <w:sz w:val="22"/>
                <w:szCs w:val="22"/>
                <w:lang w:val="ro-RO"/>
              </w:rPr>
              <w:t>1)Universitatea de Stat din Tiraspol,</w:t>
            </w:r>
          </w:p>
          <w:p>
            <w:pPr>
              <w:pStyle w:val="Normal"/>
              <w:widowControl/>
              <w:bidi w:val="0"/>
              <w:spacing w:lineRule="exact" w:line="240"/>
              <w:ind w:left="0" w:right="0" w:hanging="0"/>
              <w:jc w:val="left"/>
              <w:textAlignment w:val="auto"/>
              <w:rPr>
                <w:lang w:val="ro-RO"/>
              </w:rPr>
            </w:pPr>
            <w:r>
              <w:rPr>
                <w:rFonts w:cs="Times New Roman CE" w:ascii="Times New Roman CE" w:hAnsi="Times New Roman CE"/>
                <w:sz w:val="22"/>
                <w:szCs w:val="22"/>
                <w:lang w:val="ro-RO"/>
              </w:rPr>
              <w:t>Catedra Analiză Matematică şi Ecuaţii Diferenţiale;</w:t>
            </w:r>
          </w:p>
          <w:p>
            <w:pPr>
              <w:pStyle w:val="Normal"/>
              <w:widowControl/>
              <w:bidi w:val="0"/>
              <w:spacing w:lineRule="exact" w:line="240"/>
              <w:ind w:left="0" w:right="0" w:hanging="0"/>
              <w:jc w:val="left"/>
              <w:textAlignment w:val="auto"/>
              <w:rPr>
                <w:lang w:val="ro-RO"/>
              </w:rPr>
            </w:pPr>
            <w:r>
              <w:rPr>
                <w:sz w:val="22"/>
                <w:szCs w:val="22"/>
                <w:lang w:val="ro-RO"/>
              </w:rPr>
              <w:t>2) Universitatea de Stat din Moldova,</w:t>
            </w:r>
          </w:p>
          <w:p>
            <w:pPr>
              <w:pStyle w:val="Normal"/>
              <w:widowControl/>
              <w:bidi w:val="0"/>
              <w:spacing w:before="0" w:after="120"/>
              <w:ind w:left="0" w:right="0" w:hanging="0"/>
              <w:jc w:val="both"/>
              <w:textAlignment w:val="auto"/>
              <w:rPr>
                <w:lang w:val="ro-RO"/>
              </w:rPr>
            </w:pPr>
            <w:r>
              <w:rPr>
                <w:sz w:val="22"/>
                <w:szCs w:val="22"/>
                <w:lang w:val="ro-RO"/>
              </w:rPr>
              <w:t>Departamentul Matematici Fundamentale</w:t>
            </w:r>
          </w:p>
        </w:tc>
        <w:tc>
          <w:tcPr>
            <w:tcW w:w="652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numPr>
                <w:ilvl w:val="0"/>
                <w:numId w:val="12"/>
              </w:numPr>
              <w:bidi w:val="0"/>
              <w:spacing w:before="0" w:after="120"/>
              <w:ind w:left="360" w:right="0" w:hanging="0"/>
              <w:jc w:val="both"/>
              <w:textAlignment w:val="auto"/>
              <w:rPr>
                <w:lang w:val="ro-MD"/>
              </w:rPr>
            </w:pPr>
            <w:r>
              <w:rPr>
                <w:i/>
                <w:sz w:val="22"/>
                <w:szCs w:val="22"/>
                <w:lang w:val="ro-MD"/>
              </w:rPr>
              <w:t>Proiectul FP7-PEOPLE-2012-IRSES-316338</w:t>
            </w:r>
          </w:p>
          <w:p>
            <w:pPr>
              <w:pStyle w:val="Normal"/>
              <w:widowControl/>
              <w:bidi w:val="0"/>
              <w:spacing w:before="0" w:after="120"/>
              <w:ind w:left="0" w:right="0" w:hanging="0"/>
              <w:jc w:val="both"/>
              <w:textAlignment w:val="auto"/>
              <w:rPr>
                <w:lang w:val="ro-MD"/>
              </w:rPr>
            </w:pPr>
            <w:r>
              <w:rPr>
                <w:i/>
                <w:sz w:val="22"/>
                <w:szCs w:val="22"/>
                <w:lang w:val="ro-MD"/>
              </w:rPr>
              <w:t>(01.10.2012-30.09.2016</w:t>
            </w:r>
            <w:r>
              <w:rPr>
                <w:rFonts w:cs="Times New Roman CE" w:ascii="Times New Roman CE" w:hAnsi="Times New Roman CE"/>
                <w:sz w:val="22"/>
                <w:szCs w:val="22"/>
                <w:lang w:val="en-US"/>
              </w:rPr>
              <w:t>)   IMI AŞM coordonator</w:t>
            </w:r>
          </w:p>
        </w:tc>
      </w:tr>
      <w:tr>
        <w:trPr/>
        <w:tc>
          <w:tcPr>
            <w:tcW w:w="407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120"/>
              <w:ind w:left="0" w:right="0" w:hanging="0"/>
              <w:jc w:val="both"/>
              <w:textAlignment w:val="auto"/>
              <w:rPr>
                <w:lang w:val="ro-MD"/>
              </w:rPr>
            </w:pPr>
            <w:r>
              <w:rPr>
                <w:sz w:val="22"/>
                <w:szCs w:val="22"/>
                <w:lang w:val="ro-MD"/>
              </w:rPr>
              <w:t xml:space="preserve">Societatea de </w:t>
            </w:r>
            <w:r>
              <w:rPr>
                <w:rFonts w:cs="Times New Roman CE" w:ascii="Times New Roman CE" w:hAnsi="Times New Roman CE"/>
                <w:sz w:val="22"/>
                <w:szCs w:val="22"/>
                <w:lang w:val="ro-RO"/>
              </w:rPr>
              <w:t>ultrasonografie în Medicină şi Biologie din Repu</w:t>
            </w:r>
            <w:r>
              <w:rPr>
                <w:sz w:val="22"/>
                <w:szCs w:val="22"/>
                <w:lang w:val="ro-RO"/>
              </w:rPr>
              <w:t>blica Moldova</w:t>
            </w:r>
          </w:p>
        </w:tc>
        <w:tc>
          <w:tcPr>
            <w:tcW w:w="652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numPr>
                <w:ilvl w:val="0"/>
                <w:numId w:val="12"/>
              </w:numPr>
              <w:bidi w:val="0"/>
              <w:spacing w:before="0" w:after="120"/>
              <w:ind w:left="360" w:right="0" w:hanging="0"/>
              <w:jc w:val="both"/>
              <w:textAlignment w:val="auto"/>
              <w:rPr>
                <w:lang w:val="ro-MD"/>
              </w:rPr>
            </w:pPr>
            <w:r>
              <w:rPr>
                <w:i/>
                <w:sz w:val="22"/>
                <w:szCs w:val="22"/>
                <w:lang w:val="ro-MD"/>
              </w:rPr>
              <w:t>Acord de colaborare, Proiect STCU 5384, Propunere de proiect Horizon 2020, nr. 671690</w:t>
            </w:r>
          </w:p>
        </w:tc>
      </w:tr>
      <w:tr>
        <w:trPr/>
        <w:tc>
          <w:tcPr>
            <w:tcW w:w="407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120"/>
              <w:ind w:left="0" w:right="0" w:hanging="0"/>
              <w:jc w:val="both"/>
              <w:textAlignment w:val="auto"/>
              <w:rPr>
                <w:lang w:val="ro-MD"/>
              </w:rPr>
            </w:pPr>
            <w:r>
              <w:rPr>
                <w:sz w:val="22"/>
                <w:szCs w:val="22"/>
                <w:lang w:val="ro-MD"/>
              </w:rPr>
              <w:t xml:space="preserve">Institutul de Geologie </w:t>
            </w:r>
            <w:r>
              <w:rPr>
                <w:rFonts w:cs="Times New Roman CE" w:ascii="Times New Roman CE" w:hAnsi="Times New Roman CE"/>
                <w:sz w:val="22"/>
                <w:szCs w:val="22"/>
                <w:lang w:val="ro-RO"/>
              </w:rPr>
              <w:t xml:space="preserve">şi Sismologie </w:t>
            </w:r>
            <w:r>
              <w:rPr>
                <w:rFonts w:cs="Times New Roman CE" w:ascii="Times New Roman CE" w:hAnsi="Times New Roman CE"/>
                <w:sz w:val="22"/>
                <w:szCs w:val="22"/>
                <w:lang w:val="ro-MD"/>
              </w:rPr>
              <w:t>AŞM</w:t>
            </w:r>
          </w:p>
        </w:tc>
        <w:tc>
          <w:tcPr>
            <w:tcW w:w="652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numPr>
                <w:ilvl w:val="0"/>
                <w:numId w:val="12"/>
              </w:numPr>
              <w:bidi w:val="0"/>
              <w:spacing w:before="0" w:after="120"/>
              <w:ind w:left="360" w:right="0" w:hanging="0"/>
              <w:jc w:val="both"/>
              <w:textAlignment w:val="auto"/>
              <w:rPr>
                <w:lang w:val="ro-MD"/>
              </w:rPr>
            </w:pPr>
            <w:r>
              <w:rPr>
                <w:i/>
                <w:sz w:val="22"/>
                <w:szCs w:val="22"/>
                <w:lang w:val="ro-MD"/>
              </w:rPr>
              <w:t xml:space="preserve">Propunere de proiect STCU </w:t>
            </w:r>
            <w:r>
              <w:rPr>
                <w:bCs/>
                <w:lang w:val="en-US"/>
              </w:rPr>
              <w:t>6137</w:t>
            </w:r>
            <w:r>
              <w:rPr>
                <w:lang w:val="en-US"/>
              </w:rPr>
              <w:t xml:space="preserve"> “</w:t>
            </w:r>
            <w:r>
              <w:rPr>
                <w:rStyle w:val="Hps"/>
                <w:lang w:val="en-US"/>
              </w:rPr>
              <w:t>Modeling of the solids’ loading process for solution of applied problems using HPC resources</w:t>
            </w:r>
            <w:r>
              <w:rPr>
                <w:i/>
                <w:sz w:val="22"/>
                <w:szCs w:val="22"/>
                <w:lang w:val="ro-MD"/>
              </w:rPr>
              <w:t>”</w:t>
            </w:r>
          </w:p>
        </w:tc>
      </w:tr>
      <w:tr>
        <w:trPr/>
        <w:tc>
          <w:tcPr>
            <w:tcW w:w="407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en-US"/>
              </w:rPr>
            </w:pPr>
            <w:r>
              <w:rPr>
                <w:lang w:val="en-US"/>
              </w:rPr>
              <w:t>Westfalische</w:t>
            </w:r>
          </w:p>
          <w:p>
            <w:pPr>
              <w:pStyle w:val="Normal"/>
              <w:widowControl/>
              <w:bidi w:val="0"/>
              <w:ind w:left="0" w:right="0" w:hanging="0"/>
              <w:jc w:val="both"/>
              <w:textAlignment w:val="auto"/>
              <w:rPr>
                <w:lang w:val="en-US"/>
              </w:rPr>
            </w:pPr>
            <w:r>
              <w:rPr>
                <w:lang w:val="en-US"/>
              </w:rPr>
              <w:t>Wilhelms-</w:t>
            </w:r>
            <w:r>
              <w:rPr>
                <w:lang w:val="ro-RO"/>
              </w:rPr>
              <w:t>U</w:t>
            </w:r>
            <w:r>
              <w:rPr>
                <w:lang w:val="en-US"/>
              </w:rPr>
              <w:t>niversitat Munster</w:t>
            </w:r>
            <w:r>
              <w:rPr>
                <w:lang w:val="ro-RO"/>
              </w:rPr>
              <w:t xml:space="preserve">; </w:t>
            </w:r>
          </w:p>
          <w:p>
            <w:pPr>
              <w:pStyle w:val="Normal"/>
              <w:widowControl/>
              <w:tabs>
                <w:tab w:val="left" w:pos="2411" w:leader="none"/>
              </w:tabs>
              <w:bidi w:val="0"/>
              <w:ind w:left="0" w:right="112" w:hanging="0"/>
              <w:jc w:val="left"/>
              <w:textAlignment w:val="auto"/>
              <w:rPr>
                <w:lang w:val="en-US"/>
              </w:rPr>
            </w:pPr>
            <w:r>
              <w:rPr>
                <w:lang w:val="en-US"/>
              </w:rPr>
              <w:t>Universidad de Sevilla</w:t>
            </w:r>
            <w:r>
              <w:rPr>
                <w:lang w:val="ro-RO"/>
              </w:rPr>
              <w:t>, Spain</w:t>
            </w:r>
          </w:p>
        </w:tc>
        <w:tc>
          <w:tcPr>
            <w:tcW w:w="652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numPr>
                <w:ilvl w:val="0"/>
                <w:numId w:val="12"/>
              </w:numPr>
              <w:bidi w:val="0"/>
              <w:spacing w:before="0" w:after="120"/>
              <w:ind w:left="360" w:right="0" w:hanging="0"/>
              <w:jc w:val="both"/>
              <w:textAlignment w:val="auto"/>
              <w:rPr>
                <w:lang w:val="ro-MD"/>
              </w:rPr>
            </w:pPr>
            <w:r>
              <w:rPr>
                <w:i/>
                <w:sz w:val="22"/>
                <w:szCs w:val="22"/>
                <w:lang w:val="ro-MD"/>
              </w:rPr>
              <w:t>Propunere de proiect STCU „Implementarea solu</w:t>
            </w:r>
            <w:r>
              <w:rPr>
                <w:rFonts w:cs="Cambria Math" w:ascii="Cambria Math" w:hAnsi="Cambria Math"/>
                <w:i/>
                <w:sz w:val="22"/>
                <w:szCs w:val="22"/>
                <w:lang w:val="ro-MD"/>
              </w:rPr>
              <w:t>ț</w:t>
            </w:r>
            <w:r>
              <w:rPr>
                <w:i/>
                <w:sz w:val="22"/>
                <w:szCs w:val="22"/>
                <w:lang w:val="ro-MD"/>
              </w:rPr>
              <w:t>iilor bazate pe calcul neconven</w:t>
            </w:r>
            <w:r>
              <w:rPr>
                <w:rFonts w:cs="Times New Roman CE" w:ascii="Times New Roman CE" w:hAnsi="Times New Roman CE"/>
                <w:i/>
                <w:sz w:val="22"/>
                <w:szCs w:val="22"/>
                <w:lang w:val="ro-MD"/>
              </w:rPr>
              <w:t>ţional pentru probleme de imagistică medicală utilizând</w:t>
            </w:r>
            <w:r>
              <w:rPr>
                <w:lang w:val="ro-RO"/>
              </w:rPr>
              <w:t xml:space="preserve"> </w:t>
            </w:r>
            <w:r>
              <w:rPr>
                <w:rFonts w:cs="Times New Roman CE" w:ascii="Times New Roman CE" w:hAnsi="Times New Roman CE"/>
                <w:i/>
                <w:lang w:val="ro-RO"/>
              </w:rPr>
              <w:t>calcule de înaltă performan</w:t>
            </w:r>
            <w:r>
              <w:rPr>
                <w:rFonts w:cs="Cambria Math" w:ascii="Cambria Math" w:hAnsi="Cambria Math"/>
                <w:i/>
                <w:lang w:val="ro-RO"/>
              </w:rPr>
              <w:t>ț</w:t>
            </w:r>
            <w:r>
              <w:rPr>
                <w:rFonts w:cs="Times New Roman CE" w:ascii="Times New Roman CE" w:hAnsi="Times New Roman CE"/>
                <w:i/>
                <w:lang w:val="ro-RO"/>
              </w:rPr>
              <w:t>ă".</w:t>
            </w:r>
            <w:r>
              <w:rPr>
                <w:lang w:val="ro-RO"/>
              </w:rPr>
              <w:t> </w:t>
            </w:r>
            <w:r>
              <w:rPr>
                <w:i/>
                <w:lang w:val="ro-RO"/>
              </w:rPr>
              <w:t>Proi</w:t>
            </w:r>
            <w:r>
              <w:rPr>
                <w:rFonts w:cs="Times New Roman CE" w:ascii="Times New Roman CE" w:hAnsi="Times New Roman CE"/>
                <w:i/>
                <w:lang w:val="ro-RO"/>
              </w:rPr>
              <w:t>ect în examinare</w:t>
            </w:r>
            <w:r>
              <w:rPr>
                <w:i/>
                <w:lang w:val="ro-RO"/>
              </w:rPr>
              <w:t>.</w:t>
            </w:r>
          </w:p>
        </w:tc>
      </w:tr>
      <w:tr>
        <w:trPr/>
        <w:tc>
          <w:tcPr>
            <w:tcW w:w="407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en-US"/>
              </w:rPr>
            </w:pPr>
            <w:r>
              <w:rPr>
                <w:szCs w:val="22"/>
                <w:lang w:val="en-US"/>
              </w:rPr>
              <w:t>GWDG - Georg-August University of Göttingen, Germany;</w:t>
            </w:r>
          </w:p>
          <w:p>
            <w:pPr>
              <w:pStyle w:val="Normal"/>
              <w:widowControl/>
              <w:bidi w:val="0"/>
              <w:ind w:left="0" w:right="0" w:hanging="0"/>
              <w:jc w:val="both"/>
              <w:textAlignment w:val="auto"/>
              <w:rPr>
                <w:lang w:val="en-US"/>
              </w:rPr>
            </w:pPr>
            <w:r>
              <w:rPr>
                <w:szCs w:val="22"/>
                <w:lang w:val="en-US"/>
              </w:rPr>
              <w:t>University of Seville</w:t>
            </w:r>
            <w:r>
              <w:rPr>
                <w:szCs w:val="22"/>
                <w:lang w:val="ro-RO"/>
              </w:rPr>
              <w:t>, Spain;</w:t>
            </w:r>
          </w:p>
          <w:p>
            <w:pPr>
              <w:pStyle w:val="Normal"/>
              <w:widowControl/>
              <w:bidi w:val="0"/>
              <w:ind w:left="0" w:right="0" w:hanging="0"/>
              <w:jc w:val="both"/>
              <w:textAlignment w:val="auto"/>
              <w:rPr>
                <w:lang w:val="en-US"/>
              </w:rPr>
            </w:pPr>
            <w:r>
              <w:rPr>
                <w:szCs w:val="22"/>
                <w:lang w:val="en-US"/>
              </w:rPr>
              <w:t>University of Milan-Bicocca</w:t>
            </w:r>
            <w:r>
              <w:rPr>
                <w:szCs w:val="22"/>
                <w:lang w:val="ro-RO"/>
              </w:rPr>
              <w:t>, Italy;</w:t>
            </w:r>
          </w:p>
          <w:p>
            <w:pPr>
              <w:pStyle w:val="Normal"/>
              <w:widowControl/>
              <w:bidi w:val="0"/>
              <w:ind w:left="0" w:right="0" w:hanging="0"/>
              <w:jc w:val="both"/>
              <w:textAlignment w:val="auto"/>
              <w:rPr>
                <w:lang w:val="fr-FR"/>
              </w:rPr>
            </w:pPr>
            <w:r>
              <w:rPr>
                <w:szCs w:val="22"/>
                <w:lang w:val="fr-FR"/>
              </w:rPr>
              <w:t>CICESE Research Center</w:t>
            </w:r>
            <w:r>
              <w:rPr>
                <w:szCs w:val="22"/>
                <w:lang w:val="ro-RO"/>
              </w:rPr>
              <w:t>, Mexico;</w:t>
            </w:r>
          </w:p>
          <w:p>
            <w:pPr>
              <w:pStyle w:val="Normal"/>
              <w:widowControl/>
              <w:bidi w:val="0"/>
              <w:ind w:left="0" w:right="0" w:hanging="0"/>
              <w:jc w:val="both"/>
              <w:textAlignment w:val="auto"/>
              <w:rPr>
                <w:lang w:val="fr-FR"/>
              </w:rPr>
            </w:pPr>
            <w:r>
              <w:rPr>
                <w:szCs w:val="22"/>
                <w:lang w:val="fr-FR"/>
              </w:rPr>
              <w:t>University Paris-Est, Créteil, Val de Marne, France;</w:t>
            </w:r>
          </w:p>
          <w:p>
            <w:pPr>
              <w:pStyle w:val="Normal"/>
              <w:widowControl/>
              <w:bidi w:val="0"/>
              <w:ind w:left="0" w:right="0" w:hanging="0"/>
              <w:jc w:val="both"/>
              <w:textAlignment w:val="auto"/>
              <w:rPr>
                <w:lang w:val="en-US"/>
              </w:rPr>
            </w:pPr>
            <w:r>
              <w:rPr>
                <w:szCs w:val="22"/>
                <w:lang w:val="en-US"/>
              </w:rPr>
              <w:t>United Institute of Informatics Problems</w:t>
            </w:r>
            <w:r>
              <w:rPr>
                <w:szCs w:val="22"/>
                <w:lang w:val="ro-RO"/>
              </w:rPr>
              <w:t>, Belarus</w:t>
            </w:r>
          </w:p>
        </w:tc>
        <w:tc>
          <w:tcPr>
            <w:tcW w:w="652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numPr>
                <w:ilvl w:val="0"/>
                <w:numId w:val="12"/>
              </w:numPr>
              <w:bidi w:val="0"/>
              <w:spacing w:before="0" w:after="120"/>
              <w:ind w:left="360" w:right="0" w:hanging="0"/>
              <w:jc w:val="both"/>
              <w:textAlignment w:val="auto"/>
              <w:rPr>
                <w:lang w:val="ro-MD"/>
              </w:rPr>
            </w:pPr>
            <w:r>
              <w:rPr>
                <w:i/>
                <w:sz w:val="22"/>
                <w:szCs w:val="22"/>
                <w:lang w:val="ro-MD"/>
              </w:rPr>
              <w:t>Propunere de proiect Horizon 2020, HPC „Implementations of unconventional computing solutions for hard computational problems". Proiect respins.</w:t>
            </w:r>
          </w:p>
        </w:tc>
      </w:tr>
      <w:tr>
        <w:trPr/>
        <w:tc>
          <w:tcPr>
            <w:tcW w:w="407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120"/>
              <w:ind w:left="0" w:right="0" w:hanging="0"/>
              <w:jc w:val="both"/>
              <w:textAlignment w:val="auto"/>
              <w:rPr>
                <w:lang w:val="fr-FR"/>
              </w:rPr>
            </w:pPr>
            <w:r>
              <w:rPr>
                <w:lang w:val="fr-FR"/>
              </w:rPr>
              <w:t>Strategi</w:t>
            </w:r>
            <w:r>
              <w:rPr>
                <w:lang w:val="ro-RO"/>
              </w:rPr>
              <w:t>a</w:t>
            </w:r>
            <w:r>
              <w:rPr>
                <w:rFonts w:cs="Times New Roman CE" w:ascii="Times New Roman CE" w:hAnsi="Times New Roman CE"/>
                <w:lang w:val="fr-FR"/>
              </w:rPr>
              <w:t xml:space="preserve"> naţional</w:t>
            </w:r>
            <w:r>
              <w:rPr>
                <w:rFonts w:cs="Times New Roman CE" w:ascii="Times New Roman CE" w:hAnsi="Times New Roman CE"/>
                <w:lang w:val="ro-RO"/>
              </w:rPr>
              <w:t>ă</w:t>
            </w:r>
            <w:r>
              <w:rPr>
                <w:rFonts w:cs="Times New Roman CE" w:ascii="Times New Roman CE" w:hAnsi="Times New Roman CE"/>
                <w:lang w:val="fr-FR"/>
              </w:rPr>
              <w:t xml:space="preserve"> de dezvoltare a societăţii informaţionale „Moldova Digitală 2020”</w:t>
            </w:r>
          </w:p>
        </w:tc>
        <w:tc>
          <w:tcPr>
            <w:tcW w:w="652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numPr>
                <w:ilvl w:val="0"/>
                <w:numId w:val="12"/>
              </w:numPr>
              <w:bidi w:val="0"/>
              <w:spacing w:before="0" w:after="120"/>
              <w:ind w:left="360" w:right="0" w:hanging="0"/>
              <w:jc w:val="both"/>
              <w:textAlignment w:val="auto"/>
              <w:rPr>
                <w:lang w:val="ro-RO"/>
              </w:rPr>
            </w:pPr>
            <w:r>
              <w:rPr>
                <w:i/>
                <w:lang w:val="ro-RO"/>
              </w:rPr>
              <w:t>Aviz l</w:t>
            </w:r>
            <w:r>
              <w:rPr>
                <w:rFonts w:cs="Times New Roman CE" w:ascii="Times New Roman CE" w:hAnsi="Times New Roman CE"/>
                <w:i/>
                <w:lang w:val="ro-RO"/>
              </w:rPr>
              <w:t>a Programul „Crearea, dezvoltarea şi valorificarea conţinutului digital din Republica Moldova"</w:t>
            </w:r>
            <w:r>
              <w:rPr>
                <w:i/>
                <w:lang w:val="ro-RO"/>
              </w:rPr>
              <w:t>, noiembrie 2015 (C. Gaindric, S.Cojocaru, C. Ciubotaru).</w:t>
            </w:r>
          </w:p>
        </w:tc>
      </w:tr>
      <w:tr>
        <w:trPr/>
        <w:tc>
          <w:tcPr>
            <w:tcW w:w="407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0"/>
              <w:ind w:left="0" w:right="0" w:hanging="0"/>
              <w:contextualSpacing/>
              <w:jc w:val="left"/>
              <w:textAlignment w:val="auto"/>
              <w:rPr>
                <w:lang w:val="ro-MD"/>
              </w:rPr>
            </w:pPr>
            <w:r>
              <w:rPr>
                <w:bCs/>
                <w:iCs/>
                <w:sz w:val="22"/>
                <w:szCs w:val="22"/>
                <w:lang w:val="ro-MD"/>
              </w:rPr>
              <w:t>International Workshop on Foundations of Informatics, 2016</w:t>
            </w:r>
          </w:p>
        </w:tc>
        <w:tc>
          <w:tcPr>
            <w:tcW w:w="652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numPr>
                <w:ilvl w:val="0"/>
                <w:numId w:val="12"/>
              </w:numPr>
              <w:bidi w:val="0"/>
              <w:spacing w:before="0" w:after="120"/>
              <w:ind w:left="360" w:right="0" w:hanging="0"/>
              <w:jc w:val="both"/>
              <w:textAlignment w:val="auto"/>
              <w:rPr>
                <w:lang w:val="ro-MD"/>
              </w:rPr>
            </w:pPr>
            <w:r>
              <w:rPr>
                <w:i/>
                <w:sz w:val="22"/>
                <w:szCs w:val="22"/>
                <w:lang w:val="ro-MD"/>
              </w:rPr>
              <w:t>Svetlana Cojocaru, dr.hab., prof. cerc., dir</w:t>
            </w:r>
            <w:r>
              <w:rPr>
                <w:rFonts w:cs="Times New Roman CE" w:ascii="Times New Roman CE" w:hAnsi="Times New Roman CE"/>
                <w:i/>
                <w:sz w:val="22"/>
                <w:szCs w:val="22"/>
                <w:lang w:val="ro-MD"/>
              </w:rPr>
              <w:t>ector IMI AŞM</w:t>
            </w:r>
          </w:p>
        </w:tc>
      </w:tr>
      <w:tr>
        <w:trPr/>
        <w:tc>
          <w:tcPr>
            <w:tcW w:w="407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0"/>
              <w:ind w:left="0" w:right="0" w:hanging="0"/>
              <w:contextualSpacing/>
              <w:jc w:val="left"/>
              <w:textAlignment w:val="auto"/>
              <w:rPr>
                <w:lang w:val="ro-RO"/>
              </w:rPr>
            </w:pPr>
            <w:r>
              <w:rPr>
                <w:rFonts w:cs="Times New Roman CE" w:ascii="Times New Roman CE" w:hAnsi="Times New Roman CE"/>
                <w:color w:val="000000"/>
                <w:lang w:val="ro-RO"/>
              </w:rPr>
              <w:t>Expoziţia Internaţională Specializată „</w:t>
            </w:r>
            <w:r>
              <w:rPr>
                <w:color w:val="000000"/>
                <w:lang w:val="en-US"/>
              </w:rPr>
              <w:t>INFOINVENT 2015</w:t>
            </w:r>
            <w:r>
              <w:rPr>
                <w:color w:val="000000"/>
                <w:lang w:val="ro-RO"/>
              </w:rPr>
              <w:t xml:space="preserve">”. </w:t>
            </w:r>
            <w:r>
              <w:rPr>
                <w:color w:val="000000"/>
                <w:lang w:val="en-US"/>
              </w:rPr>
              <w:t>Platforma tehnologic</w:t>
            </w:r>
            <w:r>
              <w:rPr>
                <w:rFonts w:cs="Times New Roman CE" w:ascii="Times New Roman CE" w:hAnsi="Times New Roman CE"/>
                <w:color w:val="000000"/>
                <w:lang w:val="ro-RO"/>
              </w:rPr>
              <w:t>ă</w:t>
            </w:r>
            <w:r>
              <w:rPr>
                <w:rFonts w:cs="Times New Roman CE" w:ascii="Times New Roman CE" w:hAnsi="Times New Roman CE"/>
                <w:color w:val="000000"/>
                <w:lang w:val="en-US"/>
              </w:rPr>
              <w:t xml:space="preserve"> Sonares. Diplomă.</w:t>
            </w:r>
          </w:p>
        </w:tc>
        <w:tc>
          <w:tcPr>
            <w:tcW w:w="652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numPr>
                <w:ilvl w:val="0"/>
                <w:numId w:val="12"/>
              </w:numPr>
              <w:bidi w:val="0"/>
              <w:ind w:left="360" w:right="0" w:hanging="0"/>
              <w:jc w:val="both"/>
              <w:textAlignment w:val="auto"/>
              <w:rPr>
                <w:lang w:val="ro-MD"/>
              </w:rPr>
            </w:pPr>
            <w:r>
              <w:rPr>
                <w:rFonts w:cs="Times New Roman CE" w:ascii="Times New Roman CE" w:hAnsi="Times New Roman CE"/>
                <w:i/>
                <w:sz w:val="22"/>
                <w:szCs w:val="22"/>
                <w:lang w:val="ro-MD"/>
              </w:rPr>
              <w:t>Constantin Gaindric, mc., dr.hab., prof.;  conducătorul proiectului;</w:t>
            </w:r>
          </w:p>
          <w:p>
            <w:pPr>
              <w:pStyle w:val="Normal"/>
              <w:widowControl/>
              <w:bidi w:val="0"/>
              <w:ind w:left="0" w:right="0" w:hanging="0"/>
              <w:jc w:val="both"/>
              <w:textAlignment w:val="auto"/>
              <w:rPr>
                <w:lang w:val="ro-MD"/>
              </w:rPr>
            </w:pPr>
            <w:r>
              <w:rPr>
                <w:i/>
                <w:sz w:val="22"/>
                <w:szCs w:val="22"/>
                <w:lang w:val="ro-MD"/>
              </w:rPr>
              <w:t>Svetlana Cojocaru, dr.hab., prof.cerc;</w:t>
            </w:r>
          </w:p>
          <w:p>
            <w:pPr>
              <w:pStyle w:val="Normal"/>
              <w:widowControl/>
              <w:bidi w:val="0"/>
              <w:ind w:left="0" w:right="0" w:hanging="0"/>
              <w:jc w:val="both"/>
              <w:textAlignment w:val="auto"/>
              <w:rPr>
                <w:lang w:val="ro-MD"/>
              </w:rPr>
            </w:pPr>
            <w:r>
              <w:rPr>
                <w:rFonts w:cs="Times New Roman CE" w:ascii="Times New Roman CE" w:hAnsi="Times New Roman CE"/>
                <w:i/>
                <w:sz w:val="22"/>
                <w:szCs w:val="22"/>
                <w:lang w:val="ro-MD"/>
              </w:rPr>
              <w:t>Iulian Secrieru, cerc.şt.</w:t>
            </w:r>
          </w:p>
        </w:tc>
      </w:tr>
      <w:tr>
        <w:trPr/>
        <w:tc>
          <w:tcPr>
            <w:tcW w:w="407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0"/>
              <w:ind w:left="0" w:right="0" w:hanging="0"/>
              <w:contextualSpacing/>
              <w:jc w:val="left"/>
              <w:textAlignment w:val="auto"/>
              <w:rPr>
                <w:lang w:val="ro-RO"/>
              </w:rPr>
            </w:pPr>
            <w:r>
              <w:rPr>
                <w:color w:val="000000"/>
                <w:lang w:val="ro-RO" w:eastAsia="ar-SA"/>
              </w:rPr>
              <w:t xml:space="preserve">Science SLAM Moldova. </w:t>
            </w:r>
            <w:r>
              <w:rPr>
                <w:rFonts w:cs="Times New Roman CE" w:ascii="Times New Roman CE" w:hAnsi="Times New Roman CE"/>
                <w:color w:val="000000"/>
                <w:lang w:val="ro-RO"/>
              </w:rPr>
              <w:t>Diagnostic expert pentru toţi</w:t>
            </w:r>
          </w:p>
        </w:tc>
        <w:tc>
          <w:tcPr>
            <w:tcW w:w="652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numPr>
                <w:ilvl w:val="0"/>
                <w:numId w:val="12"/>
              </w:numPr>
              <w:bidi w:val="0"/>
              <w:spacing w:before="0" w:after="120"/>
              <w:ind w:left="360" w:right="0" w:hanging="0"/>
              <w:jc w:val="both"/>
              <w:textAlignment w:val="auto"/>
              <w:rPr>
                <w:lang w:val="ro-MD"/>
              </w:rPr>
            </w:pPr>
            <w:r>
              <w:rPr>
                <w:rFonts w:cs="Times New Roman CE" w:ascii="Times New Roman CE" w:hAnsi="Times New Roman CE"/>
                <w:i/>
                <w:sz w:val="22"/>
                <w:szCs w:val="22"/>
                <w:lang w:val="ro-MD"/>
              </w:rPr>
              <w:t>Iulian Secrieru, cerc.şt.; Dorin Macari, cerc.şt.st.</w:t>
            </w:r>
          </w:p>
        </w:tc>
      </w:tr>
      <w:tr>
        <w:trPr/>
        <w:tc>
          <w:tcPr>
            <w:tcW w:w="407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0"/>
              <w:ind w:left="0" w:right="0" w:hanging="0"/>
              <w:contextualSpacing/>
              <w:jc w:val="left"/>
              <w:textAlignment w:val="auto"/>
              <w:rPr>
                <w:lang w:val="ro-RO"/>
              </w:rPr>
            </w:pPr>
            <w:r>
              <w:rPr>
                <w:rFonts w:cs="Times New Roman CE" w:ascii="Times New Roman CE" w:hAnsi="Times New Roman CE"/>
                <w:color w:val="000000"/>
                <w:lang w:val="ro-RO"/>
              </w:rPr>
              <w:t>Expoziţia Internaţională Specializată „</w:t>
            </w:r>
            <w:r>
              <w:rPr>
                <w:color w:val="000000"/>
                <w:lang w:val="en-US"/>
              </w:rPr>
              <w:t>INFOINVENT 2015</w:t>
            </w:r>
            <w:r>
              <w:rPr>
                <w:color w:val="000000"/>
                <w:lang w:val="ro-RO"/>
              </w:rPr>
              <w:t xml:space="preserve">”. Prezentarea rezultatelor proiectului </w:t>
            </w:r>
            <w:r>
              <w:rPr>
                <w:color w:val="000000"/>
                <w:sz w:val="22"/>
                <w:szCs w:val="22"/>
                <w:shd w:fill="FFFFFF" w:val="clear"/>
                <w:lang w:val="ro-RO"/>
              </w:rPr>
              <w:t>SID ”DICOM Network”</w:t>
            </w:r>
          </w:p>
        </w:tc>
        <w:tc>
          <w:tcPr>
            <w:tcW w:w="652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numPr>
                <w:ilvl w:val="0"/>
                <w:numId w:val="12"/>
              </w:numPr>
              <w:bidi w:val="0"/>
              <w:spacing w:before="0" w:after="120"/>
              <w:ind w:left="360" w:right="0" w:hanging="0"/>
              <w:jc w:val="both"/>
              <w:textAlignment w:val="auto"/>
              <w:rPr>
                <w:lang w:val="ro-RO"/>
              </w:rPr>
            </w:pPr>
            <w:r>
              <w:rPr>
                <w:i/>
                <w:sz w:val="22"/>
                <w:szCs w:val="22"/>
                <w:lang w:val="ro-RO"/>
              </w:rPr>
              <w:t>dr. Piotr Bogatencov, dr.  Grigore Secrieru</w:t>
            </w:r>
          </w:p>
        </w:tc>
      </w:tr>
      <w:tr>
        <w:trPr/>
        <w:tc>
          <w:tcPr>
            <w:tcW w:w="407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120"/>
              <w:ind w:left="0" w:right="0" w:hanging="0"/>
              <w:jc w:val="both"/>
              <w:textAlignment w:val="auto"/>
              <w:rPr>
                <w:lang w:val="ro-MD"/>
              </w:rPr>
            </w:pPr>
            <w:r>
              <w:rPr>
                <w:sz w:val="22"/>
                <w:szCs w:val="22"/>
                <w:lang w:val="ro-MD"/>
              </w:rPr>
              <w:t>Department of Mathematics of University Autonomous of Barselona, Bellaterra, Barselona, Spain</w:t>
            </w:r>
          </w:p>
        </w:tc>
        <w:tc>
          <w:tcPr>
            <w:tcW w:w="652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numPr>
                <w:ilvl w:val="0"/>
                <w:numId w:val="12"/>
              </w:numPr>
              <w:bidi w:val="0"/>
              <w:spacing w:before="0" w:after="120"/>
              <w:ind w:left="360" w:right="0" w:hanging="0"/>
              <w:jc w:val="both"/>
              <w:textAlignment w:val="auto"/>
              <w:rPr>
                <w:lang w:val="ro-MD"/>
              </w:rPr>
            </w:pPr>
            <w:r>
              <w:rPr>
                <w:i/>
                <w:sz w:val="22"/>
                <w:szCs w:val="22"/>
                <w:lang w:val="ro-MD"/>
              </w:rPr>
              <w:t>Acord de colaborare</w:t>
            </w:r>
          </w:p>
        </w:tc>
      </w:tr>
      <w:tr>
        <w:trPr/>
        <w:tc>
          <w:tcPr>
            <w:tcW w:w="407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120"/>
              <w:ind w:left="0" w:right="0" w:hanging="0"/>
              <w:jc w:val="both"/>
              <w:textAlignment w:val="auto"/>
              <w:rPr>
                <w:lang w:val="ro-MD"/>
              </w:rPr>
            </w:pPr>
            <w:r>
              <w:rPr>
                <w:sz w:val="22"/>
                <w:szCs w:val="22"/>
                <w:lang w:val="ro-MD"/>
              </w:rPr>
              <w:t>Center of Applied Mathematics and Theoretical Phyzics of University of Maribor, Slovenia</w:t>
            </w:r>
          </w:p>
        </w:tc>
        <w:tc>
          <w:tcPr>
            <w:tcW w:w="652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numPr>
                <w:ilvl w:val="0"/>
                <w:numId w:val="13"/>
              </w:numPr>
              <w:bidi w:val="0"/>
              <w:ind w:left="360" w:right="0" w:hanging="0"/>
              <w:jc w:val="both"/>
              <w:textAlignment w:val="auto"/>
              <w:rPr>
                <w:lang w:val="ro-MD"/>
              </w:rPr>
            </w:pPr>
            <w:r>
              <w:rPr>
                <w:i/>
                <w:sz w:val="22"/>
                <w:szCs w:val="22"/>
                <w:lang w:val="ro-MD"/>
              </w:rPr>
              <w:t>Acord de colaborare</w:t>
            </w:r>
          </w:p>
        </w:tc>
      </w:tr>
      <w:tr>
        <w:trPr/>
        <w:tc>
          <w:tcPr>
            <w:tcW w:w="407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120"/>
              <w:ind w:left="0" w:right="0" w:hanging="0"/>
              <w:jc w:val="both"/>
              <w:textAlignment w:val="auto"/>
              <w:rPr>
                <w:lang w:val="ro-MD"/>
              </w:rPr>
            </w:pPr>
            <w:r>
              <w:rPr>
                <w:sz w:val="22"/>
                <w:szCs w:val="22"/>
                <w:lang w:val="ro-MD"/>
              </w:rPr>
              <w:t>Taurida National V.I. Vernadsky University, Simferopol, Ukraina</w:t>
            </w:r>
          </w:p>
        </w:tc>
        <w:tc>
          <w:tcPr>
            <w:tcW w:w="652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numPr>
                <w:ilvl w:val="0"/>
                <w:numId w:val="13"/>
              </w:numPr>
              <w:bidi w:val="0"/>
              <w:ind w:left="360" w:right="0" w:hanging="0"/>
              <w:jc w:val="both"/>
              <w:textAlignment w:val="auto"/>
              <w:rPr>
                <w:lang w:val="ro-MD"/>
              </w:rPr>
            </w:pPr>
            <w:r>
              <w:rPr>
                <w:i/>
                <w:sz w:val="22"/>
                <w:szCs w:val="22"/>
                <w:lang w:val="ro-MD"/>
              </w:rPr>
              <w:t>Acord de colaborare</w:t>
            </w:r>
            <w:r>
              <w:rPr>
                <w:sz w:val="22"/>
                <w:szCs w:val="22"/>
                <w:lang w:val="ro-MD"/>
              </w:rPr>
              <w:t>,</w:t>
            </w:r>
          </w:p>
          <w:p>
            <w:pPr>
              <w:pStyle w:val="Normal"/>
              <w:widowControl/>
              <w:bidi w:val="0"/>
              <w:ind w:left="0" w:right="0" w:hanging="0"/>
              <w:jc w:val="both"/>
              <w:textAlignment w:val="auto"/>
              <w:rPr>
                <w:rFonts w:ascii="Times New Roman" w:hAnsi="Times New Roman"/>
                <w:sz w:val="22"/>
                <w:szCs w:val="22"/>
                <w:lang w:val="ro-MD"/>
              </w:rPr>
            </w:pPr>
            <w:r>
              <w:rPr>
                <w:sz w:val="22"/>
                <w:szCs w:val="22"/>
                <w:lang w:val="ro-MD"/>
              </w:rPr>
            </w:r>
          </w:p>
        </w:tc>
      </w:tr>
      <w:tr>
        <w:trPr/>
        <w:tc>
          <w:tcPr>
            <w:tcW w:w="29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ind w:left="0" w:right="0" w:hanging="0"/>
              <w:jc w:val="both"/>
              <w:textAlignment w:val="auto"/>
              <w:rPr>
                <w:lang w:val="ro-MD"/>
              </w:rPr>
            </w:pPr>
            <w:r>
              <w:rPr>
                <w:rFonts w:cs="Times New Roman CE" w:ascii="Times New Roman CE" w:hAnsi="Times New Roman CE"/>
                <w:sz w:val="22"/>
                <w:szCs w:val="22"/>
                <w:lang w:val="ro-MD"/>
              </w:rPr>
              <w:t xml:space="preserve">Conducător </w:t>
            </w:r>
            <w:r>
              <w:rPr>
                <w:sz w:val="22"/>
                <w:szCs w:val="22"/>
                <w:lang w:val="ro-MD"/>
              </w:rPr>
              <w:t>la tezele de masterat, doctorat.</w:t>
            </w:r>
          </w:p>
          <w:p>
            <w:pPr>
              <w:pStyle w:val="Normal"/>
              <w:widowControl/>
              <w:tabs>
                <w:tab w:val="left" w:pos="709" w:leader="none"/>
              </w:tabs>
              <w:bidi w:val="0"/>
              <w:ind w:left="0" w:right="0" w:hanging="0"/>
              <w:jc w:val="both"/>
              <w:textAlignment w:val="auto"/>
              <w:rPr>
                <w:lang w:val="ro-MD"/>
              </w:rPr>
            </w:pPr>
            <w:r>
              <w:rPr>
                <w:rFonts w:cs="Times New Roman CE" w:ascii="Times New Roman CE" w:hAnsi="Times New Roman CE"/>
                <w:sz w:val="22"/>
                <w:szCs w:val="22"/>
                <w:lang w:val="ro-MD"/>
              </w:rPr>
              <w:t>Numele şi prenumele conducătorului</w:t>
            </w:r>
          </w:p>
        </w:tc>
        <w:tc>
          <w:tcPr>
            <w:tcW w:w="524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center"/>
              <w:textAlignment w:val="auto"/>
              <w:rPr>
                <w:lang w:val="ro-MD"/>
              </w:rPr>
            </w:pPr>
            <w:r>
              <w:rPr>
                <w:sz w:val="22"/>
                <w:szCs w:val="22"/>
                <w:lang w:val="ro-MD"/>
              </w:rPr>
              <w:t>Titlul tezei de doctor</w:t>
            </w:r>
          </w:p>
          <w:p>
            <w:pPr>
              <w:pStyle w:val="Normal"/>
              <w:widowControl/>
              <w:tabs>
                <w:tab w:val="left" w:pos="709" w:leader="none"/>
              </w:tabs>
              <w:bidi w:val="0"/>
              <w:spacing w:before="0" w:after="120"/>
              <w:ind w:left="0" w:right="0" w:hanging="0"/>
              <w:jc w:val="both"/>
              <w:textAlignment w:val="auto"/>
              <w:rPr>
                <w:rFonts w:ascii="Times New Roman" w:hAnsi="Times New Roman"/>
                <w:sz w:val="22"/>
                <w:szCs w:val="22"/>
                <w:lang w:val="ro-MD"/>
              </w:rPr>
            </w:pPr>
            <w:r>
              <w:rPr>
                <w:sz w:val="22"/>
                <w:szCs w:val="22"/>
                <w:lang w:val="ro-MD"/>
              </w:rPr>
            </w:r>
          </w:p>
        </w:tc>
        <w:tc>
          <w:tcPr>
            <w:tcW w:w="24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sz w:val="22"/>
                <w:szCs w:val="22"/>
                <w:lang w:val="ro-MD"/>
              </w:rPr>
              <w:t>Numele, prenumele studentului, masterandului, doctorandului</w:t>
            </w:r>
          </w:p>
        </w:tc>
      </w:tr>
      <w:tr>
        <w:trPr/>
        <w:tc>
          <w:tcPr>
            <w:tcW w:w="29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numPr>
                <w:ilvl w:val="0"/>
                <w:numId w:val="14"/>
              </w:numPr>
              <w:tabs>
                <w:tab w:val="left" w:pos="644" w:leader="none"/>
                <w:tab w:val="left" w:pos="709" w:leader="none"/>
              </w:tabs>
              <w:bidi w:val="0"/>
              <w:spacing w:before="0" w:after="120"/>
              <w:ind w:left="644" w:right="0" w:hanging="0"/>
              <w:jc w:val="both"/>
              <w:textAlignment w:val="auto"/>
              <w:rPr>
                <w:lang w:val="ro-RO"/>
              </w:rPr>
            </w:pPr>
            <w:r>
              <w:rPr>
                <w:rFonts w:cs="Times New Roman CE" w:ascii="Times New Roman CE" w:hAnsi="Times New Roman CE"/>
                <w:sz w:val="22"/>
                <w:szCs w:val="22"/>
                <w:lang w:val="ro-RO"/>
              </w:rPr>
              <w:t>Caşu Alexei</w:t>
            </w:r>
          </w:p>
        </w:tc>
        <w:tc>
          <w:tcPr>
            <w:tcW w:w="524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lang w:val="ro-MD"/>
              </w:rPr>
              <w:t xml:space="preserve">Functorii principali ai </w:t>
            </w:r>
            <w:r>
              <w:rPr>
                <w:rFonts w:cs="Times New Roman CE" w:ascii="Times New Roman CE" w:hAnsi="Times New Roman CE"/>
                <w:lang w:val="ro-MD"/>
              </w:rPr>
              <w:t>categoriei modulelor şi proprietăţile lor</w:t>
            </w:r>
          </w:p>
        </w:tc>
        <w:tc>
          <w:tcPr>
            <w:tcW w:w="24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RO"/>
              </w:rPr>
            </w:pPr>
            <w:r>
              <w:rPr>
                <w:lang w:val="ro-RO"/>
              </w:rPr>
              <w:t>Bobernaga Ana (USM)</w:t>
            </w:r>
          </w:p>
        </w:tc>
      </w:tr>
      <w:tr>
        <w:trPr/>
        <w:tc>
          <w:tcPr>
            <w:tcW w:w="29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numPr>
                <w:ilvl w:val="0"/>
                <w:numId w:val="14"/>
              </w:numPr>
              <w:tabs>
                <w:tab w:val="left" w:pos="644" w:leader="none"/>
                <w:tab w:val="left" w:pos="709" w:leader="none"/>
              </w:tabs>
              <w:bidi w:val="0"/>
              <w:spacing w:before="0" w:after="120"/>
              <w:ind w:left="644" w:right="0" w:hanging="0"/>
              <w:jc w:val="both"/>
              <w:textAlignment w:val="auto"/>
              <w:rPr>
                <w:lang w:val="ro-MD"/>
              </w:rPr>
            </w:pPr>
            <w:r>
              <w:rPr>
                <w:sz w:val="22"/>
                <w:szCs w:val="22"/>
                <w:lang w:val="ro-MD"/>
              </w:rPr>
              <w:t>Popa Mihail</w:t>
            </w:r>
          </w:p>
        </w:tc>
        <w:tc>
          <w:tcPr>
            <w:tcW w:w="524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lang w:val="ro-MD"/>
              </w:rPr>
              <w:t>Algebre Lie şi invarian</w:t>
            </w:r>
            <w:r>
              <w:rPr>
                <w:rFonts w:cs="Cambria Math" w:ascii="Cambria Math" w:hAnsi="Cambria Math"/>
                <w:lang w:val="ro-MD"/>
              </w:rPr>
              <w:t>ț</w:t>
            </w:r>
            <w:r>
              <w:rPr>
                <w:lang w:val="ro-MD"/>
              </w:rPr>
              <w:t>i la sisteme diferen</w:t>
            </w:r>
            <w:r>
              <w:rPr>
                <w:rFonts w:cs="Cambria Math" w:ascii="Cambria Math" w:hAnsi="Cambria Math"/>
                <w:lang w:val="ro-MD"/>
              </w:rPr>
              <w:t>ț</w:t>
            </w:r>
            <w:r>
              <w:rPr>
                <w:lang w:val="ro-MD"/>
              </w:rPr>
              <w:t>iale cu proiec</w:t>
            </w:r>
            <w:r>
              <w:rPr>
                <w:rFonts w:cs="Cambria Math" w:ascii="Cambria Math" w:hAnsi="Cambria Math"/>
                <w:lang w:val="ro-MD"/>
              </w:rPr>
              <w:t>ț</w:t>
            </w:r>
            <w:r>
              <w:rPr>
                <w:lang w:val="ro-MD"/>
              </w:rPr>
              <w:t>ii pe unele modele matematice</w:t>
            </w:r>
          </w:p>
        </w:tc>
        <w:tc>
          <w:tcPr>
            <w:tcW w:w="24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pPr>
            <w:r>
              <w:rPr>
                <w:lang w:val="ro-MD"/>
              </w:rPr>
              <w:t>Neagu Natalia</w:t>
            </w:r>
          </w:p>
        </w:tc>
      </w:tr>
      <w:tr>
        <w:trPr/>
        <w:tc>
          <w:tcPr>
            <w:tcW w:w="29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numPr>
                <w:ilvl w:val="0"/>
                <w:numId w:val="14"/>
              </w:numPr>
              <w:tabs>
                <w:tab w:val="left" w:pos="644" w:leader="none"/>
              </w:tabs>
              <w:bidi w:val="0"/>
              <w:ind w:left="644" w:right="0" w:hanging="0"/>
              <w:jc w:val="left"/>
              <w:textAlignment w:val="auto"/>
              <w:rPr>
                <w:lang w:val="ro-RO"/>
              </w:rPr>
            </w:pPr>
            <w:r>
              <w:rPr>
                <w:sz w:val="22"/>
                <w:szCs w:val="22"/>
                <w:lang w:val="ro-RO"/>
              </w:rPr>
              <w:t>Gaindric Constantin</w:t>
            </w:r>
          </w:p>
        </w:tc>
        <w:tc>
          <w:tcPr>
            <w:tcW w:w="524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lang w:val="ro-RO"/>
              </w:rPr>
              <w:t>Problematica, solu</w:t>
            </w:r>
            <w:r>
              <w:rPr>
                <w:rFonts w:ascii="Cambria Math" w:hAnsi="Cambria Math"/>
                <w:lang w:val="ro-RO"/>
              </w:rPr>
              <w:t>ț</w:t>
            </w:r>
            <w:r>
              <w:rPr>
                <w:rFonts w:cs="Times New Roman CE" w:ascii="Times New Roman CE" w:hAnsi="Times New Roman CE"/>
                <w:lang w:val="ro-RO"/>
              </w:rPr>
              <w:t>iile şi produsele informatice destina</w:t>
            </w:r>
            <w:r>
              <w:rPr>
                <w:lang w:val="ro-RO"/>
              </w:rPr>
              <w:t xml:space="preserve">te </w:t>
            </w:r>
          </w:p>
        </w:tc>
        <w:tc>
          <w:tcPr>
            <w:tcW w:w="24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Coliban Andrei,</w:t>
            </w:r>
          </w:p>
          <w:p>
            <w:pPr>
              <w:pStyle w:val="Normal"/>
              <w:widowControl/>
              <w:bidi w:val="0"/>
              <w:ind w:left="0" w:right="0" w:hanging="0"/>
              <w:jc w:val="left"/>
              <w:textAlignment w:val="auto"/>
              <w:rPr>
                <w:lang w:val="ro-MD"/>
              </w:rPr>
            </w:pPr>
            <w:r>
              <w:rPr>
                <w:sz w:val="22"/>
                <w:szCs w:val="22"/>
                <w:lang w:val="ro-MD"/>
              </w:rPr>
              <w:t>doctorand</w:t>
            </w:r>
          </w:p>
        </w:tc>
      </w:tr>
      <w:tr>
        <w:trPr/>
        <w:tc>
          <w:tcPr>
            <w:tcW w:w="29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numPr>
                <w:ilvl w:val="0"/>
                <w:numId w:val="14"/>
              </w:numPr>
              <w:tabs>
                <w:tab w:val="left" w:pos="644" w:leader="none"/>
              </w:tabs>
              <w:bidi w:val="0"/>
              <w:ind w:left="644" w:right="0" w:hanging="0"/>
              <w:jc w:val="left"/>
              <w:textAlignment w:val="auto"/>
              <w:rPr>
                <w:lang w:val="ro-RO"/>
              </w:rPr>
            </w:pPr>
            <w:r>
              <w:rPr>
                <w:sz w:val="22"/>
                <w:szCs w:val="22"/>
                <w:lang w:val="ro-RO"/>
              </w:rPr>
              <w:t>Gaindric Constantin</w:t>
            </w:r>
          </w:p>
        </w:tc>
        <w:tc>
          <w:tcPr>
            <w:tcW w:w="524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lang w:val="ro-RO"/>
              </w:rPr>
              <w:t>Dezvoltarea sistemelor digitale de control a sănătă</w:t>
            </w:r>
            <w:r>
              <w:rPr>
                <w:rFonts w:cs="Cambria Math" w:ascii="Cambria Math" w:hAnsi="Cambria Math"/>
                <w:lang w:val="ro-RO"/>
              </w:rPr>
              <w:t>ț</w:t>
            </w:r>
            <w:r>
              <w:rPr>
                <w:rFonts w:cs="Times New Roman CE" w:ascii="Times New Roman CE" w:hAnsi="Times New Roman CE"/>
                <w:lang w:val="ro-RO"/>
              </w:rPr>
              <w:t>ii destinate îmbătrânirii active</w:t>
            </w:r>
          </w:p>
        </w:tc>
        <w:tc>
          <w:tcPr>
            <w:tcW w:w="24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Gancev Alexandru,</w:t>
            </w:r>
          </w:p>
          <w:p>
            <w:pPr>
              <w:pStyle w:val="Normal"/>
              <w:widowControl/>
              <w:bidi w:val="0"/>
              <w:ind w:left="0" w:right="0" w:hanging="0"/>
              <w:jc w:val="left"/>
              <w:textAlignment w:val="auto"/>
              <w:rPr>
                <w:lang w:val="ro-MD"/>
              </w:rPr>
            </w:pPr>
            <w:r>
              <w:rPr>
                <w:sz w:val="22"/>
                <w:szCs w:val="22"/>
                <w:lang w:val="ro-MD"/>
              </w:rPr>
              <w:t>doctorand</w:t>
            </w:r>
          </w:p>
        </w:tc>
      </w:tr>
      <w:tr>
        <w:trPr/>
        <w:tc>
          <w:tcPr>
            <w:tcW w:w="29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numPr>
                <w:ilvl w:val="0"/>
                <w:numId w:val="14"/>
              </w:numPr>
              <w:tabs>
                <w:tab w:val="left" w:pos="644" w:leader="none"/>
                <w:tab w:val="left" w:pos="709" w:leader="none"/>
              </w:tabs>
              <w:bidi w:val="0"/>
              <w:spacing w:before="0" w:after="120"/>
              <w:ind w:left="644" w:right="0" w:hanging="0"/>
              <w:jc w:val="both"/>
              <w:textAlignment w:val="auto"/>
              <w:rPr>
                <w:lang w:val="ro-MD"/>
              </w:rPr>
            </w:pPr>
            <w:r>
              <w:rPr>
                <w:sz w:val="22"/>
                <w:szCs w:val="22"/>
                <w:lang w:val="ro-MD"/>
              </w:rPr>
              <w:t>Cojocaru Svetlana</w:t>
            </w:r>
          </w:p>
        </w:tc>
        <w:tc>
          <w:tcPr>
            <w:tcW w:w="524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fr-FR"/>
              </w:rPr>
            </w:pPr>
            <w:r>
              <w:rPr>
                <w:rFonts w:cs="Times New Roman CE" w:ascii="Times New Roman CE" w:hAnsi="Times New Roman CE"/>
                <w:lang w:val="fr-FR"/>
              </w:rPr>
              <w:t>Interfeţe inteligente în instruirea asistată de calculator</w:t>
            </w:r>
          </w:p>
        </w:tc>
        <w:tc>
          <w:tcPr>
            <w:tcW w:w="24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Caftanatov Olesea,</w:t>
            </w:r>
          </w:p>
          <w:p>
            <w:pPr>
              <w:pStyle w:val="Normal"/>
              <w:widowControl/>
              <w:bidi w:val="0"/>
              <w:ind w:left="0" w:right="0" w:hanging="0"/>
              <w:jc w:val="left"/>
              <w:textAlignment w:val="auto"/>
              <w:rPr>
                <w:lang w:val="ro-MD"/>
              </w:rPr>
            </w:pPr>
            <w:r>
              <w:rPr>
                <w:rFonts w:cs="Times New Roman CE" w:ascii="Times New Roman CE" w:hAnsi="Times New Roman CE"/>
                <w:sz w:val="22"/>
                <w:szCs w:val="22"/>
                <w:lang w:val="ro-MD"/>
              </w:rPr>
              <w:t>doctorandă</w:t>
            </w:r>
          </w:p>
        </w:tc>
      </w:tr>
      <w:tr>
        <w:trPr/>
        <w:tc>
          <w:tcPr>
            <w:tcW w:w="29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numPr>
                <w:ilvl w:val="0"/>
                <w:numId w:val="14"/>
              </w:numPr>
              <w:tabs>
                <w:tab w:val="left" w:pos="644" w:leader="none"/>
                <w:tab w:val="left" w:pos="709" w:leader="none"/>
              </w:tabs>
              <w:bidi w:val="0"/>
              <w:spacing w:before="0" w:after="120"/>
              <w:ind w:left="644" w:right="0" w:hanging="0"/>
              <w:jc w:val="both"/>
              <w:textAlignment w:val="auto"/>
              <w:rPr>
                <w:lang w:val="ro-RO"/>
              </w:rPr>
            </w:pPr>
            <w:r>
              <w:rPr>
                <w:lang w:val="ro-RO"/>
              </w:rPr>
              <w:t>Damian Florin</w:t>
            </w:r>
          </w:p>
        </w:tc>
        <w:tc>
          <w:tcPr>
            <w:tcW w:w="524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RO"/>
              </w:rPr>
            </w:pPr>
            <w:r>
              <w:rPr>
                <w:rFonts w:cs="Times New Roman CE" w:ascii="Times New Roman CE" w:hAnsi="Times New Roman CE"/>
                <w:lang w:val="ro-RO"/>
              </w:rPr>
              <w:t>Geometria analitică a spaţiilor omogene</w:t>
            </w:r>
          </w:p>
        </w:tc>
        <w:tc>
          <w:tcPr>
            <w:tcW w:w="24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Popa Alexandru,</w:t>
            </w:r>
          </w:p>
          <w:p>
            <w:pPr>
              <w:pStyle w:val="Normal"/>
              <w:widowControl/>
              <w:bidi w:val="0"/>
              <w:ind w:left="0" w:right="0" w:hanging="0"/>
              <w:jc w:val="left"/>
              <w:textAlignment w:val="auto"/>
              <w:rPr>
                <w:lang w:val="ro-RO"/>
              </w:rPr>
            </w:pPr>
            <w:r>
              <w:rPr>
                <w:sz w:val="22"/>
                <w:szCs w:val="22"/>
                <w:lang w:val="ro-RO"/>
              </w:rPr>
              <w:t xml:space="preserve"> </w:t>
            </w:r>
            <w:r>
              <w:rPr>
                <w:sz w:val="22"/>
                <w:szCs w:val="22"/>
                <w:lang w:val="ro-MD"/>
              </w:rPr>
              <w:t>doctorand</w:t>
            </w:r>
          </w:p>
        </w:tc>
      </w:tr>
      <w:tr>
        <w:trPr/>
        <w:tc>
          <w:tcPr>
            <w:tcW w:w="29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numPr>
                <w:ilvl w:val="0"/>
                <w:numId w:val="14"/>
              </w:numPr>
              <w:tabs>
                <w:tab w:val="left" w:pos="644" w:leader="none"/>
                <w:tab w:val="left" w:pos="709" w:leader="none"/>
              </w:tabs>
              <w:bidi w:val="0"/>
              <w:spacing w:before="0" w:after="120"/>
              <w:ind w:left="644" w:right="0" w:hanging="0"/>
              <w:jc w:val="both"/>
              <w:textAlignment w:val="auto"/>
              <w:rPr>
                <w:lang w:val="ro-RO"/>
              </w:rPr>
            </w:pPr>
            <w:r>
              <w:rPr>
                <w:rFonts w:cs="Times New Roman CE" w:ascii="Times New Roman CE" w:hAnsi="Times New Roman CE"/>
                <w:lang w:val="ro-RO"/>
              </w:rPr>
              <w:t>Burţeva Liudmila</w:t>
            </w:r>
          </w:p>
        </w:tc>
        <w:tc>
          <w:tcPr>
            <w:tcW w:w="524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en-US"/>
              </w:rPr>
            </w:pPr>
            <w:r>
              <w:rPr>
                <w:rFonts w:cs="Times New Roman CE" w:ascii="Times New Roman CE" w:hAnsi="Times New Roman CE"/>
                <w:lang w:val="en-US"/>
              </w:rPr>
              <w:t>Prezentarea datelor de volum mare (Big Data) într-un spaţiu limitat multi-modal</w:t>
            </w:r>
          </w:p>
        </w:tc>
        <w:tc>
          <w:tcPr>
            <w:tcW w:w="24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 xml:space="preserve">Grinşpun </w:t>
            </w:r>
            <w:r>
              <w:rPr>
                <w:sz w:val="22"/>
                <w:szCs w:val="22"/>
                <w:lang w:val="ro-RO"/>
              </w:rPr>
              <w:t>Vadim,</w:t>
            </w:r>
          </w:p>
          <w:p>
            <w:pPr>
              <w:pStyle w:val="Normal"/>
              <w:widowControl/>
              <w:bidi w:val="0"/>
              <w:ind w:left="0" w:right="0" w:hanging="0"/>
              <w:jc w:val="left"/>
              <w:textAlignment w:val="auto"/>
              <w:rPr>
                <w:lang w:val="ro-MD"/>
              </w:rPr>
            </w:pPr>
            <w:r>
              <w:rPr>
                <w:sz w:val="22"/>
                <w:szCs w:val="22"/>
                <w:lang w:val="ro-MD"/>
              </w:rPr>
              <w:t>doctorand</w:t>
            </w:r>
          </w:p>
        </w:tc>
      </w:tr>
      <w:tr>
        <w:trPr/>
        <w:tc>
          <w:tcPr>
            <w:tcW w:w="29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left"/>
              <w:textAlignment w:val="auto"/>
              <w:rPr>
                <w:lang w:val="ro-MD"/>
              </w:rPr>
            </w:pPr>
            <w:r>
              <w:rPr>
                <w:rFonts w:cs="Times New Roman CE" w:ascii="Times New Roman CE" w:hAnsi="Times New Roman CE"/>
                <w:sz w:val="22"/>
                <w:szCs w:val="22"/>
                <w:lang w:val="ro-MD"/>
              </w:rPr>
              <w:t xml:space="preserve">Conducător </w:t>
            </w:r>
            <w:r>
              <w:rPr>
                <w:sz w:val="22"/>
                <w:szCs w:val="22"/>
                <w:lang w:val="ro-MD"/>
              </w:rPr>
              <w:t xml:space="preserve">la tezele de masterat, doctorat. </w:t>
            </w:r>
            <w:r>
              <w:rPr>
                <w:rFonts w:cs="Times New Roman CE" w:ascii="Times New Roman CE" w:hAnsi="Times New Roman CE"/>
                <w:sz w:val="22"/>
                <w:szCs w:val="22"/>
                <w:lang w:val="ro-MD"/>
              </w:rPr>
              <w:t>Numele şi prenumele conducătorului</w:t>
            </w:r>
          </w:p>
        </w:tc>
        <w:tc>
          <w:tcPr>
            <w:tcW w:w="524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center"/>
              <w:textAlignment w:val="auto"/>
              <w:rPr>
                <w:lang w:val="ro-MD"/>
              </w:rPr>
            </w:pPr>
            <w:r>
              <w:rPr>
                <w:sz w:val="22"/>
                <w:szCs w:val="22"/>
                <w:lang w:val="ro-MD"/>
              </w:rPr>
              <w:t>Titlul tezei de master</w:t>
            </w:r>
          </w:p>
          <w:p>
            <w:pPr>
              <w:pStyle w:val="Normal"/>
              <w:widowControl/>
              <w:tabs>
                <w:tab w:val="left" w:pos="709" w:leader="none"/>
              </w:tabs>
              <w:bidi w:val="0"/>
              <w:spacing w:before="0" w:after="120"/>
              <w:ind w:left="0" w:right="0" w:hanging="0"/>
              <w:jc w:val="both"/>
              <w:textAlignment w:val="auto"/>
              <w:rPr>
                <w:rFonts w:ascii="Times New Roman" w:hAnsi="Times New Roman"/>
                <w:sz w:val="22"/>
                <w:szCs w:val="22"/>
                <w:lang w:val="ro-MD"/>
              </w:rPr>
            </w:pPr>
            <w:r>
              <w:rPr>
                <w:sz w:val="22"/>
                <w:szCs w:val="22"/>
                <w:lang w:val="ro-MD"/>
              </w:rPr>
            </w:r>
          </w:p>
        </w:tc>
        <w:tc>
          <w:tcPr>
            <w:tcW w:w="24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sz w:val="22"/>
                <w:szCs w:val="22"/>
                <w:lang w:val="ro-MD"/>
              </w:rPr>
              <w:t>Numele, prenumele studentului, masterand., doctorandului</w:t>
            </w:r>
          </w:p>
        </w:tc>
      </w:tr>
      <w:tr>
        <w:trPr/>
        <w:tc>
          <w:tcPr>
            <w:tcW w:w="29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numPr>
                <w:ilvl w:val="0"/>
                <w:numId w:val="15"/>
              </w:numPr>
              <w:tabs>
                <w:tab w:val="left" w:pos="644" w:leader="none"/>
              </w:tabs>
              <w:bidi w:val="0"/>
              <w:ind w:left="644" w:right="0" w:hanging="0"/>
              <w:jc w:val="left"/>
              <w:textAlignment w:val="auto"/>
              <w:rPr>
                <w:lang w:val="ro-MD"/>
              </w:rPr>
            </w:pPr>
            <w:r>
              <w:rPr>
                <w:sz w:val="22"/>
                <w:szCs w:val="22"/>
                <w:lang w:val="ro-MD"/>
              </w:rPr>
              <w:t>G. Secrieru</w:t>
            </w:r>
          </w:p>
        </w:tc>
        <w:tc>
          <w:tcPr>
            <w:tcW w:w="524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MD"/>
              </w:rPr>
            </w:pPr>
            <w:r>
              <w:rPr>
                <w:sz w:val="22"/>
                <w:szCs w:val="22"/>
                <w:lang w:val="ro-MD"/>
              </w:rPr>
              <w:t>Sistemul informa</w:t>
            </w:r>
            <w:r>
              <w:rPr>
                <w:rFonts w:cs="Times New Roman CE" w:ascii="Times New Roman CE" w:hAnsi="Times New Roman CE"/>
                <w:sz w:val="22"/>
                <w:szCs w:val="22"/>
                <w:lang w:val="ro-MD"/>
              </w:rPr>
              <w:t>ţ</w:t>
            </w:r>
            <w:r>
              <w:rPr>
                <w:sz w:val="22"/>
                <w:szCs w:val="22"/>
                <w:lang w:val="ro-MD"/>
              </w:rPr>
              <w:t>ional pentru prelucrarea distribuita a imaginelor medicale in format DICOM</w:t>
            </w:r>
          </w:p>
        </w:tc>
        <w:tc>
          <w:tcPr>
            <w:tcW w:w="24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ind w:left="0" w:right="0" w:hanging="0"/>
              <w:jc w:val="both"/>
              <w:textAlignment w:val="auto"/>
              <w:rPr>
                <w:lang w:val="ro-MD"/>
              </w:rPr>
            </w:pPr>
            <w:r>
              <w:rPr>
                <w:sz w:val="22"/>
                <w:szCs w:val="22"/>
                <w:lang w:val="ro-MD"/>
              </w:rPr>
              <w:t xml:space="preserve">Masterand </w:t>
            </w:r>
          </w:p>
          <w:p>
            <w:pPr>
              <w:pStyle w:val="Normal"/>
              <w:widowControl/>
              <w:tabs>
                <w:tab w:val="left" w:pos="709" w:leader="none"/>
              </w:tabs>
              <w:bidi w:val="0"/>
              <w:ind w:left="0" w:right="0" w:hanging="0"/>
              <w:jc w:val="both"/>
              <w:textAlignment w:val="auto"/>
              <w:rPr>
                <w:lang w:val="ro-MD"/>
              </w:rPr>
            </w:pPr>
            <w:r>
              <w:rPr>
                <w:sz w:val="22"/>
                <w:szCs w:val="22"/>
                <w:lang w:val="ro-MD"/>
              </w:rPr>
              <w:t>Golubev Alexandr</w:t>
            </w:r>
          </w:p>
        </w:tc>
      </w:tr>
      <w:tr>
        <w:trPr/>
        <w:tc>
          <w:tcPr>
            <w:tcW w:w="29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numPr>
                <w:ilvl w:val="0"/>
                <w:numId w:val="15"/>
              </w:numPr>
              <w:tabs>
                <w:tab w:val="left" w:pos="644" w:leader="none"/>
                <w:tab w:val="left" w:pos="709" w:leader="none"/>
              </w:tabs>
              <w:bidi w:val="0"/>
              <w:spacing w:before="0" w:after="120"/>
              <w:ind w:left="644" w:right="0" w:hanging="0"/>
              <w:jc w:val="both"/>
              <w:textAlignment w:val="auto"/>
              <w:rPr>
                <w:lang w:val="ro-MD"/>
              </w:rPr>
            </w:pPr>
            <w:r>
              <w:rPr>
                <w:sz w:val="22"/>
                <w:szCs w:val="22"/>
                <w:lang w:val="ro-MD"/>
              </w:rPr>
              <w:t>Izba</w:t>
            </w:r>
            <w:r>
              <w:rPr>
                <w:rFonts w:cs="Times New Roman CE" w:ascii="Times New Roman CE" w:hAnsi="Times New Roman CE"/>
                <w:sz w:val="22"/>
                <w:szCs w:val="22"/>
                <w:lang w:val="ro-MD"/>
              </w:rPr>
              <w:t>ş</w:t>
            </w:r>
            <w:r>
              <w:rPr>
                <w:sz w:val="22"/>
                <w:szCs w:val="22"/>
                <w:lang w:val="ro-MD"/>
              </w:rPr>
              <w:t xml:space="preserve"> Vladimir</w:t>
            </w:r>
          </w:p>
        </w:tc>
        <w:tc>
          <w:tcPr>
            <w:tcW w:w="524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Default"/>
              <w:widowControl/>
              <w:bidi w:val="0"/>
              <w:ind w:left="0" w:right="0" w:hanging="0"/>
              <w:jc w:val="left"/>
              <w:textAlignment w:val="auto"/>
              <w:rPr>
                <w:lang w:val="en-US"/>
              </w:rPr>
            </w:pPr>
            <w:r>
              <w:rPr>
                <w:color w:val="000000"/>
                <w:sz w:val="22"/>
                <w:szCs w:val="22"/>
                <w:lang w:val="en-US" w:eastAsia="en-US"/>
              </w:rPr>
              <w:t xml:space="preserve"> </w:t>
            </w:r>
            <w:r>
              <w:rPr>
                <w:bCs/>
                <w:color w:val="000000"/>
                <w:sz w:val="22"/>
                <w:szCs w:val="22"/>
                <w:lang w:val="ro-RO" w:eastAsia="en-US"/>
              </w:rPr>
              <w:t xml:space="preserve">Omotopiile cuasigrupului </w:t>
            </w:r>
          </w:p>
          <w:p>
            <w:pPr>
              <w:pStyle w:val="Normal"/>
              <w:widowControl/>
              <w:tabs>
                <w:tab w:val="left" w:pos="709" w:leader="none"/>
              </w:tabs>
              <w:bidi w:val="0"/>
              <w:spacing w:before="0" w:after="120"/>
              <w:ind w:left="0" w:right="0" w:hanging="0"/>
              <w:jc w:val="left"/>
              <w:textAlignment w:val="auto"/>
              <w:rPr>
                <w:rFonts w:ascii="Times New Roman" w:hAnsi="Times New Roman"/>
                <w:sz w:val="22"/>
                <w:szCs w:val="22"/>
                <w:lang w:val="ro-RO"/>
              </w:rPr>
            </w:pPr>
            <w:r>
              <w:rPr>
                <w:sz w:val="22"/>
                <w:szCs w:val="22"/>
                <w:lang w:val="ro-RO"/>
              </w:rPr>
            </w:r>
          </w:p>
        </w:tc>
        <w:tc>
          <w:tcPr>
            <w:tcW w:w="24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ind w:left="0" w:right="0" w:hanging="0"/>
              <w:jc w:val="both"/>
              <w:textAlignment w:val="auto"/>
              <w:rPr>
                <w:lang w:val="ro-MD"/>
              </w:rPr>
            </w:pPr>
            <w:r>
              <w:rPr>
                <w:sz w:val="22"/>
                <w:szCs w:val="22"/>
                <w:lang w:val="ro-MD"/>
              </w:rPr>
              <w:t xml:space="preserve">Masterand </w:t>
            </w:r>
          </w:p>
          <w:p>
            <w:pPr>
              <w:pStyle w:val="Normal"/>
              <w:widowControl/>
              <w:tabs>
                <w:tab w:val="left" w:pos="709" w:leader="none"/>
              </w:tabs>
              <w:bidi w:val="0"/>
              <w:spacing w:before="0" w:after="120"/>
              <w:ind w:left="0" w:right="0" w:hanging="0"/>
              <w:jc w:val="both"/>
              <w:textAlignment w:val="auto"/>
              <w:rPr>
                <w:lang w:val="ro-MD"/>
              </w:rPr>
            </w:pPr>
            <w:r>
              <w:rPr>
                <w:sz w:val="22"/>
                <w:szCs w:val="22"/>
                <w:lang w:val="ro-MD"/>
              </w:rPr>
              <w:t>Eftodi Ion</w:t>
            </w:r>
          </w:p>
        </w:tc>
      </w:tr>
      <w:tr>
        <w:trPr/>
        <w:tc>
          <w:tcPr>
            <w:tcW w:w="29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numPr>
                <w:ilvl w:val="0"/>
                <w:numId w:val="15"/>
              </w:numPr>
              <w:tabs>
                <w:tab w:val="left" w:pos="644" w:leader="none"/>
                <w:tab w:val="left" w:pos="709" w:leader="none"/>
              </w:tabs>
              <w:bidi w:val="0"/>
              <w:spacing w:before="0" w:after="120"/>
              <w:ind w:left="644" w:right="0" w:hanging="0"/>
              <w:jc w:val="both"/>
              <w:textAlignment w:val="auto"/>
              <w:rPr>
                <w:lang w:val="ro-MD"/>
              </w:rPr>
            </w:pPr>
            <w:r>
              <w:rPr>
                <w:sz w:val="22"/>
                <w:szCs w:val="22"/>
                <w:lang w:val="ro-MD"/>
              </w:rPr>
              <w:t>Izba</w:t>
            </w:r>
            <w:r>
              <w:rPr>
                <w:rFonts w:cs="Times New Roman CE" w:ascii="Times New Roman CE" w:hAnsi="Times New Roman CE"/>
                <w:sz w:val="22"/>
                <w:szCs w:val="22"/>
                <w:lang w:val="ro-MD"/>
              </w:rPr>
              <w:t>ş</w:t>
            </w:r>
            <w:r>
              <w:rPr>
                <w:sz w:val="22"/>
                <w:szCs w:val="22"/>
                <w:lang w:val="ro-MD"/>
              </w:rPr>
              <w:t xml:space="preserve"> Vladimir </w:t>
            </w:r>
          </w:p>
        </w:tc>
        <w:tc>
          <w:tcPr>
            <w:tcW w:w="524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rFonts w:cs="Times New Roman CE" w:ascii="Times New Roman CE" w:hAnsi="Times New Roman CE"/>
                <w:sz w:val="22"/>
                <w:szCs w:val="22"/>
                <w:lang w:val="ro-RO"/>
              </w:rPr>
              <w:t>Aspecte calculative în teoria calitativă a sistemelor bidimensionale polinomiale de ecuaţ</w:t>
            </w:r>
            <w:r>
              <w:rPr>
                <w:sz w:val="22"/>
                <w:szCs w:val="22"/>
                <w:lang w:val="ro-RO"/>
              </w:rPr>
              <w:t>ii diferen</w:t>
            </w:r>
            <w:r>
              <w:rPr>
                <w:rFonts w:cs="Cambria Math" w:ascii="Cambria Math" w:hAnsi="Cambria Math"/>
                <w:sz w:val="22"/>
                <w:szCs w:val="22"/>
                <w:lang w:val="ro-RO"/>
              </w:rPr>
              <w:t>ț</w:t>
            </w:r>
            <w:r>
              <w:rPr>
                <w:sz w:val="22"/>
                <w:szCs w:val="22"/>
                <w:lang w:val="ro-RO"/>
              </w:rPr>
              <w:t>iale prin aplicarea operatorilor diferen</w:t>
            </w:r>
            <w:r>
              <w:rPr>
                <w:rFonts w:cs="Cambria Math" w:ascii="Cambria Math" w:hAnsi="Cambria Math"/>
                <w:sz w:val="22"/>
                <w:szCs w:val="22"/>
                <w:lang w:val="ro-RO"/>
              </w:rPr>
              <w:t>ț</w:t>
            </w:r>
            <w:r>
              <w:rPr>
                <w:sz w:val="22"/>
                <w:szCs w:val="22"/>
                <w:lang w:val="ro-RO"/>
              </w:rPr>
              <w:t>iali</w:t>
            </w:r>
          </w:p>
        </w:tc>
        <w:tc>
          <w:tcPr>
            <w:tcW w:w="24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ind w:left="0" w:right="0" w:hanging="0"/>
              <w:jc w:val="both"/>
              <w:textAlignment w:val="auto"/>
              <w:rPr>
                <w:lang w:val="ro-MD"/>
              </w:rPr>
            </w:pPr>
            <w:r>
              <w:rPr>
                <w:sz w:val="22"/>
                <w:szCs w:val="22"/>
                <w:lang w:val="ro-MD"/>
              </w:rPr>
              <w:t xml:space="preserve">Masterand </w:t>
            </w:r>
          </w:p>
          <w:p>
            <w:pPr>
              <w:pStyle w:val="Normal"/>
              <w:widowControl/>
              <w:tabs>
                <w:tab w:val="left" w:pos="709" w:leader="none"/>
              </w:tabs>
              <w:bidi w:val="0"/>
              <w:spacing w:before="0" w:after="120"/>
              <w:ind w:left="0" w:right="0" w:hanging="0"/>
              <w:jc w:val="both"/>
              <w:textAlignment w:val="auto"/>
              <w:rPr>
                <w:lang w:val="ro-MD"/>
              </w:rPr>
            </w:pPr>
            <w:r>
              <w:rPr>
                <w:sz w:val="22"/>
                <w:szCs w:val="22"/>
                <w:lang w:val="ro-MD"/>
              </w:rPr>
              <w:t>Baltag Valerii</w:t>
            </w:r>
          </w:p>
        </w:tc>
      </w:tr>
      <w:tr>
        <w:trPr/>
        <w:tc>
          <w:tcPr>
            <w:tcW w:w="29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numPr>
                <w:ilvl w:val="0"/>
                <w:numId w:val="15"/>
              </w:numPr>
              <w:tabs>
                <w:tab w:val="left" w:pos="644" w:leader="none"/>
                <w:tab w:val="left" w:pos="709" w:leader="none"/>
              </w:tabs>
              <w:bidi w:val="0"/>
              <w:spacing w:before="0" w:after="120"/>
              <w:ind w:left="644" w:right="0" w:hanging="0"/>
              <w:jc w:val="both"/>
              <w:textAlignment w:val="auto"/>
              <w:rPr>
                <w:lang w:val="ro-MD"/>
              </w:rPr>
            </w:pPr>
            <w:r>
              <w:rPr>
                <w:sz w:val="22"/>
                <w:szCs w:val="22"/>
                <w:lang w:val="ro-MD"/>
              </w:rPr>
              <w:t>Izba</w:t>
            </w:r>
            <w:r>
              <w:rPr>
                <w:rFonts w:cs="Times New Roman CE" w:ascii="Times New Roman CE" w:hAnsi="Times New Roman CE"/>
                <w:sz w:val="22"/>
                <w:szCs w:val="22"/>
                <w:lang w:val="ro-MD"/>
              </w:rPr>
              <w:t>ş</w:t>
            </w:r>
            <w:r>
              <w:rPr>
                <w:sz w:val="22"/>
                <w:szCs w:val="22"/>
                <w:lang w:val="ro-MD"/>
              </w:rPr>
              <w:t xml:space="preserve"> Vladimir</w:t>
            </w:r>
          </w:p>
        </w:tc>
        <w:tc>
          <w:tcPr>
            <w:tcW w:w="524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Inegalităţi clasice în cursul liceal</w:t>
            </w:r>
          </w:p>
        </w:tc>
        <w:tc>
          <w:tcPr>
            <w:tcW w:w="24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ind w:left="0" w:right="0" w:hanging="0"/>
              <w:jc w:val="both"/>
              <w:textAlignment w:val="auto"/>
              <w:rPr>
                <w:lang w:val="ro-MD"/>
              </w:rPr>
            </w:pPr>
            <w:r>
              <w:rPr>
                <w:sz w:val="22"/>
                <w:szCs w:val="22"/>
                <w:lang w:val="ro-MD"/>
              </w:rPr>
              <w:t xml:space="preserve">Masterand </w:t>
            </w:r>
          </w:p>
          <w:p>
            <w:pPr>
              <w:pStyle w:val="Normal"/>
              <w:widowControl/>
              <w:tabs>
                <w:tab w:val="left" w:pos="709" w:leader="none"/>
              </w:tabs>
              <w:bidi w:val="0"/>
              <w:spacing w:before="0" w:after="120"/>
              <w:ind w:left="0" w:right="0" w:hanging="0"/>
              <w:jc w:val="both"/>
              <w:textAlignment w:val="auto"/>
              <w:rPr>
                <w:lang w:val="ro-MD"/>
              </w:rPr>
            </w:pPr>
            <w:r>
              <w:rPr>
                <w:sz w:val="22"/>
                <w:szCs w:val="22"/>
                <w:lang w:val="ro-MD"/>
              </w:rPr>
              <w:t>Jardan Vasilii</w:t>
            </w:r>
          </w:p>
        </w:tc>
      </w:tr>
      <w:tr>
        <w:trPr/>
        <w:tc>
          <w:tcPr>
            <w:tcW w:w="29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numPr>
                <w:ilvl w:val="0"/>
                <w:numId w:val="15"/>
              </w:numPr>
              <w:tabs>
                <w:tab w:val="left" w:pos="644" w:leader="none"/>
              </w:tabs>
              <w:bidi w:val="0"/>
              <w:ind w:left="644" w:right="0" w:hanging="0"/>
              <w:jc w:val="left"/>
              <w:textAlignment w:val="auto"/>
              <w:rPr>
                <w:lang w:val="ro-MD"/>
              </w:rPr>
            </w:pPr>
            <w:r>
              <w:rPr>
                <w:sz w:val="22"/>
                <w:szCs w:val="22"/>
                <w:lang w:val="ro-MD"/>
              </w:rPr>
              <w:t>D. Lozovanu</w:t>
            </w:r>
          </w:p>
        </w:tc>
        <w:tc>
          <w:tcPr>
            <w:tcW w:w="524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Aplicarea proceselor Markoviene omogene pentru estimarea parametrilor latenţi în problemele economice</w:t>
            </w:r>
          </w:p>
        </w:tc>
        <w:tc>
          <w:tcPr>
            <w:tcW w:w="24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ind w:left="0" w:right="0" w:hanging="0"/>
              <w:jc w:val="both"/>
              <w:textAlignment w:val="auto"/>
              <w:rPr>
                <w:lang w:val="ro-MD"/>
              </w:rPr>
            </w:pPr>
            <w:r>
              <w:rPr>
                <w:sz w:val="22"/>
                <w:szCs w:val="22"/>
                <w:lang w:val="ro-MD"/>
              </w:rPr>
              <w:t xml:space="preserve">Masterand </w:t>
            </w:r>
          </w:p>
          <w:p>
            <w:pPr>
              <w:pStyle w:val="Normal"/>
              <w:widowControl/>
              <w:tabs>
                <w:tab w:val="left" w:pos="709" w:leader="none"/>
              </w:tabs>
              <w:bidi w:val="0"/>
              <w:spacing w:before="0" w:after="120"/>
              <w:ind w:left="0" w:right="0" w:hanging="0"/>
              <w:jc w:val="both"/>
              <w:textAlignment w:val="auto"/>
              <w:rPr>
                <w:lang w:val="ro-MD"/>
              </w:rPr>
            </w:pPr>
            <w:r>
              <w:rPr>
                <w:sz w:val="22"/>
                <w:szCs w:val="22"/>
                <w:lang w:val="ro-MD"/>
              </w:rPr>
              <w:t>Vrabie Adrian</w:t>
            </w:r>
          </w:p>
        </w:tc>
      </w:tr>
      <w:tr>
        <w:trPr/>
        <w:tc>
          <w:tcPr>
            <w:tcW w:w="29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numPr>
                <w:ilvl w:val="0"/>
                <w:numId w:val="15"/>
              </w:numPr>
              <w:tabs>
                <w:tab w:val="left" w:pos="644" w:leader="none"/>
              </w:tabs>
              <w:bidi w:val="0"/>
              <w:ind w:left="644" w:right="0" w:hanging="0"/>
              <w:jc w:val="left"/>
              <w:textAlignment w:val="auto"/>
              <w:rPr>
                <w:lang w:val="ro-MD"/>
              </w:rPr>
            </w:pPr>
            <w:r>
              <w:rPr>
                <w:sz w:val="22"/>
                <w:szCs w:val="22"/>
                <w:lang w:val="ro-MD"/>
              </w:rPr>
              <w:t>D. Lozovanu</w:t>
            </w:r>
          </w:p>
        </w:tc>
        <w:tc>
          <w:tcPr>
            <w:tcW w:w="524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Decizii financiare în condiţii de certitudine şi de risc</w:t>
            </w:r>
          </w:p>
        </w:tc>
        <w:tc>
          <w:tcPr>
            <w:tcW w:w="24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ind w:left="0" w:right="0" w:hanging="0"/>
              <w:jc w:val="both"/>
              <w:textAlignment w:val="auto"/>
              <w:rPr>
                <w:lang w:val="ro-MD"/>
              </w:rPr>
            </w:pPr>
            <w:r>
              <w:rPr>
                <w:sz w:val="22"/>
                <w:szCs w:val="22"/>
                <w:lang w:val="ro-MD"/>
              </w:rPr>
              <w:t xml:space="preserve">Masterand </w:t>
            </w:r>
          </w:p>
          <w:p>
            <w:pPr>
              <w:pStyle w:val="Normal"/>
              <w:widowControl/>
              <w:tabs>
                <w:tab w:val="left" w:pos="709" w:leader="none"/>
              </w:tabs>
              <w:bidi w:val="0"/>
              <w:spacing w:before="0" w:after="120"/>
              <w:ind w:left="0" w:right="0" w:hanging="0"/>
              <w:jc w:val="both"/>
              <w:textAlignment w:val="auto"/>
              <w:rPr>
                <w:lang w:val="ro-MD"/>
              </w:rPr>
            </w:pPr>
            <w:r>
              <w:rPr>
                <w:sz w:val="22"/>
                <w:szCs w:val="22"/>
                <w:lang w:val="ro-MD"/>
              </w:rPr>
              <w:t>Ciumihina Natalia</w:t>
            </w:r>
          </w:p>
        </w:tc>
      </w:tr>
      <w:tr>
        <w:trPr/>
        <w:tc>
          <w:tcPr>
            <w:tcW w:w="29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numPr>
                <w:ilvl w:val="0"/>
                <w:numId w:val="15"/>
              </w:numPr>
              <w:tabs>
                <w:tab w:val="left" w:pos="644" w:leader="none"/>
              </w:tabs>
              <w:bidi w:val="0"/>
              <w:ind w:left="644" w:right="0" w:hanging="0"/>
              <w:jc w:val="left"/>
              <w:textAlignment w:val="auto"/>
              <w:rPr>
                <w:lang w:val="ro-MD"/>
              </w:rPr>
            </w:pPr>
            <w:r>
              <w:rPr>
                <w:rFonts w:cs="Times New Roman CE" w:ascii="Times New Roman CE" w:hAnsi="Times New Roman CE"/>
                <w:sz w:val="22"/>
                <w:szCs w:val="22"/>
                <w:lang w:val="ro-MD"/>
              </w:rPr>
              <w:t>A. Şubă</w:t>
            </w:r>
          </w:p>
        </w:tc>
        <w:tc>
          <w:tcPr>
            <w:tcW w:w="524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rFonts w:cs="TimesNewRoman,Bold" w:ascii="TimesNewRoman,Bold" w:hAnsi="TimesNewRoman,Bold"/>
                <w:bCs/>
                <w:sz w:val="22"/>
                <w:szCs w:val="22"/>
                <w:lang w:val="en-US"/>
              </w:rPr>
              <w:t xml:space="preserve">Calculul </w:t>
            </w:r>
            <w:r>
              <w:rPr>
                <w:rFonts w:cs="TimesNewRoman,Bold CE" w:ascii="TimesNewRoman,Bold CE" w:hAnsi="TimesNewRoman,Bold CE"/>
                <w:bCs/>
                <w:sz w:val="22"/>
                <w:szCs w:val="22"/>
                <w:lang w:val="en-US"/>
              </w:rPr>
              <w:t>simbolic al soluţiilor</w:t>
            </w:r>
            <w:r>
              <w:rPr>
                <w:rFonts w:cs="TimesNewRoman,Bold" w:ascii="TimesNewRoman,Bold" w:hAnsi="TimesNewRoman,Bold"/>
                <w:bCs/>
                <w:sz w:val="22"/>
                <w:szCs w:val="22"/>
                <w:lang w:val="en-US"/>
              </w:rPr>
              <w:t xml:space="preserve"> </w:t>
            </w:r>
            <w:r>
              <w:rPr>
                <w:rFonts w:cs="TimesNewRoman,Bold CE" w:ascii="TimesNewRoman,Bold CE" w:hAnsi="TimesNewRoman,Bold CE"/>
                <w:bCs/>
                <w:sz w:val="22"/>
                <w:szCs w:val="22"/>
                <w:lang w:val="en-US"/>
              </w:rPr>
              <w:t>ecuaţiilor</w:t>
            </w:r>
            <w:r>
              <w:rPr>
                <w:rFonts w:cs="TimesNewRoman,Bold" w:ascii="TimesNewRoman,Bold" w:hAnsi="TimesNewRoman,Bold"/>
                <w:bCs/>
                <w:sz w:val="22"/>
                <w:szCs w:val="22"/>
                <w:lang w:val="en-US"/>
              </w:rPr>
              <w:t xml:space="preserve"> </w:t>
            </w:r>
            <w:r>
              <w:rPr>
                <w:rFonts w:cs="TimesNewRoman,Bold CE" w:ascii="TimesNewRoman,Bold CE" w:hAnsi="TimesNewRoman,Bold CE"/>
                <w:bCs/>
                <w:sz w:val="22"/>
                <w:szCs w:val="22"/>
                <w:lang w:val="en-US"/>
              </w:rPr>
              <w:t>diferenţiale cu derivate parţiale</w:t>
            </w:r>
            <w:r>
              <w:rPr>
                <w:rFonts w:cs="TimesNewRoman,Bold" w:ascii="TimesNewRoman,Bold" w:hAnsi="TimesNewRoman,Bold"/>
                <w:bCs/>
                <w:sz w:val="22"/>
                <w:szCs w:val="22"/>
                <w:lang w:val="en-US"/>
              </w:rPr>
              <w:t xml:space="preserve"> de tip parabolic</w:t>
            </w:r>
          </w:p>
        </w:tc>
        <w:tc>
          <w:tcPr>
            <w:tcW w:w="24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Sârbu Nina</w:t>
            </w:r>
          </w:p>
        </w:tc>
      </w:tr>
      <w:tr>
        <w:trPr/>
        <w:tc>
          <w:tcPr>
            <w:tcW w:w="29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numPr>
                <w:ilvl w:val="0"/>
                <w:numId w:val="15"/>
              </w:numPr>
              <w:tabs>
                <w:tab w:val="left" w:pos="644" w:leader="none"/>
              </w:tabs>
              <w:bidi w:val="0"/>
              <w:spacing w:before="0" w:after="120"/>
              <w:ind w:left="644" w:right="0" w:hanging="0"/>
              <w:jc w:val="both"/>
              <w:textAlignment w:val="auto"/>
              <w:rPr>
                <w:lang w:val="ro-MD"/>
              </w:rPr>
            </w:pPr>
            <w:r>
              <w:rPr>
                <w:sz w:val="22"/>
                <w:szCs w:val="22"/>
                <w:lang w:val="ro-MD"/>
              </w:rPr>
              <w:t>Magariu G.</w:t>
            </w:r>
          </w:p>
        </w:tc>
        <w:tc>
          <w:tcPr>
            <w:tcW w:w="524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120"/>
              <w:ind w:left="0" w:right="0" w:hanging="0"/>
              <w:jc w:val="both"/>
              <w:textAlignment w:val="auto"/>
              <w:rPr>
                <w:lang w:val="ro-MD"/>
              </w:rPr>
            </w:pPr>
            <w:r>
              <w:rPr>
                <w:rFonts w:cs="Times New Roman CE" w:ascii="Times New Roman CE" w:hAnsi="Times New Roman CE"/>
                <w:sz w:val="22"/>
                <w:szCs w:val="22"/>
                <w:lang w:val="ro-MD"/>
              </w:rPr>
              <w:t>Elaborarea mijloacelor de analiză în baza rezultatelor unui set</w:t>
            </w:r>
            <w:r>
              <w:rPr>
                <w:sz w:val="22"/>
                <w:szCs w:val="22"/>
                <w:lang w:val="ro-MD"/>
              </w:rPr>
              <w:t xml:space="preserve"> de experimente cu modelul de simulare</w:t>
            </w:r>
          </w:p>
        </w:tc>
        <w:tc>
          <w:tcPr>
            <w:tcW w:w="24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t>Mar</w:t>
            </w:r>
            <w:r>
              <w:rPr>
                <w:lang w:val="ro-RO"/>
              </w:rPr>
              <w:t>cov Sergei</w:t>
            </w:r>
          </w:p>
        </w:tc>
      </w:tr>
      <w:tr>
        <w:trPr/>
        <w:tc>
          <w:tcPr>
            <w:tcW w:w="29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numPr>
                <w:ilvl w:val="0"/>
                <w:numId w:val="15"/>
              </w:numPr>
              <w:tabs>
                <w:tab w:val="left" w:pos="644" w:leader="none"/>
              </w:tabs>
              <w:bidi w:val="0"/>
              <w:spacing w:before="0" w:after="120"/>
              <w:ind w:left="644" w:right="0" w:hanging="0"/>
              <w:jc w:val="both"/>
              <w:textAlignment w:val="auto"/>
              <w:rPr>
                <w:lang w:val="ro-MD"/>
              </w:rPr>
            </w:pPr>
            <w:r>
              <w:rPr>
                <w:sz w:val="22"/>
                <w:szCs w:val="22"/>
                <w:lang w:val="ro-MD"/>
              </w:rPr>
              <w:t>Petic M.</w:t>
            </w:r>
          </w:p>
        </w:tc>
        <w:tc>
          <w:tcPr>
            <w:tcW w:w="524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en-US"/>
              </w:rPr>
            </w:pPr>
            <w:r>
              <w:rPr>
                <w:lang w:val="en-US"/>
              </w:rPr>
              <w:t>Proiectarea serviciilor web cu mijloacele tehnologiei Java</w:t>
            </w:r>
            <w:r>
              <w:rPr>
                <w:lang w:val="ro-RO"/>
              </w:rPr>
              <w:t xml:space="preserve">. </w:t>
            </w:r>
          </w:p>
        </w:tc>
        <w:tc>
          <w:tcPr>
            <w:tcW w:w="24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ind w:left="0" w:right="0" w:hanging="0"/>
              <w:jc w:val="left"/>
              <w:textAlignment w:val="auto"/>
              <w:rPr>
                <w:lang w:val="en-US"/>
              </w:rPr>
            </w:pPr>
            <w:r>
              <w:rPr>
                <w:color w:val="222222"/>
                <w:sz w:val="22"/>
                <w:szCs w:val="22"/>
                <w:lang w:val="en-US"/>
              </w:rPr>
              <w:t xml:space="preserve">Croitoru Victoria, specializarea „Administrarea bazelor de date </w:t>
            </w:r>
            <w:r>
              <w:rPr>
                <w:rFonts w:cs="Times New Roman CE" w:ascii="Times New Roman CE" w:hAnsi="Times New Roman CE"/>
                <w:color w:val="222222"/>
                <w:sz w:val="22"/>
                <w:szCs w:val="22"/>
                <w:lang w:val="en-US"/>
              </w:rPr>
              <w:t>ş</w:t>
            </w:r>
            <w:r>
              <w:rPr>
                <w:color w:val="222222"/>
                <w:sz w:val="22"/>
                <w:szCs w:val="22"/>
                <w:lang w:val="en-US"/>
              </w:rPr>
              <w:t xml:space="preserve">i tehnologii WEB”, </w:t>
            </w:r>
            <w:r>
              <w:rPr>
                <w:rFonts w:cs="Times New Roman CE" w:ascii="Times New Roman CE" w:hAnsi="Times New Roman CE"/>
                <w:color w:val="222222"/>
                <w:sz w:val="22"/>
                <w:szCs w:val="22"/>
                <w:lang w:val="en-US"/>
              </w:rPr>
              <w:t>Universitatea de Stat "Alecu Russo" din Bălţi</w:t>
            </w:r>
            <w:r>
              <w:rPr>
                <w:color w:val="222222"/>
                <w:sz w:val="22"/>
                <w:szCs w:val="22"/>
                <w:lang w:val="en-US"/>
              </w:rPr>
              <w:t>.</w:t>
            </w:r>
          </w:p>
        </w:tc>
      </w:tr>
      <w:tr>
        <w:trPr/>
        <w:tc>
          <w:tcPr>
            <w:tcW w:w="29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numPr>
                <w:ilvl w:val="0"/>
                <w:numId w:val="15"/>
              </w:numPr>
              <w:tabs>
                <w:tab w:val="left" w:pos="644" w:leader="none"/>
              </w:tabs>
              <w:bidi w:val="0"/>
              <w:spacing w:before="0" w:after="120"/>
              <w:ind w:left="644" w:right="0" w:hanging="0"/>
              <w:jc w:val="both"/>
              <w:textAlignment w:val="auto"/>
              <w:rPr>
                <w:lang w:val="ro-MD"/>
              </w:rPr>
            </w:pPr>
            <w:r>
              <w:rPr>
                <w:sz w:val="22"/>
                <w:szCs w:val="22"/>
                <w:lang w:val="ro-MD"/>
              </w:rPr>
              <w:t>Petic M.</w:t>
            </w:r>
          </w:p>
        </w:tc>
        <w:tc>
          <w:tcPr>
            <w:tcW w:w="524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fr-FR"/>
              </w:rPr>
            </w:pPr>
            <w:r>
              <w:rPr>
                <w:lang w:val="fr-FR"/>
              </w:rPr>
              <w:t xml:space="preserve">Prelucrarea </w:t>
            </w:r>
            <w:r>
              <w:rPr>
                <w:rFonts w:cs="Times New Roman CE" w:ascii="Times New Roman CE" w:hAnsi="Times New Roman CE"/>
                <w:lang w:val="fr-FR"/>
              </w:rPr>
              <w:t>datelor din baze de date cu posibilităţ</w:t>
            </w:r>
            <w:r>
              <w:rPr>
                <w:lang w:val="fr-FR"/>
              </w:rPr>
              <w:t>ile tehnologiei Java</w:t>
            </w:r>
            <w:r>
              <w:rPr>
                <w:lang w:val="ro-RO"/>
              </w:rPr>
              <w:t xml:space="preserve">. </w:t>
            </w:r>
          </w:p>
        </w:tc>
        <w:tc>
          <w:tcPr>
            <w:tcW w:w="24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ind w:left="0" w:right="0" w:hanging="0"/>
              <w:jc w:val="left"/>
              <w:textAlignment w:val="auto"/>
              <w:rPr>
                <w:lang w:val="en-US"/>
              </w:rPr>
            </w:pPr>
            <w:r>
              <w:rPr>
                <w:lang w:val="en-US"/>
              </w:rPr>
              <w:t>Fîrfa Irina</w:t>
            </w:r>
            <w:r>
              <w:rPr>
                <w:color w:val="222222"/>
                <w:sz w:val="22"/>
                <w:szCs w:val="22"/>
                <w:lang w:val="en-US"/>
              </w:rPr>
              <w:t xml:space="preserve">, specializarea „Administrareabazelor de date </w:t>
            </w:r>
            <w:r>
              <w:rPr>
                <w:rFonts w:cs="Times New Roman CE" w:ascii="Times New Roman CE" w:hAnsi="Times New Roman CE"/>
                <w:color w:val="222222"/>
                <w:sz w:val="22"/>
                <w:szCs w:val="22"/>
                <w:lang w:val="en-US"/>
              </w:rPr>
              <w:t>ş</w:t>
            </w:r>
            <w:r>
              <w:rPr>
                <w:color w:val="222222"/>
                <w:sz w:val="22"/>
                <w:szCs w:val="22"/>
                <w:lang w:val="en-US"/>
              </w:rPr>
              <w:t xml:space="preserve">i tehnologii WEB”, </w:t>
            </w:r>
            <w:r>
              <w:rPr>
                <w:rFonts w:cs="Times New Roman CE" w:ascii="Times New Roman CE" w:hAnsi="Times New Roman CE"/>
                <w:color w:val="222222"/>
                <w:sz w:val="22"/>
                <w:szCs w:val="22"/>
                <w:lang w:val="en-US"/>
              </w:rPr>
              <w:t>Universitatea de Stat "Alecu Russo" din Bălţi</w:t>
            </w:r>
            <w:r>
              <w:rPr>
                <w:color w:val="222222"/>
                <w:sz w:val="22"/>
                <w:szCs w:val="22"/>
                <w:lang w:val="en-US"/>
              </w:rPr>
              <w:t>.</w:t>
            </w:r>
          </w:p>
        </w:tc>
      </w:tr>
      <w:tr>
        <w:trPr/>
        <w:tc>
          <w:tcPr>
            <w:tcW w:w="29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numPr>
                <w:ilvl w:val="0"/>
                <w:numId w:val="15"/>
              </w:numPr>
              <w:tabs>
                <w:tab w:val="left" w:pos="644" w:leader="none"/>
              </w:tabs>
              <w:bidi w:val="0"/>
              <w:spacing w:before="0" w:after="120"/>
              <w:ind w:left="644" w:right="0" w:hanging="0"/>
              <w:jc w:val="both"/>
              <w:textAlignment w:val="auto"/>
              <w:rPr>
                <w:lang w:val="ro-MD"/>
              </w:rPr>
            </w:pPr>
            <w:r>
              <w:rPr>
                <w:sz w:val="22"/>
                <w:szCs w:val="22"/>
                <w:lang w:val="ro-MD"/>
              </w:rPr>
              <w:t>Petic M.</w:t>
            </w:r>
          </w:p>
        </w:tc>
        <w:tc>
          <w:tcPr>
            <w:tcW w:w="524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fr-FR"/>
              </w:rPr>
            </w:pPr>
            <w:r>
              <w:rPr>
                <w:lang w:val="fr-FR"/>
              </w:rPr>
              <w:t xml:space="preserve">Proiectarea </w:t>
            </w:r>
            <w:r>
              <w:rPr>
                <w:rFonts w:cs="Times New Roman CE" w:ascii="Times New Roman CE" w:hAnsi="Times New Roman CE"/>
                <w:lang w:val="fr-FR"/>
              </w:rPr>
              <w:t>interfeţei</w:t>
            </w:r>
            <w:r>
              <w:rPr>
                <w:lang w:val="fr-FR"/>
              </w:rPr>
              <w:t xml:space="preserve"> grafice a </w:t>
            </w:r>
            <w:r>
              <w:rPr>
                <w:rFonts w:cs="Times New Roman CE" w:ascii="Times New Roman CE" w:hAnsi="Times New Roman CE"/>
                <w:lang w:val="fr-FR"/>
              </w:rPr>
              <w:t>aplicaţi</w:t>
            </w:r>
            <w:r>
              <w:rPr>
                <w:lang w:val="fr-FR"/>
              </w:rPr>
              <w:t>ei Java</w:t>
            </w:r>
            <w:r>
              <w:rPr>
                <w:lang w:val="ro-RO"/>
              </w:rPr>
              <w:t xml:space="preserve">. </w:t>
            </w:r>
          </w:p>
        </w:tc>
        <w:tc>
          <w:tcPr>
            <w:tcW w:w="24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ind w:left="0" w:right="0" w:hanging="0"/>
              <w:jc w:val="left"/>
              <w:textAlignment w:val="auto"/>
              <w:rPr>
                <w:lang w:val="en-US"/>
              </w:rPr>
            </w:pPr>
            <w:r>
              <w:rPr>
                <w:rFonts w:cs="Times New Roman CE" w:ascii="Times New Roman CE" w:hAnsi="Times New Roman CE"/>
                <w:lang w:val="en-US"/>
              </w:rPr>
              <w:t>Hîrjău Maria</w:t>
            </w:r>
            <w:r>
              <w:rPr>
                <w:lang w:val="ro-RO"/>
              </w:rPr>
              <w:t xml:space="preserve">, </w:t>
            </w:r>
            <w:r>
              <w:rPr>
                <w:color w:val="222222"/>
                <w:sz w:val="22"/>
                <w:szCs w:val="22"/>
                <w:lang w:val="en-US"/>
              </w:rPr>
              <w:t xml:space="preserve">specializarea „Administrareabazelor de date </w:t>
            </w:r>
            <w:r>
              <w:rPr>
                <w:rFonts w:cs="Times New Roman CE" w:ascii="Times New Roman CE" w:hAnsi="Times New Roman CE"/>
                <w:color w:val="222222"/>
                <w:sz w:val="22"/>
                <w:szCs w:val="22"/>
                <w:lang w:val="en-US"/>
              </w:rPr>
              <w:t>ş</w:t>
            </w:r>
            <w:r>
              <w:rPr>
                <w:color w:val="222222"/>
                <w:sz w:val="22"/>
                <w:szCs w:val="22"/>
                <w:lang w:val="en-US"/>
              </w:rPr>
              <w:t xml:space="preserve">i tehnologii WEB”, </w:t>
            </w:r>
            <w:r>
              <w:rPr>
                <w:rFonts w:cs="Times New Roman CE" w:ascii="Times New Roman CE" w:hAnsi="Times New Roman CE"/>
                <w:color w:val="222222"/>
                <w:sz w:val="22"/>
                <w:szCs w:val="22"/>
                <w:lang w:val="en-US"/>
              </w:rPr>
              <w:t>Universitatea de Stat "Alecu Russo" din Bălţi</w:t>
            </w:r>
            <w:r>
              <w:rPr>
                <w:color w:val="222222"/>
                <w:sz w:val="22"/>
                <w:szCs w:val="22"/>
                <w:lang w:val="en-US"/>
              </w:rPr>
              <w:t>.</w:t>
            </w:r>
          </w:p>
        </w:tc>
      </w:tr>
      <w:tr>
        <w:trPr/>
        <w:tc>
          <w:tcPr>
            <w:tcW w:w="29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numPr>
                <w:ilvl w:val="0"/>
                <w:numId w:val="15"/>
              </w:numPr>
              <w:tabs>
                <w:tab w:val="left" w:pos="644" w:leader="none"/>
              </w:tabs>
              <w:bidi w:val="0"/>
              <w:spacing w:before="0" w:after="120"/>
              <w:ind w:left="644" w:right="0" w:hanging="0"/>
              <w:jc w:val="both"/>
              <w:textAlignment w:val="auto"/>
              <w:rPr>
                <w:lang w:val="ro-MD"/>
              </w:rPr>
            </w:pPr>
            <w:r>
              <w:rPr>
                <w:rFonts w:cs="Times New Roman CE" w:ascii="Times New Roman CE" w:hAnsi="Times New Roman CE"/>
                <w:sz w:val="22"/>
                <w:szCs w:val="22"/>
                <w:lang w:val="ro-MD"/>
              </w:rPr>
              <w:t>Izbaş V.</w:t>
            </w:r>
          </w:p>
        </w:tc>
        <w:tc>
          <w:tcPr>
            <w:tcW w:w="524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Grupoizi şi cuasigrupuri cu grupuri de automorfisme speciale</w:t>
            </w:r>
          </w:p>
        </w:tc>
        <w:tc>
          <w:tcPr>
            <w:tcW w:w="24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sz w:val="22"/>
                <w:szCs w:val="22"/>
                <w:lang w:val="ro-MD"/>
              </w:rPr>
              <w:t>Prodan Galina</w:t>
            </w:r>
          </w:p>
        </w:tc>
      </w:tr>
      <w:tr>
        <w:trPr/>
        <w:tc>
          <w:tcPr>
            <w:tcW w:w="294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numPr>
                <w:ilvl w:val="0"/>
                <w:numId w:val="15"/>
              </w:numPr>
              <w:tabs>
                <w:tab w:val="left" w:pos="644" w:leader="none"/>
              </w:tabs>
              <w:bidi w:val="0"/>
              <w:spacing w:before="0" w:after="120"/>
              <w:ind w:left="644" w:right="0" w:hanging="0"/>
              <w:jc w:val="both"/>
              <w:textAlignment w:val="auto"/>
              <w:rPr>
                <w:lang w:val="ro-MD"/>
              </w:rPr>
            </w:pPr>
            <w:r>
              <w:rPr>
                <w:rFonts w:cs="Times New Roman CE" w:ascii="Times New Roman CE" w:hAnsi="Times New Roman CE"/>
                <w:sz w:val="22"/>
                <w:szCs w:val="22"/>
                <w:lang w:val="ro-MD"/>
              </w:rPr>
              <w:t>Şubă Alexandru</w:t>
            </w:r>
          </w:p>
        </w:tc>
        <w:tc>
          <w:tcPr>
            <w:tcW w:w="524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lang w:val="ro-RO"/>
              </w:rPr>
              <w:t>Problema centrului p</w:t>
            </w:r>
            <w:r>
              <w:rPr>
                <w:rFonts w:cs="Times New Roman CE" w:ascii="Times New Roman CE" w:hAnsi="Times New Roman CE"/>
                <w:lang w:val="ro-RO"/>
              </w:rPr>
              <w:t>entru sistemele diferenţiale cubice ce posedă o dreaptă invariantă reală de multiplicitatea trei”, susţinută pe 07.06.</w:t>
            </w:r>
            <w:r>
              <w:rPr>
                <w:lang w:val="ro-RO"/>
              </w:rPr>
              <w:t>2016.</w:t>
            </w:r>
          </w:p>
        </w:tc>
        <w:tc>
          <w:tcPr>
            <w:tcW w:w="241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RO"/>
              </w:rPr>
            </w:pPr>
            <w:r>
              <w:rPr>
                <w:lang w:val="ro-RO"/>
              </w:rPr>
              <w:t>Motovilnic Nadejda</w:t>
            </w:r>
          </w:p>
          <w:p>
            <w:pPr>
              <w:pStyle w:val="Normal"/>
              <w:widowControl/>
              <w:tabs>
                <w:tab w:val="left" w:pos="709" w:leader="none"/>
              </w:tabs>
              <w:bidi w:val="0"/>
              <w:spacing w:before="0" w:after="120"/>
              <w:ind w:left="0" w:right="0" w:hanging="0"/>
              <w:jc w:val="both"/>
              <w:textAlignment w:val="auto"/>
              <w:rPr>
                <w:rFonts w:ascii="Times New Roman" w:hAnsi="Times New Roman"/>
                <w:sz w:val="22"/>
                <w:szCs w:val="22"/>
                <w:lang w:val="ro-MD"/>
              </w:rPr>
            </w:pPr>
            <w:r>
              <w:rPr>
                <w:sz w:val="22"/>
                <w:szCs w:val="22"/>
                <w:lang w:val="ro-MD"/>
              </w:rPr>
            </w:r>
          </w:p>
        </w:tc>
      </w:tr>
    </w:tbl>
    <w:p>
      <w:pPr>
        <w:pStyle w:val="Normal"/>
        <w:widowControl/>
        <w:numPr>
          <w:ilvl w:val="0"/>
          <w:numId w:val="10"/>
        </w:numPr>
        <w:tabs>
          <w:tab w:val="left" w:pos="709" w:leader="none"/>
        </w:tabs>
        <w:bidi w:val="0"/>
        <w:spacing w:before="0" w:after="120"/>
        <w:ind w:left="1428" w:right="0" w:hanging="0"/>
        <w:jc w:val="both"/>
        <w:textAlignment w:val="auto"/>
        <w:rPr>
          <w:lang w:val="ro-MD"/>
        </w:rPr>
      </w:pPr>
      <w:r>
        <w:rPr>
          <w:rFonts w:cs="Times New Roman CE" w:ascii="Times New Roman CE" w:hAnsi="Times New Roman CE"/>
          <w:sz w:val="22"/>
          <w:szCs w:val="22"/>
          <w:lang w:val="ro-MD"/>
        </w:rPr>
        <w:tab/>
        <w:t xml:space="preserve">Colaborarea cu instituţiile de învăţămînt superior în aspect didactic </w:t>
      </w:r>
    </w:p>
    <w:tbl>
      <w:tblPr>
        <w:tblW w:w="10632" w:type="dxa"/>
        <w:jc w:val="left"/>
        <w:tblInd w:w="-71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3" w:type="dxa"/>
          <w:bottom w:w="0" w:type="dxa"/>
          <w:right w:w="108" w:type="dxa"/>
        </w:tblCellMar>
      </w:tblPr>
      <w:tblGrid>
        <w:gridCol w:w="3092"/>
        <w:gridCol w:w="486"/>
        <w:gridCol w:w="868"/>
        <w:gridCol w:w="1191"/>
        <w:gridCol w:w="3390"/>
        <w:gridCol w:w="329"/>
        <w:gridCol w:w="1275"/>
      </w:tblGrid>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 xml:space="preserve">Instituţia de învăţămînt superior </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sz w:val="21"/>
                <w:szCs w:val="21"/>
                <w:lang w:val="ro-MD"/>
              </w:rPr>
              <w:t>Cicl</w:t>
            </w:r>
            <w:r>
              <w:rPr>
                <w:rFonts w:cs="Times New Roman CE" w:ascii="Times New Roman CE" w:hAnsi="Times New Roman CE"/>
                <w:sz w:val="21"/>
                <w:szCs w:val="21"/>
                <w:lang w:val="ro-MD"/>
              </w:rPr>
              <w:t>ul I- licenţă</w:t>
            </w:r>
          </w:p>
          <w:p>
            <w:pPr>
              <w:pStyle w:val="Normal"/>
              <w:widowControl/>
              <w:tabs>
                <w:tab w:val="left" w:pos="709" w:leader="none"/>
              </w:tabs>
              <w:bidi w:val="0"/>
              <w:spacing w:before="0" w:after="120"/>
              <w:ind w:left="0" w:right="0" w:hanging="0"/>
              <w:jc w:val="both"/>
              <w:textAlignment w:val="auto"/>
              <w:rPr>
                <w:lang w:val="ro-MD"/>
              </w:rPr>
            </w:pPr>
            <w:r>
              <w:rPr>
                <w:sz w:val="21"/>
                <w:szCs w:val="21"/>
                <w:lang w:val="ro-MD"/>
              </w:rPr>
              <w:t>Ciclul II – masterat</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pPr>
            <w:r>
              <w:rPr>
                <w:sz w:val="22"/>
                <w:szCs w:val="22"/>
                <w:lang w:val="ro-MD"/>
              </w:rPr>
              <w:t xml:space="preserve">Denumirea cursului </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Numele şi prenumele profesorului</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left"/>
              <w:textAlignment w:val="auto"/>
              <w:rPr>
                <w:lang w:val="ro-MD"/>
              </w:rPr>
            </w:pPr>
            <w:r>
              <w:rPr>
                <w:rFonts w:cs="Times New Roman CE" w:ascii="Times New Roman CE" w:hAnsi="Times New Roman CE"/>
                <w:sz w:val="22"/>
                <w:szCs w:val="22"/>
                <w:lang w:val="ro-MD"/>
              </w:rPr>
              <w:t>Universitatea de Stat din Moldova, Facultatea de Matematică şi Informatică</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left"/>
              <w:textAlignment w:val="auto"/>
              <w:rPr>
                <w:lang w:val="ro-MD"/>
              </w:rPr>
            </w:pPr>
            <w:r>
              <w:rPr>
                <w:rFonts w:cs="Times New Roman CE" w:ascii="Times New Roman CE" w:hAnsi="Times New Roman CE"/>
                <w:sz w:val="22"/>
                <w:szCs w:val="22"/>
                <w:lang w:val="ro-MD"/>
              </w:rPr>
              <w:t>Ciclul I - licenţa</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sz w:val="22"/>
                <w:szCs w:val="22"/>
                <w:lang w:val="ro-MD"/>
              </w:rPr>
              <w:t>Teoria jocurilor</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sz w:val="22"/>
                <w:szCs w:val="22"/>
                <w:lang w:val="ro-MD"/>
              </w:rPr>
              <w:t>Lozovanu Dmitrii</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sz w:val="22"/>
                <w:szCs w:val="22"/>
                <w:lang w:val="ro-MD"/>
              </w:rPr>
              <w:t>US „Alecu Russo” din B</w:t>
            </w:r>
            <w:r>
              <w:rPr>
                <w:rFonts w:cs="Times New Roman CE" w:ascii="Times New Roman CE" w:hAnsi="Times New Roman CE"/>
                <w:sz w:val="22"/>
                <w:szCs w:val="22"/>
                <w:lang w:val="ro-RO"/>
              </w:rPr>
              <w:t>ălţi</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sz w:val="22"/>
                <w:szCs w:val="22"/>
                <w:lang w:val="ro-MD"/>
              </w:rPr>
              <w:t>Ciclul I - licenta</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Web"/>
              <w:widowControl/>
              <w:bidi w:val="0"/>
              <w:spacing w:beforeAutospacing="1" w:afterAutospacing="1"/>
              <w:ind w:left="0" w:right="0" w:hanging="0"/>
              <w:jc w:val="left"/>
              <w:textAlignment w:val="auto"/>
              <w:rPr>
                <w:lang w:val="es-ES"/>
              </w:rPr>
            </w:pPr>
            <w:r>
              <w:rPr>
                <w:rStyle w:val="Rvts7"/>
                <w:lang w:val="es-ES"/>
              </w:rPr>
              <w:t>Sisteme inteligente</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sz w:val="22"/>
                <w:szCs w:val="22"/>
                <w:lang w:val="ro-MD"/>
              </w:rPr>
              <w:t>Petic Mircea</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sz w:val="22"/>
                <w:szCs w:val="22"/>
                <w:lang w:val="ro-MD"/>
              </w:rPr>
              <w:t>US „Alecu Russo” din B</w:t>
            </w:r>
            <w:r>
              <w:rPr>
                <w:rFonts w:cs="Times New Roman CE" w:ascii="Times New Roman CE" w:hAnsi="Times New Roman CE"/>
                <w:sz w:val="22"/>
                <w:szCs w:val="22"/>
                <w:lang w:val="ro-RO"/>
              </w:rPr>
              <w:t>ălţi</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sz w:val="22"/>
                <w:szCs w:val="22"/>
                <w:lang w:val="ro-MD"/>
              </w:rPr>
              <w:t>Ciclul I - licenta</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Web"/>
              <w:widowControl/>
              <w:bidi w:val="0"/>
              <w:spacing w:beforeAutospacing="1" w:afterAutospacing="1"/>
              <w:ind w:left="0" w:right="0" w:hanging="0"/>
              <w:jc w:val="left"/>
              <w:textAlignment w:val="auto"/>
              <w:rPr>
                <w:lang w:val="es-ES"/>
              </w:rPr>
            </w:pPr>
            <w:r>
              <w:rPr>
                <w:rStyle w:val="Rvts7"/>
                <w:lang w:val="es-ES"/>
              </w:rPr>
              <w:t>Programarea Java</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sz w:val="22"/>
                <w:szCs w:val="22"/>
                <w:lang w:val="ro-MD"/>
              </w:rPr>
              <w:t>Petic Mircea</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sz w:val="22"/>
                <w:szCs w:val="22"/>
                <w:lang w:val="ro-MD"/>
              </w:rPr>
              <w:t xml:space="preserve">ULIM, </w:t>
            </w:r>
            <w:r>
              <w:rPr>
                <w:rFonts w:cs="Times New Roman CE" w:ascii="Times New Roman CE" w:hAnsi="Times New Roman CE"/>
                <w:lang w:val="en-US"/>
              </w:rPr>
              <w:t>facultatea Ştiinţe Economice</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sz w:val="22"/>
                <w:szCs w:val="22"/>
                <w:lang w:val="ro-MD"/>
              </w:rPr>
              <w:t>Ciclul I - licenta</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en-US"/>
              </w:rPr>
            </w:pPr>
            <w:r>
              <w:rPr>
                <w:lang w:val="en-US"/>
              </w:rPr>
              <w:t>Matematica</w:t>
            </w:r>
            <w:r>
              <w:rPr>
                <w:rFonts w:cs="Times New Roman CE" w:ascii="Times New Roman CE" w:hAnsi="Times New Roman CE"/>
                <w:lang w:val="en-US"/>
              </w:rPr>
              <w:t xml:space="preserve"> Aplicată</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Mişcoi Gheorghe</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sz w:val="22"/>
                <w:szCs w:val="22"/>
                <w:lang w:val="ro-MD"/>
              </w:rPr>
              <w:t>ULIM, facul</w:t>
            </w:r>
            <w:r>
              <w:rPr>
                <w:rFonts w:cs="Times New Roman CE" w:ascii="Times New Roman CE" w:hAnsi="Times New Roman CE"/>
                <w:lang w:val="ro-MD"/>
              </w:rPr>
              <w:t>tatea Ştiinţe Economice</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pPr>
            <w:r>
              <w:rPr>
                <w:sz w:val="22"/>
                <w:szCs w:val="22"/>
                <w:lang w:val="ro-MD"/>
              </w:rPr>
              <w:t>Ciclul I - licenta</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lang w:val="ro-MD"/>
              </w:rPr>
              <w:t>Прикладная Математика</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Mişcoi Gheorghe</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left"/>
              <w:textAlignment w:val="auto"/>
              <w:rPr>
                <w:lang w:val="ro-MD"/>
              </w:rPr>
            </w:pPr>
            <w:r>
              <w:rPr>
                <w:rFonts w:cs="Times New Roman CE" w:ascii="Times New Roman CE" w:hAnsi="Times New Roman CE"/>
                <w:sz w:val="22"/>
                <w:szCs w:val="22"/>
                <w:lang w:val="ro-MD"/>
              </w:rPr>
              <w:t>ULIM, facultatea Ştiinţe Economice</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left"/>
              <w:textAlignment w:val="auto"/>
              <w:rPr>
                <w:lang w:val="ro-MD"/>
              </w:rPr>
            </w:pPr>
            <w:r>
              <w:rPr>
                <w:rFonts w:cs="Times New Roman CE" w:ascii="Times New Roman CE" w:hAnsi="Times New Roman CE"/>
                <w:sz w:val="22"/>
                <w:szCs w:val="22"/>
                <w:lang w:val="ro-MD"/>
              </w:rPr>
              <w:t>Ciclul I - licenţa</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left"/>
              <w:textAlignment w:val="auto"/>
              <w:rPr>
                <w:lang w:val="ro-RO"/>
              </w:rPr>
            </w:pPr>
            <w:r>
              <w:rPr>
                <w:bCs/>
                <w:color w:val="000000"/>
                <w:sz w:val="22"/>
                <w:szCs w:val="22"/>
                <w:lang w:val="ro-RO"/>
              </w:rPr>
              <w:t xml:space="preserve">Sisteme </w:t>
            </w:r>
            <w:r>
              <w:rPr>
                <w:sz w:val="22"/>
                <w:szCs w:val="22"/>
              </w:rPr>
              <w:t>informa</w:t>
            </w:r>
            <w:r>
              <w:rPr>
                <w:rFonts w:cs="Times New Roman CE" w:ascii="Times New Roman CE" w:hAnsi="Times New Roman CE"/>
                <w:sz w:val="22"/>
                <w:szCs w:val="22"/>
                <w:lang w:val="ro-RO"/>
              </w:rPr>
              <w:t>ţ</w:t>
            </w:r>
            <w:r>
              <w:rPr>
                <w:sz w:val="22"/>
                <w:szCs w:val="22"/>
              </w:rPr>
              <w:t>ionale ec</w:t>
            </w:r>
            <w:r>
              <w:rPr>
                <w:sz w:val="22"/>
                <w:szCs w:val="22"/>
                <w:lang w:val="ro-RO"/>
              </w:rPr>
              <w:t>o</w:t>
            </w:r>
            <w:r>
              <w:rPr>
                <w:sz w:val="22"/>
                <w:szCs w:val="22"/>
              </w:rPr>
              <w:t>nomice</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left"/>
              <w:textAlignment w:val="auto"/>
              <w:rPr>
                <w:lang w:val="ro-MD"/>
              </w:rPr>
            </w:pPr>
            <w:r>
              <w:rPr>
                <w:sz w:val="22"/>
                <w:szCs w:val="22"/>
                <w:lang w:val="ro-MD"/>
              </w:rPr>
              <w:t>Mitev Lilia</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left"/>
              <w:textAlignment w:val="auto"/>
              <w:rPr>
                <w:lang w:val="ro-MD"/>
              </w:rPr>
            </w:pPr>
            <w:r>
              <w:rPr>
                <w:rFonts w:cs="Times New Roman CE" w:ascii="Times New Roman CE" w:hAnsi="Times New Roman CE"/>
                <w:sz w:val="22"/>
                <w:szCs w:val="22"/>
                <w:lang w:val="ro-MD"/>
              </w:rPr>
              <w:t>ULIM, facultatea Ştiinţe Economice</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left"/>
              <w:textAlignment w:val="auto"/>
              <w:rPr>
                <w:lang w:val="ro-MD"/>
              </w:rPr>
            </w:pPr>
            <w:r>
              <w:rPr>
                <w:rFonts w:cs="Times New Roman CE" w:ascii="Times New Roman CE" w:hAnsi="Times New Roman CE"/>
                <w:sz w:val="22"/>
                <w:szCs w:val="22"/>
                <w:lang w:val="ro-MD"/>
              </w:rPr>
              <w:t>Ciclul I - licenţa</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RO"/>
              </w:rPr>
            </w:pPr>
            <w:r>
              <w:rPr>
                <w:bCs/>
                <w:color w:val="000000"/>
                <w:sz w:val="22"/>
                <w:szCs w:val="22"/>
                <w:lang w:val="ro-RO"/>
              </w:rPr>
              <w:t>IT software pentru business</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left"/>
              <w:textAlignment w:val="auto"/>
              <w:rPr>
                <w:lang w:val="ro-MD"/>
              </w:rPr>
            </w:pPr>
            <w:r>
              <w:rPr>
                <w:sz w:val="22"/>
                <w:szCs w:val="22"/>
                <w:lang w:val="ro-MD"/>
              </w:rPr>
              <w:t>Mitev Lilia</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left"/>
              <w:textAlignment w:val="auto"/>
              <w:rPr>
                <w:lang w:val="ro-MD"/>
              </w:rPr>
            </w:pPr>
            <w:r>
              <w:rPr>
                <w:sz w:val="22"/>
                <w:szCs w:val="22"/>
                <w:lang w:val="ro-MD"/>
              </w:rPr>
              <w:t>ULIM, facultat</w:t>
            </w:r>
            <w:r>
              <w:rPr>
                <w:rFonts w:cs="Times New Roman CE" w:ascii="Times New Roman CE" w:hAnsi="Times New Roman CE"/>
                <w:sz w:val="22"/>
                <w:szCs w:val="22"/>
                <w:lang w:val="ro-MD"/>
              </w:rPr>
              <w:t>ea Ştiinţe Economice</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left"/>
              <w:textAlignment w:val="auto"/>
              <w:rPr>
                <w:lang w:val="ro-RO"/>
              </w:rPr>
            </w:pPr>
            <w:r>
              <w:rPr>
                <w:rFonts w:cs="Times New Roman CE" w:ascii="Times New Roman CE" w:hAnsi="Times New Roman CE"/>
                <w:sz w:val="22"/>
                <w:szCs w:val="22"/>
                <w:lang w:val="ro-RO"/>
              </w:rPr>
              <w:t>Ciclul I - licenţa</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0"/>
              <w:ind w:left="0" w:right="0" w:hanging="0"/>
              <w:contextualSpacing/>
              <w:jc w:val="left"/>
              <w:textAlignment w:val="auto"/>
              <w:rPr/>
            </w:pPr>
            <w:r>
              <w:rPr>
                <w:sz w:val="22"/>
                <w:szCs w:val="22"/>
              </w:rPr>
              <w:t>Pachete software</w:t>
            </w:r>
          </w:p>
          <w:p>
            <w:pPr>
              <w:pStyle w:val="Normal"/>
              <w:widowControl/>
              <w:tabs>
                <w:tab w:val="left" w:pos="709" w:leader="none"/>
              </w:tabs>
              <w:bidi w:val="0"/>
              <w:spacing w:before="0" w:after="120"/>
              <w:ind w:left="0" w:right="0" w:hanging="0"/>
              <w:jc w:val="both"/>
              <w:textAlignment w:val="auto"/>
              <w:rPr>
                <w:rFonts w:ascii="Times New Roman" w:hAnsi="Times New Roman"/>
                <w:sz w:val="22"/>
                <w:szCs w:val="22"/>
                <w:lang w:val="ro-RO"/>
              </w:rPr>
            </w:pPr>
            <w:r>
              <w:rPr>
                <w:sz w:val="22"/>
                <w:szCs w:val="22"/>
                <w:lang w:val="ro-RO"/>
              </w:rPr>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left"/>
              <w:textAlignment w:val="auto"/>
              <w:rPr>
                <w:lang w:val="ro-RO"/>
              </w:rPr>
            </w:pPr>
            <w:r>
              <w:rPr>
                <w:sz w:val="22"/>
                <w:szCs w:val="22"/>
                <w:lang w:val="ro-RO"/>
              </w:rPr>
              <w:t>Mitev Lilia</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UnAŞM, Facultatea de Ştiinţe Exacte</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sz w:val="22"/>
                <w:szCs w:val="22"/>
                <w:lang w:val="ro-MD"/>
              </w:rPr>
              <w:t>Ciclul I – licenta</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Web"/>
              <w:widowControl/>
              <w:bidi w:val="0"/>
              <w:spacing w:beforeAutospacing="1" w:afterAutospacing="1"/>
              <w:ind w:left="0" w:right="0" w:hanging="0"/>
              <w:jc w:val="left"/>
              <w:textAlignment w:val="auto"/>
              <w:rPr>
                <w:lang w:val="es-ES"/>
              </w:rPr>
            </w:pPr>
            <w:r>
              <w:rPr>
                <w:rStyle w:val="Rvts7"/>
                <w:rFonts w:cs="Times New Roman CE" w:ascii="Times New Roman CE" w:hAnsi="Times New Roman CE"/>
                <w:lang w:val="es-ES"/>
              </w:rPr>
              <w:t xml:space="preserve">Teoria probabilităţilor </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sz w:val="22"/>
                <w:szCs w:val="22"/>
                <w:lang w:val="ro-MD"/>
              </w:rPr>
              <w:t>Corlat Andrei</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UnAŞM, Facultatea de Ştiinţe Exacte</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sz w:val="22"/>
                <w:szCs w:val="22"/>
                <w:lang w:val="ro-MD"/>
              </w:rPr>
              <w:t>Ciclul II – masterat</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es-ES"/>
              </w:rPr>
            </w:pPr>
            <w:r>
              <w:rPr>
                <w:rStyle w:val="Rvts7"/>
                <w:rFonts w:cs="Times New Roman CE" w:ascii="Times New Roman CE" w:hAnsi="Times New Roman CE"/>
                <w:lang w:val="es-ES"/>
              </w:rPr>
              <w:t>Aplicaţiile Calculului Diferenţial şi Integral</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pPr>
            <w:r>
              <w:rPr>
                <w:sz w:val="22"/>
                <w:szCs w:val="22"/>
                <w:lang w:val="ro-MD"/>
              </w:rPr>
              <w:t>Corlat Andrei</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ind w:left="0" w:right="0" w:hanging="0"/>
              <w:jc w:val="both"/>
              <w:textAlignment w:val="auto"/>
              <w:rPr>
                <w:lang w:val="ro-MD"/>
              </w:rPr>
            </w:pPr>
            <w:r>
              <w:rPr>
                <w:rFonts w:cs="Times New Roman CE" w:ascii="Times New Roman CE" w:hAnsi="Times New Roman CE"/>
                <w:sz w:val="22"/>
                <w:szCs w:val="22"/>
                <w:lang w:val="ro-MD"/>
              </w:rPr>
              <w:t>UnAŞM, Facultatea Ştiinţe Exacte</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sz w:val="22"/>
                <w:szCs w:val="22"/>
                <w:lang w:val="ro-MD"/>
              </w:rPr>
              <w:t>Ciclul II – masterat</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Web"/>
              <w:widowControl/>
              <w:bidi w:val="0"/>
              <w:spacing w:beforeAutospacing="1" w:afterAutospacing="1"/>
              <w:ind w:left="0" w:right="0" w:hanging="0"/>
              <w:jc w:val="left"/>
              <w:textAlignment w:val="auto"/>
              <w:rPr>
                <w:lang w:val="es-ES"/>
              </w:rPr>
            </w:pPr>
            <w:r>
              <w:rPr>
                <w:rStyle w:val="Rvts7"/>
                <w:lang w:val="es-ES"/>
              </w:rPr>
              <w:t>Calcul Stocastic</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sz w:val="22"/>
                <w:szCs w:val="22"/>
                <w:lang w:val="ro-MD"/>
              </w:rPr>
              <w:t>Corlat Andrei</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Un.AŞM</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RO"/>
              </w:rPr>
            </w:pPr>
            <w:r>
              <w:rPr>
                <w:rFonts w:cs="Times New Roman CE" w:ascii="Times New Roman CE" w:hAnsi="Times New Roman CE"/>
                <w:sz w:val="22"/>
                <w:szCs w:val="22"/>
                <w:lang w:val="ro-RO"/>
              </w:rPr>
              <w:t>Ciclul I - licenţa</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Teoria mulţimilor</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Izbaş Vladimir</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Un.AŞM</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RO"/>
              </w:rPr>
            </w:pPr>
            <w:r>
              <w:rPr>
                <w:rFonts w:cs="Times New Roman CE" w:ascii="Times New Roman CE" w:hAnsi="Times New Roman CE"/>
                <w:sz w:val="22"/>
                <w:szCs w:val="22"/>
                <w:lang w:val="ro-RO"/>
              </w:rPr>
              <w:t>Ciclul I - licenţa</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Logica matematică</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 xml:space="preserve">Izbaş </w:t>
            </w:r>
            <w:r>
              <w:rPr>
                <w:sz w:val="22"/>
                <w:szCs w:val="22"/>
                <w:lang w:val="ro-MD"/>
              </w:rPr>
              <w:t>Olga</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UnAŞM</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RO"/>
              </w:rPr>
            </w:pPr>
            <w:r>
              <w:rPr>
                <w:rFonts w:cs="Times New Roman CE" w:ascii="Times New Roman CE" w:hAnsi="Times New Roman CE"/>
                <w:sz w:val="22"/>
                <w:szCs w:val="22"/>
                <w:lang w:val="ro-RO"/>
              </w:rPr>
              <w:t>Ciclul I - licenţa</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Securitatea informaţiei</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Izbaş Vladimir</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Un.AŞM</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RO"/>
              </w:rPr>
            </w:pPr>
            <w:r>
              <w:rPr>
                <w:rFonts w:cs="Times New Roman CE" w:ascii="Times New Roman CE" w:hAnsi="Times New Roman CE"/>
                <w:sz w:val="22"/>
                <w:szCs w:val="22"/>
                <w:lang w:val="ro-RO"/>
              </w:rPr>
              <w:t>Ciclul I - licenţa</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Algebra liniară</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RO"/>
              </w:rPr>
            </w:pPr>
            <w:r>
              <w:rPr>
                <w:sz w:val="22"/>
                <w:szCs w:val="22"/>
                <w:lang w:val="ro-RO"/>
              </w:rPr>
              <w:t>Popa Valeriu</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Un.AŞM</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RO"/>
              </w:rPr>
            </w:pPr>
            <w:r>
              <w:rPr>
                <w:rFonts w:cs="Times New Roman CE" w:ascii="Times New Roman CE" w:hAnsi="Times New Roman CE"/>
                <w:sz w:val="22"/>
                <w:szCs w:val="22"/>
                <w:lang w:val="ro-RO"/>
              </w:rPr>
              <w:t>Ciclul I - licenţa</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sz w:val="22"/>
                <w:szCs w:val="22"/>
                <w:lang w:val="ro-MD"/>
              </w:rPr>
              <w:t>Teoria numerelor</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Izbaş Vladimir</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sz w:val="22"/>
                <w:szCs w:val="22"/>
                <w:lang w:val="ro-MD"/>
              </w:rPr>
              <w:t>USM, Facultatea de Matematica si Informatica</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left"/>
              <w:textAlignment w:val="auto"/>
              <w:rPr>
                <w:lang w:val="ro-RO"/>
              </w:rPr>
            </w:pPr>
            <w:r>
              <w:rPr>
                <w:sz w:val="22"/>
                <w:szCs w:val="22"/>
                <w:lang w:val="ro-RO"/>
              </w:rPr>
              <w:t>Ciclul II - masterat</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left"/>
              <w:textAlignment w:val="auto"/>
              <w:rPr>
                <w:lang w:val="ro-RO"/>
              </w:rPr>
            </w:pPr>
            <w:r>
              <w:rPr>
                <w:rFonts w:cs="Times New Roman CE" w:ascii="Times New Roman CE" w:hAnsi="Times New Roman CE"/>
                <w:sz w:val="22"/>
                <w:szCs w:val="22"/>
                <w:lang w:val="ro-RO"/>
              </w:rPr>
              <w:t xml:space="preserve">Programarea dinamică </w:t>
            </w:r>
            <w:r>
              <w:rPr>
                <w:sz w:val="22"/>
                <w:szCs w:val="22"/>
                <w:lang w:val="ro-RO"/>
              </w:rPr>
              <w:t>stochasti</w:t>
            </w:r>
            <w:r>
              <w:rPr>
                <w:rFonts w:cs="Times New Roman CE" w:ascii="Times New Roman CE" w:hAnsi="Times New Roman CE"/>
                <w:sz w:val="22"/>
                <w:szCs w:val="22"/>
                <w:lang w:val="ro-RO"/>
              </w:rPr>
              <w:t>că şi</w:t>
            </w:r>
            <w:r>
              <w:rPr>
                <w:sz w:val="22"/>
                <w:szCs w:val="22"/>
                <w:lang w:val="ro-RO"/>
              </w:rPr>
              <w:t xml:space="preserve"> procesele Markov decizionale</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sz w:val="22"/>
                <w:szCs w:val="22"/>
                <w:lang w:val="ro-MD"/>
              </w:rPr>
              <w:t>Lozovanu Dmitrii</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sz w:val="22"/>
                <w:szCs w:val="22"/>
                <w:lang w:val="ro-MD"/>
              </w:rPr>
              <w:t>US „Alecu Russo” din B</w:t>
            </w:r>
            <w:r>
              <w:rPr>
                <w:rFonts w:cs="Times New Roman CE" w:ascii="Times New Roman CE" w:hAnsi="Times New Roman CE"/>
                <w:sz w:val="22"/>
                <w:szCs w:val="22"/>
                <w:lang w:val="ro-RO"/>
              </w:rPr>
              <w:t>ălţi</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RO"/>
              </w:rPr>
            </w:pPr>
            <w:r>
              <w:rPr>
                <w:sz w:val="22"/>
                <w:szCs w:val="22"/>
                <w:lang w:val="ro-RO"/>
              </w:rPr>
              <w:t>Ciclul II - masterat</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Web"/>
              <w:widowControl/>
              <w:bidi w:val="0"/>
              <w:spacing w:beforeAutospacing="1" w:afterAutospacing="1"/>
              <w:ind w:left="0" w:right="0" w:hanging="0"/>
              <w:jc w:val="left"/>
              <w:textAlignment w:val="auto"/>
              <w:rPr>
                <w:lang w:val="es-ES"/>
              </w:rPr>
            </w:pPr>
            <w:r>
              <w:rPr>
                <w:rStyle w:val="Rvts7"/>
                <w:lang w:val="es-ES"/>
              </w:rPr>
              <w:t>Managementul proiectelor IT</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sz w:val="22"/>
                <w:szCs w:val="22"/>
                <w:lang w:val="ro-MD"/>
              </w:rPr>
              <w:t>Petic Mircea</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sz w:val="22"/>
                <w:szCs w:val="22"/>
                <w:lang w:val="ro-MD"/>
              </w:rPr>
              <w:t>US „Alecu Russo” din B</w:t>
            </w:r>
            <w:r>
              <w:rPr>
                <w:rFonts w:cs="Times New Roman CE" w:ascii="Times New Roman CE" w:hAnsi="Times New Roman CE"/>
                <w:sz w:val="22"/>
                <w:szCs w:val="22"/>
                <w:lang w:val="ro-RO"/>
              </w:rPr>
              <w:t>ălţi</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RO"/>
              </w:rPr>
            </w:pPr>
            <w:r>
              <w:rPr>
                <w:sz w:val="22"/>
                <w:szCs w:val="22"/>
                <w:lang w:val="ro-RO"/>
              </w:rPr>
              <w:t>Ciclul II - masterat</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Web"/>
              <w:widowControl/>
              <w:bidi w:val="0"/>
              <w:spacing w:beforeAutospacing="1" w:afterAutospacing="1"/>
              <w:ind w:left="0" w:right="0" w:hanging="0"/>
              <w:jc w:val="left"/>
              <w:textAlignment w:val="auto"/>
              <w:rPr>
                <w:lang w:val="es-ES"/>
              </w:rPr>
            </w:pPr>
            <w:r>
              <w:rPr>
                <w:rStyle w:val="Rvts7"/>
                <w:lang w:val="es-ES"/>
              </w:rPr>
              <w:t>Programarea Java/Platforma Java Entreprise</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sz w:val="22"/>
                <w:szCs w:val="22"/>
                <w:lang w:val="ro-MD"/>
              </w:rPr>
              <w:t>Petic Mircea</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sz w:val="22"/>
                <w:szCs w:val="22"/>
                <w:lang w:val="ro-MD"/>
              </w:rPr>
              <w:t>US „Alecu Russo” din B</w:t>
            </w:r>
            <w:r>
              <w:rPr>
                <w:rFonts w:cs="Times New Roman CE" w:ascii="Times New Roman CE" w:hAnsi="Times New Roman CE"/>
                <w:sz w:val="22"/>
                <w:szCs w:val="22"/>
                <w:lang w:val="ro-RO"/>
              </w:rPr>
              <w:t>ălţi</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RO"/>
              </w:rPr>
            </w:pPr>
            <w:r>
              <w:rPr>
                <w:sz w:val="22"/>
                <w:szCs w:val="22"/>
                <w:lang w:val="ro-RO"/>
              </w:rPr>
              <w:t>Ciclul II - masterat</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left"/>
              <w:textAlignment w:val="auto"/>
              <w:rPr>
                <w:lang w:val="fr-FR"/>
              </w:rPr>
            </w:pPr>
            <w:r>
              <w:rPr>
                <w:iCs/>
                <w:lang w:val="fr-FR"/>
              </w:rPr>
              <w:t xml:space="preserve">Metode distribuite </w:t>
            </w:r>
            <w:r>
              <w:rPr>
                <w:rFonts w:cs="Cambria Math" w:ascii="Cambria Math" w:hAnsi="Cambria Math"/>
                <w:iCs/>
                <w:lang w:val="fr-FR"/>
              </w:rPr>
              <w:t>ș</w:t>
            </w:r>
            <w:r>
              <w:rPr>
                <w:iCs/>
                <w:lang w:val="fr-FR"/>
              </w:rPr>
              <w:t>i tehnologii bazate pe XML</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sz w:val="22"/>
                <w:szCs w:val="22"/>
                <w:lang w:val="ro-MD"/>
              </w:rPr>
              <w:t>Petic Mircea</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sz w:val="22"/>
                <w:szCs w:val="22"/>
                <w:lang w:val="ro-MD"/>
              </w:rPr>
              <w:t>US „Alecu Russo” din B</w:t>
            </w:r>
            <w:r>
              <w:rPr>
                <w:rFonts w:cs="Times New Roman CE" w:ascii="Times New Roman CE" w:hAnsi="Times New Roman CE"/>
                <w:sz w:val="22"/>
                <w:szCs w:val="22"/>
                <w:lang w:val="ro-RO"/>
              </w:rPr>
              <w:t>ălţi</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RO"/>
              </w:rPr>
            </w:pPr>
            <w:r>
              <w:rPr>
                <w:sz w:val="22"/>
                <w:szCs w:val="22"/>
                <w:lang w:val="ro-RO"/>
              </w:rPr>
              <w:t>Ciclul II - masterat</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left"/>
              <w:textAlignment w:val="auto"/>
              <w:rPr>
                <w:lang w:val="fr-FR"/>
              </w:rPr>
            </w:pPr>
            <w:r>
              <w:rPr>
                <w:iCs/>
                <w:lang w:val="fr-FR"/>
              </w:rPr>
              <w:t>Securitatea informa</w:t>
            </w:r>
            <w:r>
              <w:rPr>
                <w:rFonts w:cs="Cambria Math" w:ascii="Cambria Math" w:hAnsi="Cambria Math"/>
                <w:iCs/>
                <w:lang w:val="fr-FR"/>
              </w:rPr>
              <w:t>ț</w:t>
            </w:r>
            <w:r>
              <w:rPr>
                <w:iCs/>
                <w:lang w:val="fr-FR"/>
              </w:rPr>
              <w:t xml:space="preserve">iei </w:t>
            </w:r>
            <w:r>
              <w:rPr>
                <w:rFonts w:cs="Cambria Math" w:ascii="Cambria Math" w:hAnsi="Cambria Math"/>
                <w:iCs/>
                <w:lang w:val="fr-FR"/>
              </w:rPr>
              <w:t>ș</w:t>
            </w:r>
            <w:r>
              <w:rPr>
                <w:iCs/>
                <w:lang w:val="fr-FR"/>
              </w:rPr>
              <w:t>i drepturi de autor</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sz w:val="22"/>
                <w:szCs w:val="22"/>
                <w:lang w:val="ro-MD"/>
              </w:rPr>
              <w:t>Petic Mircea</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sz w:val="22"/>
                <w:szCs w:val="22"/>
                <w:lang w:val="ro-MD"/>
              </w:rPr>
              <w:t>US „Alecu Russo” din B</w:t>
            </w:r>
            <w:r>
              <w:rPr>
                <w:rFonts w:cs="Times New Roman CE" w:ascii="Times New Roman CE" w:hAnsi="Times New Roman CE"/>
                <w:sz w:val="22"/>
                <w:szCs w:val="22"/>
                <w:lang w:val="ro-RO"/>
              </w:rPr>
              <w:t>ălţi</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RO"/>
              </w:rPr>
            </w:pPr>
            <w:r>
              <w:rPr>
                <w:sz w:val="22"/>
                <w:szCs w:val="22"/>
                <w:lang w:val="ro-RO"/>
              </w:rPr>
              <w:t>Ciclul II - masterat</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left"/>
              <w:textAlignment w:val="auto"/>
              <w:rPr>
                <w:lang w:val="ro-RO"/>
              </w:rPr>
            </w:pPr>
            <w:r>
              <w:rPr>
                <w:sz w:val="22"/>
                <w:szCs w:val="22"/>
                <w:lang w:val="ro-RO"/>
              </w:rPr>
              <w:t>Sisteme distribuite</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sz w:val="22"/>
                <w:szCs w:val="22"/>
                <w:lang w:val="ro-MD"/>
              </w:rPr>
              <w:t>Petic Mircea</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left"/>
              <w:textAlignment w:val="auto"/>
              <w:rPr>
                <w:lang w:val="ro-MD"/>
              </w:rPr>
            </w:pPr>
            <w:r>
              <w:rPr>
                <w:rFonts w:cs="Times New Roman CE" w:ascii="Times New Roman CE" w:hAnsi="Times New Roman CE"/>
                <w:sz w:val="22"/>
                <w:szCs w:val="22"/>
                <w:lang w:val="ro-MD"/>
              </w:rPr>
              <w:t>ULIM, facultatea Ştiinţe Economice</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left"/>
              <w:textAlignment w:val="auto"/>
              <w:rPr>
                <w:lang w:val="ro-RO"/>
              </w:rPr>
            </w:pPr>
            <w:r>
              <w:rPr>
                <w:sz w:val="22"/>
                <w:szCs w:val="22"/>
                <w:lang w:val="ro-RO"/>
              </w:rPr>
              <w:t>Ciclul II - masterat</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RO"/>
              </w:rPr>
            </w:pPr>
            <w:r>
              <w:rPr>
                <w:rFonts w:cs="Times New Roman CE" w:ascii="Times New Roman CE" w:hAnsi="Times New Roman CE"/>
                <w:sz w:val="22"/>
                <w:szCs w:val="22"/>
                <w:lang w:val="ro-RO"/>
              </w:rPr>
              <w:t>Statistica Matematică</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RO"/>
              </w:rPr>
            </w:pPr>
            <w:r>
              <w:rPr>
                <w:rFonts w:cs="Times New Roman CE" w:ascii="Times New Roman CE" w:hAnsi="Times New Roman CE"/>
                <w:sz w:val="22"/>
                <w:szCs w:val="22"/>
                <w:lang w:val="ro-RO"/>
              </w:rPr>
              <w:t>Mişcoi Gh</w:t>
            </w:r>
            <w:r>
              <w:rPr>
                <w:sz w:val="22"/>
                <w:szCs w:val="22"/>
                <w:lang w:val="ro-RO"/>
              </w:rPr>
              <w:t>eorghe</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left"/>
              <w:textAlignment w:val="auto"/>
              <w:rPr>
                <w:lang w:val="ro-MD"/>
              </w:rPr>
            </w:pPr>
            <w:r>
              <w:rPr>
                <w:rFonts w:cs="Times New Roman CE" w:ascii="Times New Roman CE" w:hAnsi="Times New Roman CE"/>
                <w:sz w:val="22"/>
                <w:szCs w:val="22"/>
                <w:lang w:val="ro-MD"/>
              </w:rPr>
              <w:t>ULIM, facultatea Ştiinţe Economice</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left"/>
              <w:textAlignment w:val="auto"/>
              <w:rPr>
                <w:lang w:val="ro-RO"/>
              </w:rPr>
            </w:pPr>
            <w:r>
              <w:rPr>
                <w:sz w:val="22"/>
                <w:szCs w:val="22"/>
                <w:lang w:val="ro-RO"/>
              </w:rPr>
              <w:t>Ciclul II - masterat</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pPr>
            <w:r>
              <w:rPr>
                <w:sz w:val="22"/>
                <w:szCs w:val="22"/>
              </w:rPr>
              <w:t>Математическая Статистика</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RO"/>
              </w:rPr>
            </w:pPr>
            <w:r>
              <w:rPr>
                <w:rFonts w:cs="Times New Roman CE" w:ascii="Times New Roman CE" w:hAnsi="Times New Roman CE"/>
                <w:sz w:val="22"/>
                <w:szCs w:val="22"/>
                <w:lang w:val="ro-RO"/>
              </w:rPr>
              <w:t>Mişcoi Gh</w:t>
            </w:r>
            <w:r>
              <w:rPr>
                <w:sz w:val="22"/>
                <w:szCs w:val="22"/>
                <w:lang w:val="ro-RO"/>
              </w:rPr>
              <w:t>eorghe</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UnAŞM</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RO"/>
              </w:rPr>
            </w:pPr>
            <w:r>
              <w:rPr>
                <w:sz w:val="22"/>
                <w:szCs w:val="22"/>
                <w:lang w:val="ro-RO"/>
              </w:rPr>
              <w:t>Ciclu– II masterat</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 xml:space="preserve">Funcţii </w:t>
            </w:r>
            <w:r>
              <w:rPr>
                <w:sz w:val="22"/>
                <w:szCs w:val="22"/>
                <w:lang w:val="ro-MD"/>
              </w:rPr>
              <w:t>booleene</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 xml:space="preserve">Izbaş </w:t>
            </w:r>
            <w:r>
              <w:rPr>
                <w:sz w:val="22"/>
                <w:szCs w:val="22"/>
                <w:lang w:val="ro-MD"/>
              </w:rPr>
              <w:t>Olga</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UnAŞM</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RO"/>
              </w:rPr>
            </w:pPr>
            <w:r>
              <w:rPr>
                <w:sz w:val="22"/>
                <w:szCs w:val="22"/>
                <w:lang w:val="ro-RO"/>
              </w:rPr>
              <w:t>Ciclu– II masterat</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sz w:val="22"/>
                <w:szCs w:val="22"/>
                <w:lang w:val="ro-MD"/>
              </w:rPr>
              <w:t>Teoria cuasigrupurilor</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Izbaş Vladimir</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Universitatea Academiei de Ştiinţe a Moldovei, Facultatea Ştiinţelor Exacte</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RO"/>
              </w:rPr>
            </w:pPr>
            <w:r>
              <w:rPr>
                <w:sz w:val="22"/>
                <w:szCs w:val="22"/>
                <w:lang w:val="ro-RO"/>
              </w:rPr>
              <w:t>Ciclul III doctorat</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RO"/>
              </w:rPr>
            </w:pPr>
            <w:r>
              <w:rPr>
                <w:rFonts w:cs="Times New Roman CE" w:ascii="Times New Roman CE" w:hAnsi="Times New Roman CE"/>
                <w:sz w:val="22"/>
                <w:szCs w:val="22"/>
                <w:lang w:val="ro-RO"/>
              </w:rPr>
              <w:t xml:space="preserve">Tehnologii informaţionale </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RO"/>
              </w:rPr>
            </w:pPr>
            <w:r>
              <w:rPr>
                <w:sz w:val="22"/>
                <w:szCs w:val="22"/>
                <w:lang w:val="ro-RO"/>
              </w:rPr>
              <w:t>Secrieru Grigore</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Universitatea Academiei de Ştiinţe a Moldovei, Facultatea Ştiinţe Exacte</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RO"/>
              </w:rPr>
            </w:pPr>
            <w:r>
              <w:rPr>
                <w:sz w:val="22"/>
                <w:szCs w:val="22"/>
                <w:lang w:val="ro-RO"/>
              </w:rPr>
              <w:t>Ciclul III doctorat</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RO"/>
              </w:rPr>
            </w:pPr>
            <w:r>
              <w:rPr>
                <w:sz w:val="22"/>
                <w:szCs w:val="22"/>
                <w:lang w:val="ro-RO"/>
              </w:rPr>
              <w:t>Bazele informaticii aplicate</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pPr>
            <w:r>
              <w:rPr>
                <w:sz w:val="22"/>
                <w:szCs w:val="22"/>
                <w:lang w:val="ro-RO"/>
              </w:rPr>
              <w:t>Secrieru Grigore</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left"/>
              <w:textAlignment w:val="auto"/>
              <w:rPr>
                <w:lang w:val="ro-MD"/>
              </w:rPr>
            </w:pPr>
            <w:r>
              <w:rPr>
                <w:rFonts w:cs="Times New Roman CE" w:ascii="Times New Roman CE" w:hAnsi="Times New Roman CE"/>
                <w:sz w:val="22"/>
                <w:szCs w:val="22"/>
                <w:lang w:val="ro-MD"/>
              </w:rPr>
              <w:t>UST (cu sediul la Chişinău)</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1"/>
                <w:szCs w:val="21"/>
                <w:lang w:val="ro-MD"/>
              </w:rPr>
              <w:t>Ciclul I- licenţă</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sz w:val="22"/>
                <w:szCs w:val="22"/>
                <w:lang w:val="ro-MD"/>
              </w:rPr>
              <w:t>Integrabilitatea sistemelor dinamice</w:t>
            </w:r>
            <w:r>
              <w:rPr>
                <w:sz w:val="21"/>
                <w:szCs w:val="21"/>
                <w:lang w:val="ro-MD"/>
              </w:rPr>
              <w:t xml:space="preserve"> </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1"/>
                <w:szCs w:val="21"/>
                <w:lang w:val="ro-MD"/>
              </w:rPr>
              <w:t>Şubă Alexandru</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 xml:space="preserve"> </w:t>
            </w:r>
            <w:r>
              <w:rPr>
                <w:rFonts w:cs="Times New Roman CE" w:ascii="Times New Roman CE" w:hAnsi="Times New Roman CE"/>
                <w:sz w:val="22"/>
                <w:szCs w:val="22"/>
                <w:lang w:val="ro-MD"/>
              </w:rPr>
              <w:t>UST (cu sediul la Chişinău)</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sz w:val="21"/>
                <w:szCs w:val="21"/>
                <w:lang w:val="ro-MD"/>
              </w:rPr>
              <w:t>Ciclul II – masterat</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Ecuaţii diferenţiale cu derivate parţiale.</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1"/>
                <w:szCs w:val="21"/>
                <w:lang w:val="ro-MD"/>
              </w:rPr>
              <w:t>Şubă Alexandru</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UST (cu sediul la Chişinău)</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1"/>
                <w:szCs w:val="21"/>
                <w:lang w:val="ro-MD"/>
              </w:rPr>
              <w:t>Ciclul I- licenţă</w:t>
            </w:r>
          </w:p>
          <w:p>
            <w:pPr>
              <w:pStyle w:val="Normal"/>
              <w:widowControl/>
              <w:tabs>
                <w:tab w:val="left" w:pos="709" w:leader="none"/>
              </w:tabs>
              <w:bidi w:val="0"/>
              <w:spacing w:before="0" w:after="120"/>
              <w:ind w:left="0" w:right="0" w:hanging="0"/>
              <w:jc w:val="both"/>
              <w:textAlignment w:val="auto"/>
              <w:rPr>
                <w:rFonts w:ascii="Times New Roman" w:hAnsi="Times New Roman"/>
                <w:sz w:val="21"/>
                <w:szCs w:val="21"/>
                <w:lang w:val="ro-MD"/>
              </w:rPr>
            </w:pPr>
            <w:r>
              <w:rPr>
                <w:sz w:val="21"/>
                <w:szCs w:val="21"/>
                <w:lang w:val="ro-MD"/>
              </w:rPr>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Ecuaţii diferenţiale şi algebre</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sz w:val="22"/>
                <w:szCs w:val="22"/>
                <w:lang w:val="ro-MD"/>
              </w:rPr>
              <w:t>Popa Mihail</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ind w:left="0" w:right="0" w:hanging="0"/>
              <w:jc w:val="both"/>
              <w:textAlignment w:val="auto"/>
              <w:rPr>
                <w:lang w:val="ro-MD"/>
              </w:rPr>
            </w:pPr>
            <w:r>
              <w:rPr>
                <w:rFonts w:cs="Times New Roman CE" w:ascii="Times New Roman CE" w:hAnsi="Times New Roman CE"/>
                <w:sz w:val="22"/>
                <w:szCs w:val="22"/>
                <w:lang w:val="ro-MD"/>
              </w:rPr>
              <w:t>Universitatea de Stat „Ion Creangă”</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1"/>
                <w:szCs w:val="21"/>
                <w:lang w:val="ro-MD"/>
              </w:rPr>
              <w:t>Ciclul I- licenţă</w:t>
            </w:r>
          </w:p>
          <w:p>
            <w:pPr>
              <w:pStyle w:val="Normal"/>
              <w:widowControl/>
              <w:tabs>
                <w:tab w:val="left" w:pos="709" w:leader="none"/>
              </w:tabs>
              <w:bidi w:val="0"/>
              <w:spacing w:before="0" w:after="120"/>
              <w:ind w:left="0" w:right="0" w:hanging="0"/>
              <w:jc w:val="both"/>
              <w:textAlignment w:val="auto"/>
              <w:rPr>
                <w:rFonts w:ascii="Times New Roman" w:hAnsi="Times New Roman"/>
                <w:sz w:val="21"/>
                <w:szCs w:val="21"/>
                <w:lang w:val="ro-MD"/>
              </w:rPr>
            </w:pPr>
            <w:r>
              <w:rPr>
                <w:sz w:val="21"/>
                <w:szCs w:val="21"/>
                <w:lang w:val="ro-MD"/>
              </w:rPr>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fr-FR"/>
              </w:rPr>
            </w:pPr>
            <w:r>
              <w:rPr>
                <w:rFonts w:cs="Times New Roman CE" w:ascii="Times New Roman CE" w:hAnsi="Times New Roman CE"/>
                <w:lang w:val="fr-FR"/>
              </w:rPr>
              <w:t>Modelare matematică</w:t>
            </w:r>
            <w:r>
              <w:rPr>
                <w:lang w:val="fr-FR"/>
              </w:rPr>
              <w:t xml:space="preserve"> </w:t>
            </w:r>
            <w:r>
              <w:rPr>
                <w:rFonts w:cs="Cambria Math" w:ascii="Cambria Math" w:hAnsi="Cambria Math"/>
                <w:lang w:val="fr-FR"/>
              </w:rPr>
              <w:t>ș</w:t>
            </w:r>
            <w:r>
              <w:rPr>
                <w:lang w:val="fr-FR"/>
              </w:rPr>
              <w:t>i tehnologii de creare soft</w:t>
            </w:r>
            <w:r>
              <w:rPr>
                <w:sz w:val="22"/>
                <w:szCs w:val="22"/>
                <w:lang w:val="fr-FR"/>
              </w:rPr>
              <w:t xml:space="preserve"> (curs nou elaborat)</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sz w:val="21"/>
                <w:szCs w:val="21"/>
                <w:lang w:val="ro-MD"/>
              </w:rPr>
              <w:t>Pricop Victor</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sz w:val="22"/>
                <w:szCs w:val="22"/>
                <w:lang w:val="ro-MD"/>
              </w:rPr>
              <w:t>USM</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sz w:val="21"/>
                <w:szCs w:val="21"/>
                <w:lang w:val="ro-MD"/>
              </w:rPr>
              <w:t>Ciclul II – masterat</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pPr>
            <w:r>
              <w:rPr>
                <w:sz w:val="22"/>
                <w:szCs w:val="22"/>
                <w:lang w:val="ro-MD"/>
              </w:rPr>
              <w:t>Modelarea Imita</w:t>
            </w:r>
            <w:r>
              <w:rPr>
                <w:rFonts w:cs="Times New Roman CE" w:ascii="Times New Roman CE" w:hAnsi="Times New Roman CE"/>
                <w:sz w:val="22"/>
                <w:szCs w:val="22"/>
                <w:lang w:val="ro-RO"/>
              </w:rPr>
              <w:t>ţională</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left"/>
              <w:textAlignment w:val="auto"/>
              <w:rPr>
                <w:lang w:val="ro-MD"/>
              </w:rPr>
            </w:pPr>
            <w:r>
              <w:rPr>
                <w:sz w:val="22"/>
                <w:szCs w:val="22"/>
                <w:lang w:val="ro-MD"/>
              </w:rPr>
              <w:t>Magariu Galina</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sz w:val="22"/>
                <w:szCs w:val="22"/>
                <w:lang w:val="ro-MD"/>
              </w:rPr>
              <w:t>UTM</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1"/>
                <w:szCs w:val="21"/>
                <w:lang w:val="ro-MD"/>
              </w:rPr>
              <w:t>Ciclul I- licenţă</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Limbaje formale şi proiectarea compilatoarelor</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left"/>
              <w:textAlignment w:val="auto"/>
              <w:rPr>
                <w:lang w:val="ro-MD"/>
              </w:rPr>
            </w:pPr>
            <w:r>
              <w:rPr>
                <w:sz w:val="22"/>
                <w:szCs w:val="22"/>
                <w:lang w:val="ro-MD"/>
              </w:rPr>
              <w:t>Ciubotaru Constantin</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UnAŞM</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1"/>
                <w:szCs w:val="21"/>
                <w:lang w:val="ro-MD"/>
              </w:rPr>
              <w:t>Ciclul I- licenţă</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Limbaje formale şi automate</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left"/>
              <w:textAlignment w:val="auto"/>
              <w:rPr>
                <w:lang w:val="ro-MD"/>
              </w:rPr>
            </w:pPr>
            <w:r>
              <w:rPr>
                <w:sz w:val="22"/>
                <w:szCs w:val="22"/>
                <w:lang w:val="ro-MD"/>
              </w:rPr>
              <w:t>Ciubotaru Constantin</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sz w:val="22"/>
                <w:szCs w:val="22"/>
                <w:lang w:val="ro-MD"/>
              </w:rPr>
              <w:t>UTM</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sz w:val="21"/>
                <w:szCs w:val="21"/>
                <w:lang w:val="ro-MD"/>
              </w:rPr>
              <w:t>Ciclul II – masterat</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Programare funcţională</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left"/>
              <w:textAlignment w:val="auto"/>
              <w:rPr>
                <w:lang w:val="ro-MD"/>
              </w:rPr>
            </w:pPr>
            <w:r>
              <w:rPr>
                <w:sz w:val="22"/>
                <w:szCs w:val="22"/>
                <w:lang w:val="ro-MD"/>
              </w:rPr>
              <w:t>Ciubotaru Constantin</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sz w:val="22"/>
                <w:szCs w:val="22"/>
                <w:lang w:val="ro-MD"/>
              </w:rPr>
              <w:t>UST</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sz w:val="21"/>
                <w:szCs w:val="21"/>
                <w:lang w:val="ro-MD"/>
              </w:rPr>
              <w:t>Ciclul II – masterat</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iCs/>
                <w:sz w:val="22"/>
                <w:szCs w:val="22"/>
                <w:lang w:val="ro-MD"/>
              </w:rPr>
              <w:t>Modelarea sistemelor distribuite</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left"/>
              <w:textAlignment w:val="auto"/>
              <w:rPr>
                <w:lang w:val="ro-MD"/>
              </w:rPr>
            </w:pPr>
            <w:r>
              <w:rPr>
                <w:rFonts w:cs="Times New Roman CE" w:ascii="Times New Roman CE" w:hAnsi="Times New Roman CE"/>
                <w:sz w:val="22"/>
                <w:szCs w:val="22"/>
                <w:lang w:val="ro-MD"/>
              </w:rPr>
              <w:t>Ţiţchiev</w:t>
            </w:r>
            <w:r>
              <w:rPr>
                <w:sz w:val="22"/>
                <w:szCs w:val="22"/>
                <w:lang w:val="ro-MD"/>
              </w:rPr>
              <w:t xml:space="preserve"> Inga</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UnAŞM</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1"/>
                <w:szCs w:val="21"/>
                <w:lang w:val="ro-MD"/>
              </w:rPr>
              <w:t>Ciclul I- licenţă</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lang w:val="ro-MD"/>
              </w:rPr>
              <w:t xml:space="preserve">Practica de iniţiere </w:t>
            </w:r>
            <w:r>
              <w:rPr>
                <w:rFonts w:cs="Cambria Math" w:ascii="Cambria Math" w:hAnsi="Cambria Math"/>
                <w:lang w:val="ro-MD"/>
              </w:rPr>
              <w:t>ș</w:t>
            </w:r>
            <w:r>
              <w:rPr>
                <w:lang w:val="ro-MD"/>
              </w:rPr>
              <w:t>i de specializare, 10-25 iunie 2014</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ind w:left="0" w:right="0" w:hanging="0"/>
              <w:jc w:val="left"/>
              <w:textAlignment w:val="auto"/>
              <w:rPr>
                <w:lang w:val="ro-MD"/>
              </w:rPr>
            </w:pPr>
            <w:r>
              <w:rPr>
                <w:lang w:val="ro-MD"/>
              </w:rPr>
              <w:t>dr.hab. Cojocaru Svetlana,</w:t>
            </w:r>
          </w:p>
          <w:p>
            <w:pPr>
              <w:pStyle w:val="Normal"/>
              <w:widowControl/>
              <w:tabs>
                <w:tab w:val="left" w:pos="709" w:leader="none"/>
              </w:tabs>
              <w:bidi w:val="0"/>
              <w:ind w:left="0" w:right="0" w:hanging="0"/>
              <w:jc w:val="left"/>
              <w:textAlignment w:val="auto"/>
              <w:rPr>
                <w:lang w:val="ro-MD"/>
              </w:rPr>
            </w:pPr>
            <w:r>
              <w:rPr>
                <w:sz w:val="22"/>
                <w:szCs w:val="22"/>
                <w:lang w:val="ro-MD"/>
              </w:rPr>
              <w:t xml:space="preserve">dr., </w:t>
            </w:r>
            <w:r>
              <w:rPr>
                <w:lang w:val="ro-MD"/>
              </w:rPr>
              <w:t>Magariu Galina</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Un.AŞM</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Ciclul I- licenţă</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9"/>
              <w:keepNext/>
              <w:widowControl/>
              <w:suppressAutoHyphens w:val="true"/>
              <w:bidi w:val="0"/>
              <w:spacing w:before="240" w:after="120"/>
              <w:ind w:left="0" w:right="0" w:hanging="0"/>
              <w:jc w:val="both"/>
              <w:textAlignment w:val="auto"/>
              <w:rPr>
                <w:lang w:val="ro-MD"/>
              </w:rPr>
            </w:pPr>
            <w:r>
              <w:rPr>
                <w:rFonts w:cs="Times New Roman CE" w:ascii="Times New Roman CE" w:hAnsi="Times New Roman CE"/>
                <w:i w:val="false"/>
                <w:iCs w:val="false"/>
                <w:sz w:val="22"/>
                <w:szCs w:val="22"/>
                <w:lang w:val="ro-MD"/>
              </w:rPr>
              <w:t>Reţele Petri</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Ţiţchiev</w:t>
            </w:r>
            <w:r>
              <w:rPr>
                <w:sz w:val="22"/>
                <w:szCs w:val="22"/>
                <w:lang w:val="ro-MD"/>
              </w:rPr>
              <w:t xml:space="preserve"> Inga</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Un.AŞM</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Ciclul I- licenţă</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Style19"/>
              <w:keepNext/>
              <w:widowControl/>
              <w:suppressAutoHyphens w:val="true"/>
              <w:bidi w:val="0"/>
              <w:spacing w:before="240" w:after="120"/>
              <w:ind w:left="0" w:right="0" w:hanging="0"/>
              <w:jc w:val="both"/>
              <w:textAlignment w:val="auto"/>
              <w:rPr>
                <w:lang w:val="ro-MD"/>
              </w:rPr>
            </w:pPr>
            <w:r>
              <w:rPr>
                <w:rFonts w:cs="Times New Roman CE" w:ascii="Times New Roman CE" w:hAnsi="Times New Roman CE"/>
                <w:i w:val="false"/>
                <w:iCs w:val="false"/>
                <w:sz w:val="22"/>
                <w:szCs w:val="22"/>
                <w:lang w:val="ro-MD"/>
              </w:rPr>
              <w:t>Programare orientată pe obiecte</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Ţiţchiev</w:t>
            </w:r>
            <w:r>
              <w:rPr>
                <w:sz w:val="22"/>
                <w:szCs w:val="22"/>
                <w:lang w:val="ro-MD"/>
              </w:rPr>
              <w:t xml:space="preserve"> Inga</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Un.AŞM</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ind w:left="0" w:right="0" w:hanging="0"/>
              <w:jc w:val="both"/>
              <w:textAlignment w:val="auto"/>
              <w:rPr>
                <w:lang w:val="ro-MD"/>
              </w:rPr>
            </w:pPr>
            <w:r>
              <w:rPr>
                <w:rFonts w:cs="Times New Roman CE" w:ascii="Times New Roman CE" w:hAnsi="Times New Roman CE"/>
                <w:sz w:val="21"/>
                <w:szCs w:val="21"/>
                <w:lang w:val="ro-MD"/>
              </w:rPr>
              <w:t>Ciclul I- licenţă</w:t>
            </w:r>
          </w:p>
          <w:p>
            <w:pPr>
              <w:pStyle w:val="Normal"/>
              <w:widowControl/>
              <w:tabs>
                <w:tab w:val="left" w:pos="709" w:leader="none"/>
              </w:tabs>
              <w:bidi w:val="0"/>
              <w:ind w:left="0" w:right="0" w:hanging="0"/>
              <w:jc w:val="both"/>
              <w:textAlignment w:val="auto"/>
              <w:rPr>
                <w:rFonts w:ascii="Times New Roman" w:hAnsi="Times New Roman"/>
                <w:lang w:val="ro-MD"/>
              </w:rPr>
            </w:pPr>
            <w:r>
              <w:rPr>
                <w:lang w:val="ro-MD"/>
              </w:rPr>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ind w:left="0" w:right="0" w:hanging="0"/>
              <w:jc w:val="both"/>
              <w:textAlignment w:val="auto"/>
              <w:rPr>
                <w:lang w:val="ro-MD"/>
              </w:rPr>
            </w:pPr>
            <w:r>
              <w:rPr>
                <w:lang w:val="ro-MD"/>
              </w:rPr>
              <w:t>Metode matematice de luare</w:t>
            </w:r>
          </w:p>
          <w:p>
            <w:pPr>
              <w:pStyle w:val="Normal"/>
              <w:widowControl/>
              <w:tabs>
                <w:tab w:val="left" w:pos="709" w:leader="none"/>
              </w:tabs>
              <w:bidi w:val="0"/>
              <w:ind w:left="0" w:right="0" w:hanging="0"/>
              <w:jc w:val="both"/>
              <w:textAlignment w:val="auto"/>
              <w:rPr>
                <w:lang w:val="ro-MD"/>
              </w:rPr>
            </w:pPr>
            <w:r>
              <w:rPr>
                <w:lang w:val="ro-MD"/>
              </w:rPr>
              <w:t xml:space="preserve"> </w:t>
            </w:r>
            <w:r>
              <w:rPr>
                <w:lang w:val="ro-MD"/>
              </w:rPr>
              <w:t>a deciziilor</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ind w:left="0" w:right="0" w:hanging="0"/>
              <w:jc w:val="both"/>
              <w:textAlignment w:val="auto"/>
              <w:rPr>
                <w:lang w:val="ro-MD"/>
              </w:rPr>
            </w:pPr>
            <w:r>
              <w:rPr>
                <w:lang w:val="ro-MD"/>
              </w:rPr>
              <w:t>Gaindric Constantin</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 xml:space="preserve">UnAŞM, </w:t>
            </w:r>
            <w:r>
              <w:rPr>
                <w:sz w:val="22"/>
                <w:szCs w:val="22"/>
                <w:lang w:val="ro-MD"/>
              </w:rPr>
              <w:t>Facultat</w:t>
            </w:r>
            <w:r>
              <w:rPr>
                <w:rFonts w:cs="Times New Roman CE" w:ascii="Times New Roman CE" w:hAnsi="Times New Roman CE"/>
                <w:sz w:val="22"/>
                <w:szCs w:val="22"/>
                <w:lang w:val="ro-MD"/>
              </w:rPr>
              <w:t>ea Ştiinţe Exacte</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sz w:val="22"/>
                <w:szCs w:val="22"/>
                <w:lang w:val="ro-MD"/>
              </w:rPr>
              <w:t>Ciclul III -doctorat</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es-ES"/>
              </w:rPr>
            </w:pPr>
            <w:r>
              <w:rPr>
                <w:rStyle w:val="Rvts7"/>
                <w:rFonts w:cs="Times New Roman CE" w:ascii="Times New Roman CE" w:hAnsi="Times New Roman CE"/>
                <w:lang w:val="es-ES"/>
              </w:rPr>
              <w:t>Teoria măsurii şi integrala Lebesgue</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pPr>
            <w:r>
              <w:rPr>
                <w:sz w:val="22"/>
                <w:szCs w:val="22"/>
                <w:lang w:val="ro-MD"/>
              </w:rPr>
              <w:t>Corlat Andrei</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UnAŞM, Facultatea Ştiinţe Exacte</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pPr>
            <w:r>
              <w:rPr>
                <w:sz w:val="22"/>
                <w:szCs w:val="22"/>
                <w:lang w:val="ro-MD"/>
              </w:rPr>
              <w:t>Ciclul III -doctorat</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es-ES"/>
              </w:rPr>
            </w:pPr>
            <w:r>
              <w:rPr>
                <w:rStyle w:val="Rvts7"/>
                <w:rFonts w:cs="Times New Roman CE" w:ascii="Times New Roman CE" w:hAnsi="Times New Roman CE"/>
                <w:lang w:val="es-ES"/>
              </w:rPr>
              <w:t>Teoria probabilităţilor şi aplicaţii</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pPr>
            <w:r>
              <w:rPr>
                <w:sz w:val="22"/>
                <w:szCs w:val="22"/>
                <w:lang w:val="ro-MD"/>
              </w:rPr>
              <w:t>Corlat Andrei</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sz w:val="22"/>
                <w:szCs w:val="22"/>
                <w:lang w:val="ro-MD"/>
              </w:rPr>
              <w:t>USM</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Ciclul I- licenţă</w:t>
            </w:r>
          </w:p>
          <w:p>
            <w:pPr>
              <w:pStyle w:val="Normal"/>
              <w:widowControl/>
              <w:tabs>
                <w:tab w:val="left" w:pos="709" w:leader="none"/>
              </w:tabs>
              <w:bidi w:val="0"/>
              <w:spacing w:before="0" w:after="120"/>
              <w:ind w:left="0" w:right="0" w:hanging="0"/>
              <w:jc w:val="both"/>
              <w:textAlignment w:val="auto"/>
              <w:rPr>
                <w:lang w:val="ro-MD"/>
              </w:rPr>
            </w:pPr>
            <w:r>
              <w:rPr>
                <w:sz w:val="22"/>
                <w:szCs w:val="22"/>
                <w:lang w:val="ro-MD"/>
              </w:rPr>
              <w:t>Ciclul II masterat</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Inele şi module</w:t>
            </w:r>
          </w:p>
          <w:p>
            <w:pPr>
              <w:pStyle w:val="Normal"/>
              <w:widowControl/>
              <w:tabs>
                <w:tab w:val="left" w:pos="709" w:leader="none"/>
              </w:tabs>
              <w:bidi w:val="0"/>
              <w:spacing w:before="0" w:after="120"/>
              <w:ind w:left="0" w:right="0" w:hanging="0"/>
              <w:jc w:val="both"/>
              <w:textAlignment w:val="auto"/>
              <w:rPr>
                <w:lang w:val="ro-MD"/>
              </w:rPr>
            </w:pPr>
            <w:r>
              <w:rPr>
                <w:rFonts w:cs="Times New Roman CE" w:ascii="Times New Roman CE" w:hAnsi="Times New Roman CE"/>
                <w:sz w:val="22"/>
                <w:szCs w:val="22"/>
                <w:lang w:val="ro-MD"/>
              </w:rPr>
              <w:t>Întroducere în teoria laticelor</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RO"/>
              </w:rPr>
            </w:pPr>
            <w:r>
              <w:rPr>
                <w:rFonts w:cs="Times New Roman CE" w:ascii="Times New Roman CE" w:hAnsi="Times New Roman CE"/>
                <w:sz w:val="22"/>
                <w:szCs w:val="22"/>
                <w:lang w:val="ro-RO"/>
              </w:rPr>
              <w:t>Caşu Alexei</w:t>
            </w:r>
          </w:p>
          <w:p>
            <w:pPr>
              <w:pStyle w:val="Normal"/>
              <w:widowControl/>
              <w:tabs>
                <w:tab w:val="left" w:pos="709" w:leader="none"/>
              </w:tabs>
              <w:bidi w:val="0"/>
              <w:spacing w:before="0" w:after="120"/>
              <w:ind w:left="0" w:right="0" w:hanging="0"/>
              <w:jc w:val="both"/>
              <w:textAlignment w:val="auto"/>
              <w:rPr>
                <w:lang w:val="ro-RO"/>
              </w:rPr>
            </w:pPr>
            <w:r>
              <w:rPr>
                <w:rFonts w:cs="Times New Roman CE" w:ascii="Times New Roman CE" w:hAnsi="Times New Roman CE"/>
                <w:sz w:val="22"/>
                <w:szCs w:val="22"/>
                <w:lang w:val="ro-RO"/>
              </w:rPr>
              <w:t>Caşu Alexei</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Autospacing="1" w:after="120"/>
              <w:ind w:left="0" w:right="0" w:hanging="0"/>
              <w:jc w:val="left"/>
              <w:textAlignment w:val="auto"/>
              <w:rPr>
                <w:lang w:val="ro-MD"/>
              </w:rPr>
            </w:pPr>
            <w:r>
              <w:rPr>
                <w:sz w:val="22"/>
                <w:szCs w:val="22"/>
                <w:lang w:val="ro-MD" w:eastAsia="ro-RO"/>
              </w:rPr>
              <w:t> </w:t>
            </w:r>
            <w:r>
              <w:rPr>
                <w:sz w:val="22"/>
                <w:szCs w:val="22"/>
                <w:lang w:val="ro-MD" w:eastAsia="ro-RO"/>
              </w:rPr>
              <w:t>Universitatea Agrar</w:t>
            </w:r>
            <w:r>
              <w:rPr>
                <w:rFonts w:cs="Times New Roman CE" w:ascii="Times New Roman CE" w:hAnsi="Times New Roman CE"/>
                <w:sz w:val="22"/>
                <w:szCs w:val="22"/>
                <w:lang w:val="sv-SE" w:eastAsia="ro-RO"/>
              </w:rPr>
              <w:t>ă de Stat din Moldova</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Autospacing="1" w:after="120"/>
              <w:ind w:left="0" w:right="0" w:hanging="0"/>
              <w:jc w:val="left"/>
              <w:textAlignment w:val="auto"/>
              <w:rPr>
                <w:lang w:val="ro-MD"/>
              </w:rPr>
            </w:pPr>
            <w:r>
              <w:rPr>
                <w:rFonts w:cs="Times New Roman CE" w:ascii="Times New Roman CE" w:hAnsi="Times New Roman CE"/>
                <w:sz w:val="22"/>
                <w:szCs w:val="22"/>
                <w:lang w:val="ro-MD" w:eastAsia="ro-RO"/>
              </w:rPr>
              <w:t> </w:t>
            </w:r>
            <w:r>
              <w:rPr>
                <w:rFonts w:cs="Times New Roman CE" w:ascii="Times New Roman CE" w:hAnsi="Times New Roman CE"/>
                <w:sz w:val="22"/>
                <w:szCs w:val="22"/>
                <w:lang w:val="ro-MD" w:eastAsia="ro-RO"/>
              </w:rPr>
              <w:t>Ciclul I- licenţă</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Autospacing="1" w:after="120"/>
              <w:ind w:left="0" w:right="0" w:hanging="0"/>
              <w:jc w:val="left"/>
              <w:textAlignment w:val="auto"/>
              <w:rPr>
                <w:lang w:val="ro-MD"/>
              </w:rPr>
            </w:pPr>
            <w:r>
              <w:rPr>
                <w:rFonts w:cs="Times New Roman CE" w:ascii="Times New Roman CE" w:hAnsi="Times New Roman CE"/>
                <w:sz w:val="22"/>
                <w:szCs w:val="22"/>
                <w:lang w:val="ro-MD" w:eastAsia="ro-RO"/>
              </w:rPr>
              <w:t> </w:t>
            </w:r>
            <w:r>
              <w:rPr>
                <w:rFonts w:cs="Times New Roman CE" w:ascii="Times New Roman CE" w:hAnsi="Times New Roman CE"/>
                <w:sz w:val="22"/>
                <w:szCs w:val="22"/>
                <w:lang w:val="ro-MD" w:eastAsia="ro-RO"/>
              </w:rPr>
              <w:t>Mecanica Teoretică</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Autospacing="1" w:after="120"/>
              <w:ind w:left="0" w:right="0" w:hanging="0"/>
              <w:jc w:val="both"/>
              <w:textAlignment w:val="auto"/>
              <w:rPr>
                <w:lang w:val="ro-MD"/>
              </w:rPr>
            </w:pPr>
            <w:r>
              <w:rPr>
                <w:rFonts w:cs="Times New Roman CE" w:ascii="Times New Roman CE" w:hAnsi="Times New Roman CE"/>
                <w:sz w:val="22"/>
                <w:szCs w:val="22"/>
                <w:lang w:val="ro-MD" w:eastAsia="ro-RO"/>
              </w:rPr>
              <w:t>Şeremet Victor</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Autospacing="1" w:after="120"/>
              <w:ind w:left="0" w:right="0" w:hanging="0"/>
              <w:jc w:val="left"/>
              <w:textAlignment w:val="auto"/>
              <w:rPr>
                <w:lang w:val="ro-MD"/>
              </w:rPr>
            </w:pPr>
            <w:r>
              <w:rPr>
                <w:sz w:val="22"/>
                <w:szCs w:val="22"/>
                <w:lang w:val="ro-MD" w:eastAsia="ro-RO"/>
              </w:rPr>
              <w:t> </w:t>
            </w:r>
            <w:r>
              <w:rPr>
                <w:sz w:val="22"/>
                <w:szCs w:val="22"/>
                <w:lang w:val="ro-MD" w:eastAsia="ro-RO"/>
              </w:rPr>
              <w:t>Universitatea Agrar</w:t>
            </w:r>
            <w:r>
              <w:rPr>
                <w:rFonts w:cs="Times New Roman CE" w:ascii="Times New Roman CE" w:hAnsi="Times New Roman CE"/>
                <w:sz w:val="22"/>
                <w:szCs w:val="22"/>
                <w:lang w:val="sv-SE" w:eastAsia="ro-RO"/>
              </w:rPr>
              <w:t>ă de Stat din Moldova</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Autospacing="1" w:after="120"/>
              <w:ind w:left="0" w:right="0" w:hanging="0"/>
              <w:jc w:val="left"/>
              <w:textAlignment w:val="auto"/>
              <w:rPr>
                <w:lang w:val="sv-SE"/>
              </w:rPr>
            </w:pPr>
            <w:r>
              <w:rPr>
                <w:sz w:val="22"/>
                <w:szCs w:val="22"/>
                <w:lang w:val="sv-SE" w:eastAsia="ro-RO"/>
              </w:rPr>
              <w:t> </w:t>
            </w:r>
            <w:r>
              <w:rPr>
                <w:rFonts w:cs="Times New Roman CE" w:ascii="Times New Roman CE" w:hAnsi="Times New Roman CE"/>
                <w:sz w:val="22"/>
                <w:szCs w:val="22"/>
                <w:lang w:val="ro-MD" w:eastAsia="ro-RO"/>
              </w:rPr>
              <w:t>Ciclul I- licenţă</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Autospacing="1" w:after="120"/>
              <w:ind w:left="0" w:right="0" w:hanging="0"/>
              <w:jc w:val="left"/>
              <w:textAlignment w:val="auto"/>
              <w:rPr/>
            </w:pPr>
            <w:r>
              <w:rPr>
                <w:rFonts w:cs="Times New Roman CE" w:ascii="Times New Roman CE" w:hAnsi="Times New Roman CE"/>
                <w:sz w:val="22"/>
                <w:szCs w:val="22"/>
                <w:lang w:eastAsia="ro-RO"/>
              </w:rPr>
              <w:t> </w:t>
            </w:r>
            <w:r>
              <w:rPr>
                <w:rFonts w:cs="Times New Roman CE" w:ascii="Times New Roman CE" w:hAnsi="Times New Roman CE"/>
                <w:sz w:val="22"/>
                <w:szCs w:val="22"/>
                <w:lang w:eastAsia="ro-RO"/>
              </w:rPr>
              <w:t>Rezistenţa Materialelor</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Autospacing="1" w:after="120"/>
              <w:ind w:left="0" w:right="0" w:hanging="0"/>
              <w:jc w:val="both"/>
              <w:textAlignment w:val="auto"/>
              <w:rPr>
                <w:lang w:val="ro-MD"/>
              </w:rPr>
            </w:pPr>
            <w:r>
              <w:rPr>
                <w:rFonts w:cs="Times New Roman CE" w:ascii="Times New Roman CE" w:hAnsi="Times New Roman CE"/>
                <w:sz w:val="22"/>
                <w:szCs w:val="22"/>
                <w:lang w:val="ro-MD" w:eastAsia="ro-RO"/>
              </w:rPr>
              <w:t>Şeremet Victor</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Autospacing="1" w:after="120"/>
              <w:ind w:left="0" w:right="0" w:hanging="0"/>
              <w:jc w:val="left"/>
              <w:textAlignment w:val="auto"/>
              <w:rPr>
                <w:lang w:val="ro-MD"/>
              </w:rPr>
            </w:pPr>
            <w:r>
              <w:rPr>
                <w:sz w:val="22"/>
                <w:szCs w:val="22"/>
                <w:lang w:val="ro-MD" w:eastAsia="ro-RO"/>
              </w:rPr>
              <w:t> </w:t>
            </w:r>
            <w:r>
              <w:rPr>
                <w:sz w:val="22"/>
                <w:szCs w:val="22"/>
                <w:lang w:val="ro-MD" w:eastAsia="ro-RO"/>
              </w:rPr>
              <w:t>Universitatea Agrar</w:t>
            </w:r>
            <w:r>
              <w:rPr>
                <w:rFonts w:cs="Times New Roman CE" w:ascii="Times New Roman CE" w:hAnsi="Times New Roman CE"/>
                <w:sz w:val="22"/>
                <w:szCs w:val="22"/>
                <w:lang w:val="sv-SE" w:eastAsia="ro-RO"/>
              </w:rPr>
              <w:t>ă de Stat din Moldova</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Autospacing="1" w:after="120"/>
              <w:ind w:left="0" w:right="0" w:hanging="0"/>
              <w:jc w:val="left"/>
              <w:textAlignment w:val="auto"/>
              <w:rPr>
                <w:lang w:val="sv-SE"/>
              </w:rPr>
            </w:pPr>
            <w:r>
              <w:rPr>
                <w:sz w:val="22"/>
                <w:szCs w:val="22"/>
                <w:lang w:val="sv-SE" w:eastAsia="ro-RO"/>
              </w:rPr>
              <w:t> </w:t>
            </w:r>
            <w:r>
              <w:rPr>
                <w:rFonts w:cs="Times New Roman CE" w:ascii="Times New Roman CE" w:hAnsi="Times New Roman CE"/>
                <w:sz w:val="22"/>
                <w:szCs w:val="22"/>
                <w:lang w:val="ro-MD" w:eastAsia="ro-RO"/>
              </w:rPr>
              <w:t>Ciclul I- licenţă</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Autospacing="1" w:after="120"/>
              <w:ind w:left="0" w:right="0" w:hanging="0"/>
              <w:jc w:val="both"/>
              <w:textAlignment w:val="auto"/>
              <w:rPr/>
            </w:pPr>
            <w:r>
              <w:rPr>
                <w:sz w:val="22"/>
                <w:szCs w:val="22"/>
                <w:lang w:eastAsia="ro-RO"/>
              </w:rPr>
              <w:t> </w:t>
            </w:r>
            <w:r>
              <w:rPr>
                <w:sz w:val="22"/>
                <w:szCs w:val="22"/>
                <w:lang w:eastAsia="ro-RO"/>
              </w:rPr>
              <w:t>Statica Structurilor</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Autospacing="1" w:after="120"/>
              <w:ind w:left="0" w:right="0" w:hanging="0"/>
              <w:jc w:val="both"/>
              <w:textAlignment w:val="auto"/>
              <w:rPr>
                <w:lang w:val="ro-MD"/>
              </w:rPr>
            </w:pPr>
            <w:r>
              <w:rPr>
                <w:rFonts w:cs="Times New Roman CE" w:ascii="Times New Roman CE" w:hAnsi="Times New Roman CE"/>
                <w:sz w:val="22"/>
                <w:szCs w:val="22"/>
                <w:lang w:val="ro-MD" w:eastAsia="ro-RO"/>
              </w:rPr>
              <w:t>Şeremet Victor</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Autospacing="1" w:after="120"/>
              <w:ind w:left="0" w:right="0" w:hanging="0"/>
              <w:jc w:val="left"/>
              <w:textAlignment w:val="auto"/>
              <w:rPr>
                <w:lang w:val="ro-MD"/>
              </w:rPr>
            </w:pPr>
            <w:r>
              <w:rPr>
                <w:sz w:val="22"/>
                <w:szCs w:val="22"/>
                <w:lang w:val="ro-MD" w:eastAsia="ro-RO"/>
              </w:rPr>
              <w:t> </w:t>
            </w:r>
            <w:r>
              <w:rPr>
                <w:sz w:val="22"/>
                <w:szCs w:val="22"/>
                <w:lang w:val="ro-MD" w:eastAsia="ro-RO"/>
              </w:rPr>
              <w:t>Universitatea Agrar</w:t>
            </w:r>
            <w:r>
              <w:rPr>
                <w:rFonts w:cs="Times New Roman CE" w:ascii="Times New Roman CE" w:hAnsi="Times New Roman CE"/>
                <w:sz w:val="22"/>
                <w:szCs w:val="22"/>
                <w:lang w:val="sv-SE" w:eastAsia="ro-RO"/>
              </w:rPr>
              <w:t>ă de Stat din Moldova</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Autospacing="1" w:after="120"/>
              <w:ind w:left="0" w:right="0" w:hanging="0"/>
              <w:jc w:val="left"/>
              <w:textAlignment w:val="auto"/>
              <w:rPr>
                <w:lang w:val="sv-SE"/>
              </w:rPr>
            </w:pPr>
            <w:r>
              <w:rPr>
                <w:sz w:val="22"/>
                <w:szCs w:val="22"/>
                <w:lang w:val="sv-SE" w:eastAsia="ro-RO"/>
              </w:rPr>
              <w:t> </w:t>
            </w:r>
            <w:r>
              <w:rPr>
                <w:rFonts w:cs="Times New Roman CE" w:ascii="Times New Roman CE" w:hAnsi="Times New Roman CE"/>
                <w:sz w:val="22"/>
                <w:szCs w:val="22"/>
                <w:lang w:val="ro-MD" w:eastAsia="ro-RO"/>
              </w:rPr>
              <w:t>Ciclul I- licenţă</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Autospacing="1" w:after="120"/>
              <w:ind w:left="0" w:right="0" w:hanging="0"/>
              <w:jc w:val="both"/>
              <w:textAlignment w:val="auto"/>
              <w:rPr/>
            </w:pPr>
            <w:r>
              <w:rPr>
                <w:rFonts w:cs="Times New Roman CE" w:ascii="Times New Roman CE" w:hAnsi="Times New Roman CE"/>
                <w:sz w:val="22"/>
                <w:szCs w:val="22"/>
                <w:lang w:eastAsia="ro-RO"/>
              </w:rPr>
              <w:t> </w:t>
            </w:r>
            <w:r>
              <w:rPr>
                <w:rFonts w:cs="Times New Roman CE" w:ascii="Times New Roman CE" w:hAnsi="Times New Roman CE"/>
                <w:sz w:val="22"/>
                <w:szCs w:val="22"/>
                <w:lang w:eastAsia="ro-RO"/>
              </w:rPr>
              <w:t>Geotehnică şi Fundaţii</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Autospacing="1" w:after="120"/>
              <w:ind w:left="0" w:right="0" w:hanging="0"/>
              <w:jc w:val="both"/>
              <w:textAlignment w:val="auto"/>
              <w:rPr>
                <w:lang w:val="ro-MD"/>
              </w:rPr>
            </w:pPr>
            <w:r>
              <w:rPr>
                <w:rFonts w:cs="Times New Roman CE" w:ascii="Times New Roman CE" w:hAnsi="Times New Roman CE"/>
                <w:sz w:val="22"/>
                <w:szCs w:val="22"/>
                <w:lang w:val="ro-MD" w:eastAsia="ro-RO"/>
              </w:rPr>
              <w:t>Şeremet Victor</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Autospacing="1" w:after="120"/>
              <w:ind w:left="0" w:right="0" w:hanging="0"/>
              <w:jc w:val="left"/>
              <w:textAlignment w:val="auto"/>
              <w:rPr>
                <w:lang w:val="ro-MD"/>
              </w:rPr>
            </w:pPr>
            <w:r>
              <w:rPr>
                <w:sz w:val="22"/>
                <w:szCs w:val="22"/>
                <w:lang w:val="ro-MD" w:eastAsia="ro-RO"/>
              </w:rPr>
              <w:t> </w:t>
            </w:r>
            <w:r>
              <w:rPr>
                <w:sz w:val="22"/>
                <w:szCs w:val="22"/>
                <w:lang w:val="ro-MD" w:eastAsia="ro-RO"/>
              </w:rPr>
              <w:t>Universitatea Agrar</w:t>
            </w:r>
            <w:r>
              <w:rPr>
                <w:rFonts w:cs="Times New Roman CE" w:ascii="Times New Roman CE" w:hAnsi="Times New Roman CE"/>
                <w:sz w:val="22"/>
                <w:szCs w:val="22"/>
                <w:lang w:val="sv-SE" w:eastAsia="ro-RO"/>
              </w:rPr>
              <w:t>ă de Stat din Moldova</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Autospacing="1" w:after="120"/>
              <w:ind w:left="0" w:right="0" w:hanging="0"/>
              <w:jc w:val="left"/>
              <w:textAlignment w:val="auto"/>
              <w:rPr>
                <w:lang w:val="ro-MD"/>
              </w:rPr>
            </w:pPr>
            <w:r>
              <w:rPr>
                <w:sz w:val="22"/>
                <w:szCs w:val="22"/>
                <w:lang w:val="ro-MD" w:eastAsia="ro-RO"/>
              </w:rPr>
              <w:t> </w:t>
            </w:r>
            <w:r>
              <w:rPr>
                <w:sz w:val="22"/>
                <w:szCs w:val="22"/>
                <w:lang w:val="ro-MD" w:eastAsia="ro-RO"/>
              </w:rPr>
              <w:t>Ciclul I- licen</w:t>
            </w:r>
            <w:r>
              <w:rPr>
                <w:rFonts w:cs="Times New Roman CE" w:ascii="Times New Roman CE" w:hAnsi="Times New Roman CE"/>
                <w:sz w:val="22"/>
                <w:szCs w:val="22"/>
                <w:lang w:val="ro-MD" w:eastAsia="ro-RO"/>
              </w:rPr>
              <w:t>ţă</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Autospacing="1" w:after="120"/>
              <w:ind w:left="0" w:right="0" w:hanging="0"/>
              <w:jc w:val="both"/>
              <w:textAlignment w:val="auto"/>
              <w:rPr/>
            </w:pPr>
            <w:r>
              <w:rPr>
                <w:rFonts w:cs="Times New Roman CE" w:ascii="Times New Roman CE" w:hAnsi="Times New Roman CE"/>
                <w:sz w:val="22"/>
                <w:szCs w:val="22"/>
                <w:lang w:eastAsia="ro-RO"/>
              </w:rPr>
              <w:t> </w:t>
            </w:r>
            <w:r>
              <w:rPr>
                <w:rFonts w:cs="Times New Roman CE" w:ascii="Times New Roman CE" w:hAnsi="Times New Roman CE"/>
                <w:sz w:val="22"/>
                <w:szCs w:val="22"/>
                <w:lang w:eastAsia="ro-RO"/>
              </w:rPr>
              <w:t>Construcţii Inginereşti</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Autospacing="1" w:after="120"/>
              <w:ind w:left="0" w:right="0" w:hanging="0"/>
              <w:jc w:val="both"/>
              <w:textAlignment w:val="auto"/>
              <w:rPr>
                <w:lang w:val="ro-MD"/>
              </w:rPr>
            </w:pPr>
            <w:r>
              <w:rPr>
                <w:rFonts w:cs="Times New Roman CE" w:ascii="Times New Roman CE" w:hAnsi="Times New Roman CE"/>
                <w:sz w:val="22"/>
                <w:szCs w:val="22"/>
                <w:lang w:val="ro-MD" w:eastAsia="ro-RO"/>
              </w:rPr>
              <w:t>Şeremet Victor</w:t>
            </w:r>
          </w:p>
        </w:tc>
      </w:tr>
      <w:tr>
        <w:trPr>
          <w:trHeight w:val="520" w:hRule="atLeast"/>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ind w:left="0" w:right="0" w:hanging="0"/>
              <w:jc w:val="left"/>
              <w:textAlignment w:val="auto"/>
              <w:rPr>
                <w:lang w:val="ro-MD"/>
              </w:rPr>
            </w:pPr>
            <w:r>
              <w:rPr>
                <w:sz w:val="22"/>
                <w:szCs w:val="22"/>
                <w:lang w:val="ro-MD"/>
              </w:rPr>
              <w:t>Universitatea. Transnistria Tiraspol</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Autospacing="1" w:after="120"/>
              <w:ind w:left="0" w:right="0" w:hanging="0"/>
              <w:jc w:val="left"/>
              <w:textAlignment w:val="auto"/>
              <w:rPr>
                <w:lang w:val="ro-MD"/>
              </w:rPr>
            </w:pPr>
            <w:r>
              <w:rPr>
                <w:sz w:val="22"/>
                <w:szCs w:val="22"/>
                <w:lang w:val="ro-MD"/>
              </w:rPr>
              <w:t>Ciclul I-II</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left"/>
              <w:textAlignment w:val="auto"/>
              <w:rPr/>
            </w:pPr>
            <w:r>
              <w:rPr>
                <w:sz w:val="22"/>
                <w:szCs w:val="22"/>
              </w:rPr>
              <w:t>Алгебраические системы</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lineRule="auto" w:line="360"/>
              <w:ind w:left="0" w:right="0" w:hanging="0"/>
              <w:jc w:val="both"/>
              <w:textAlignment w:val="auto"/>
              <w:rPr>
                <w:lang w:val="ro-MD"/>
              </w:rPr>
            </w:pPr>
            <w:r>
              <w:rPr>
                <w:sz w:val="22"/>
                <w:szCs w:val="22"/>
                <w:lang w:val="ro-MD"/>
              </w:rPr>
              <w:t>Reabuhin Iurii</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Autospacing="1" w:after="120"/>
              <w:ind w:left="0" w:right="0" w:hanging="0"/>
              <w:jc w:val="left"/>
              <w:textAlignment w:val="auto"/>
              <w:rPr>
                <w:lang w:val="ro-MD"/>
              </w:rPr>
            </w:pPr>
            <w:r>
              <w:rPr>
                <w:sz w:val="22"/>
                <w:szCs w:val="22"/>
                <w:lang w:val="ro-MD"/>
              </w:rPr>
              <w:t>Universitatea. Transnistria Tiraspol</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Autospacing="1" w:after="120"/>
              <w:ind w:left="0" w:right="0" w:hanging="0"/>
              <w:jc w:val="left"/>
              <w:textAlignment w:val="auto"/>
              <w:rPr>
                <w:lang w:val="ro-MD"/>
              </w:rPr>
            </w:pPr>
            <w:r>
              <w:rPr>
                <w:sz w:val="22"/>
                <w:szCs w:val="22"/>
                <w:lang w:val="ro-MD"/>
              </w:rPr>
              <w:t>Ciclul I-II</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left"/>
              <w:textAlignment w:val="auto"/>
              <w:rPr/>
            </w:pPr>
            <w:r>
              <w:rPr>
                <w:sz w:val="22"/>
                <w:szCs w:val="22"/>
              </w:rPr>
              <w:t>Конструкции колец</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Autospacing="1" w:after="120"/>
              <w:ind w:left="0" w:right="0" w:hanging="0"/>
              <w:jc w:val="both"/>
              <w:textAlignment w:val="auto"/>
              <w:rPr>
                <w:lang w:val="ro-MD"/>
              </w:rPr>
            </w:pPr>
            <w:r>
              <w:rPr>
                <w:sz w:val="22"/>
                <w:szCs w:val="22"/>
                <w:lang w:val="ro-MD"/>
              </w:rPr>
              <w:t>Reabuhin Iurii</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Autospacing="1" w:after="120"/>
              <w:ind w:left="0" w:right="0" w:hanging="0"/>
              <w:jc w:val="left"/>
              <w:textAlignment w:val="auto"/>
              <w:rPr>
                <w:lang w:val="ro-MD"/>
              </w:rPr>
            </w:pPr>
            <w:r>
              <w:rPr>
                <w:sz w:val="22"/>
                <w:szCs w:val="22"/>
                <w:lang w:val="ro-MD"/>
              </w:rPr>
              <w:t>Universitatea. Transnistria Tiraspol</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Autospacing="1" w:after="120"/>
              <w:ind w:left="0" w:right="0" w:hanging="0"/>
              <w:jc w:val="left"/>
              <w:textAlignment w:val="auto"/>
              <w:rPr>
                <w:lang w:val="ro-MD"/>
              </w:rPr>
            </w:pPr>
            <w:r>
              <w:rPr>
                <w:sz w:val="22"/>
                <w:szCs w:val="22"/>
                <w:lang w:val="ro-MD"/>
              </w:rPr>
              <w:t>Ciclul I-II</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Autospacing="1" w:after="120"/>
              <w:ind w:left="0" w:right="0" w:hanging="0"/>
              <w:jc w:val="both"/>
              <w:textAlignment w:val="auto"/>
              <w:rPr/>
            </w:pPr>
            <w:r>
              <w:rPr>
                <w:sz w:val="22"/>
                <w:szCs w:val="22"/>
              </w:rPr>
              <w:t>Теория групп</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Autospacing="1" w:after="120"/>
              <w:ind w:left="0" w:right="0" w:hanging="0"/>
              <w:jc w:val="both"/>
              <w:textAlignment w:val="auto"/>
              <w:rPr>
                <w:lang w:val="ro-MD"/>
              </w:rPr>
            </w:pPr>
            <w:r>
              <w:rPr>
                <w:sz w:val="22"/>
                <w:szCs w:val="22"/>
                <w:lang w:val="ro-MD"/>
              </w:rPr>
              <w:t>Reabuhin Iurii</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Autospacing="1" w:after="120"/>
              <w:ind w:left="0" w:right="0" w:hanging="0"/>
              <w:jc w:val="left"/>
              <w:textAlignment w:val="auto"/>
              <w:rPr>
                <w:lang w:val="ro-MD"/>
              </w:rPr>
            </w:pPr>
            <w:r>
              <w:rPr>
                <w:sz w:val="22"/>
                <w:szCs w:val="22"/>
                <w:lang w:val="ro-MD"/>
              </w:rPr>
              <w:t>Universitatea. Transnistria Tiraspol</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Autospacing="1" w:after="120"/>
              <w:ind w:left="0" w:right="0" w:hanging="0"/>
              <w:jc w:val="left"/>
              <w:textAlignment w:val="auto"/>
              <w:rPr>
                <w:lang w:val="ro-MD"/>
              </w:rPr>
            </w:pPr>
            <w:r>
              <w:rPr>
                <w:sz w:val="22"/>
                <w:szCs w:val="22"/>
                <w:lang w:val="ro-MD"/>
              </w:rPr>
              <w:t>Ciclul I-II</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Autospacing="1" w:after="120"/>
              <w:ind w:left="0" w:right="0" w:hanging="0"/>
              <w:jc w:val="both"/>
              <w:textAlignment w:val="auto"/>
              <w:rPr>
                <w:lang w:val="ro-MD"/>
              </w:rPr>
            </w:pPr>
            <w:r>
              <w:rPr>
                <w:sz w:val="22"/>
                <w:szCs w:val="22"/>
                <w:lang w:val="ro-MD"/>
              </w:rPr>
              <w:t>Teoria cuasigrupurilor</w:t>
            </w:r>
            <w:r>
              <w:rPr>
                <w:rFonts w:cs="Times New Roman CE" w:ascii="Times New Roman CE" w:hAnsi="Times New Roman CE"/>
                <w:sz w:val="22"/>
                <w:szCs w:val="22"/>
                <w:lang w:val="ro-MD"/>
              </w:rPr>
              <w:t xml:space="preserve"> şi aplicaţiile ei</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Autospacing="1" w:after="120"/>
              <w:ind w:left="0" w:right="0" w:hanging="0"/>
              <w:jc w:val="both"/>
              <w:textAlignment w:val="auto"/>
              <w:rPr>
                <w:lang w:val="ro-MD"/>
              </w:rPr>
            </w:pPr>
            <w:r>
              <w:rPr>
                <w:rFonts w:cs="Times New Roman CE" w:ascii="Times New Roman CE" w:hAnsi="Times New Roman CE"/>
                <w:sz w:val="22"/>
                <w:szCs w:val="22"/>
                <w:lang w:val="ro-MD" w:eastAsia="ro-RO"/>
              </w:rPr>
              <w:t>Şerbacov Victor</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Autospacing="1" w:after="120"/>
              <w:ind w:left="0" w:right="0" w:hanging="0"/>
              <w:jc w:val="left"/>
              <w:textAlignment w:val="auto"/>
              <w:rPr>
                <w:lang w:val="ro-MD"/>
              </w:rPr>
            </w:pPr>
            <w:r>
              <w:rPr>
                <w:sz w:val="22"/>
                <w:szCs w:val="22"/>
                <w:lang w:val="ro-MD"/>
              </w:rPr>
              <w:t>Universitatea. Transnistria Tiraspol</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Autospacing="1" w:after="120"/>
              <w:ind w:left="0" w:right="0" w:hanging="0"/>
              <w:jc w:val="left"/>
              <w:textAlignment w:val="auto"/>
              <w:rPr>
                <w:lang w:val="ro-MD"/>
              </w:rPr>
            </w:pPr>
            <w:r>
              <w:rPr>
                <w:sz w:val="22"/>
                <w:szCs w:val="22"/>
                <w:lang w:val="ro-MD"/>
              </w:rPr>
              <w:t>Ciclul I</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Autospacing="1" w:after="120"/>
              <w:ind w:left="0" w:right="0" w:hanging="0"/>
              <w:jc w:val="both"/>
              <w:textAlignment w:val="auto"/>
              <w:rPr>
                <w:lang w:val="ro-MD"/>
              </w:rPr>
            </w:pPr>
            <w:r>
              <w:rPr>
                <w:rFonts w:cs="Times New Roman CE" w:ascii="Times New Roman CE" w:hAnsi="Times New Roman CE"/>
                <w:sz w:val="22"/>
                <w:szCs w:val="22"/>
                <w:lang w:val="ro-MD"/>
              </w:rPr>
              <w:t>Matematică liceală</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Autospacing="1" w:after="120"/>
              <w:ind w:left="0" w:right="0" w:hanging="0"/>
              <w:jc w:val="both"/>
              <w:textAlignment w:val="auto"/>
              <w:rPr>
                <w:lang w:val="ro-MD"/>
              </w:rPr>
            </w:pPr>
            <w:r>
              <w:rPr>
                <w:rFonts w:cs="Times New Roman CE" w:ascii="Times New Roman CE" w:hAnsi="Times New Roman CE"/>
                <w:sz w:val="22"/>
                <w:szCs w:val="22"/>
                <w:lang w:val="ro-MD" w:eastAsia="ro-RO"/>
              </w:rPr>
              <w:t>Şerbacov Victor</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Autospacing="1" w:after="120"/>
              <w:ind w:left="0" w:right="0" w:hanging="0"/>
              <w:jc w:val="left"/>
              <w:textAlignment w:val="auto"/>
              <w:rPr>
                <w:lang w:val="ro-MD"/>
              </w:rPr>
            </w:pPr>
            <w:r>
              <w:rPr>
                <w:sz w:val="22"/>
                <w:szCs w:val="22"/>
                <w:lang w:val="ro-MD"/>
              </w:rPr>
              <w:t>Universitatea. Transnistria Tiraspol</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Autospacing="1" w:after="120"/>
              <w:ind w:left="0" w:right="0" w:hanging="0"/>
              <w:jc w:val="left"/>
              <w:textAlignment w:val="auto"/>
              <w:rPr>
                <w:lang w:val="ro-MD"/>
              </w:rPr>
            </w:pPr>
            <w:r>
              <w:rPr>
                <w:sz w:val="22"/>
                <w:szCs w:val="22"/>
                <w:lang w:val="ro-MD"/>
              </w:rPr>
              <w:t>Ciclul I-II</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Autospacing="1" w:after="120"/>
              <w:ind w:left="0" w:right="0" w:hanging="0"/>
              <w:jc w:val="both"/>
              <w:textAlignment w:val="auto"/>
              <w:rPr/>
            </w:pPr>
            <w:r>
              <w:rPr>
                <w:sz w:val="22"/>
                <w:szCs w:val="22"/>
              </w:rPr>
              <w:t>Общая топология</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Autospacing="1" w:after="120"/>
              <w:ind w:left="0" w:right="0" w:hanging="0"/>
              <w:jc w:val="both"/>
              <w:textAlignment w:val="auto"/>
              <w:rPr>
                <w:lang w:val="ro-MD"/>
              </w:rPr>
            </w:pPr>
            <w:r>
              <w:rPr>
                <w:sz w:val="22"/>
                <w:szCs w:val="22"/>
                <w:lang w:val="ro-MD"/>
              </w:rPr>
              <w:t>Arnautov Vladimir</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Autospacing="1" w:after="120"/>
              <w:ind w:left="0" w:right="0" w:hanging="0"/>
              <w:jc w:val="left"/>
              <w:textAlignment w:val="auto"/>
              <w:rPr>
                <w:lang w:val="ro-MD"/>
              </w:rPr>
            </w:pPr>
            <w:r>
              <w:rPr>
                <w:sz w:val="22"/>
                <w:szCs w:val="22"/>
                <w:lang w:val="ro-MD"/>
              </w:rPr>
              <w:t>Universitatea. Transnistria Tiraspol</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Autospacing="1" w:after="120"/>
              <w:ind w:left="0" w:right="0" w:hanging="0"/>
              <w:jc w:val="left"/>
              <w:textAlignment w:val="auto"/>
              <w:rPr>
                <w:rFonts w:ascii="Times New Roman" w:hAnsi="Times New Roman"/>
                <w:sz w:val="22"/>
                <w:szCs w:val="22"/>
                <w:lang w:val="ro-MD"/>
              </w:rPr>
            </w:pPr>
            <w:r>
              <w:rPr>
                <w:sz w:val="22"/>
                <w:szCs w:val="22"/>
                <w:lang w:val="ro-MD"/>
              </w:rPr>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Autospacing="1" w:after="120"/>
              <w:ind w:left="0" w:right="0" w:hanging="0"/>
              <w:jc w:val="both"/>
              <w:textAlignment w:val="auto"/>
              <w:rPr/>
            </w:pPr>
            <w:r>
              <w:rPr>
                <w:sz w:val="22"/>
                <w:szCs w:val="22"/>
              </w:rPr>
              <w:t>Топологические группы</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Autospacing="1" w:after="120"/>
              <w:ind w:left="0" w:right="0" w:hanging="0"/>
              <w:jc w:val="both"/>
              <w:textAlignment w:val="auto"/>
              <w:rPr>
                <w:lang w:val="ro-MD"/>
              </w:rPr>
            </w:pPr>
            <w:r>
              <w:rPr>
                <w:sz w:val="22"/>
                <w:szCs w:val="22"/>
                <w:lang w:val="ro-MD"/>
              </w:rPr>
              <w:t>Arnautov Vladimir</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ind w:left="0" w:right="0" w:hanging="0"/>
              <w:jc w:val="both"/>
              <w:textAlignment w:val="auto"/>
              <w:rPr>
                <w:lang w:val="ro-MD"/>
              </w:rPr>
            </w:pPr>
            <w:r>
              <w:rPr>
                <w:sz w:val="22"/>
                <w:szCs w:val="22"/>
                <w:lang w:val="ro-MD"/>
              </w:rPr>
              <w:t>Universitatea. Transnistria Tiraspol</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sz w:val="22"/>
                <w:szCs w:val="22"/>
                <w:lang w:val="ro-MD"/>
              </w:rPr>
              <w:t>Ciclul I-II</w:t>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ind w:left="0" w:right="0" w:hanging="0"/>
              <w:jc w:val="left"/>
              <w:textAlignment w:val="auto"/>
              <w:rPr/>
            </w:pPr>
            <w:r>
              <w:rPr>
                <w:sz w:val="22"/>
                <w:szCs w:val="22"/>
              </w:rPr>
              <w:t>Топологические кольца</w:t>
            </w:r>
            <w:r>
              <w:rPr>
                <w:sz w:val="22"/>
                <w:szCs w:val="22"/>
                <w:lang w:val="ro-RO"/>
              </w:rPr>
              <w:t xml:space="preserve"> </w:t>
            </w:r>
            <w:r>
              <w:rPr>
                <w:sz w:val="22"/>
                <w:szCs w:val="22"/>
              </w:rPr>
              <w:t>и</w:t>
            </w:r>
          </w:p>
          <w:p>
            <w:pPr>
              <w:pStyle w:val="Normal"/>
              <w:widowControl/>
              <w:tabs>
                <w:tab w:val="left" w:pos="709" w:leader="none"/>
              </w:tabs>
              <w:bidi w:val="0"/>
              <w:ind w:left="0" w:right="0" w:hanging="0"/>
              <w:jc w:val="left"/>
              <w:textAlignment w:val="auto"/>
              <w:rPr/>
            </w:pPr>
            <w:r>
              <w:rPr>
                <w:sz w:val="22"/>
                <w:szCs w:val="22"/>
              </w:rPr>
              <w:t>тела</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lineRule="auto" w:line="360"/>
              <w:ind w:left="0" w:right="0" w:hanging="0"/>
              <w:jc w:val="both"/>
              <w:textAlignment w:val="auto"/>
              <w:rPr>
                <w:lang w:val="ro-MD"/>
              </w:rPr>
            </w:pPr>
            <w:r>
              <w:rPr>
                <w:sz w:val="22"/>
                <w:szCs w:val="22"/>
                <w:lang w:val="ro-MD"/>
              </w:rPr>
              <w:t>Arnautov Vladimir</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lang w:val="ro-MD"/>
              </w:rPr>
            </w:pPr>
            <w:r>
              <w:rPr>
                <w:sz w:val="22"/>
                <w:szCs w:val="22"/>
                <w:lang w:val="ro-MD"/>
              </w:rPr>
              <w:t>Universitatea. Transnistria Tiraspol</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rFonts w:ascii="Times New Roman" w:hAnsi="Times New Roman"/>
                <w:sz w:val="22"/>
                <w:szCs w:val="22"/>
                <w:lang w:val="ro-MD"/>
              </w:rPr>
            </w:pPr>
            <w:r>
              <w:rPr>
                <w:sz w:val="22"/>
                <w:szCs w:val="22"/>
                <w:lang w:val="ro-MD"/>
              </w:rPr>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ind w:left="0" w:right="0" w:hanging="0"/>
              <w:jc w:val="left"/>
              <w:textAlignment w:val="auto"/>
              <w:rPr/>
            </w:pPr>
            <w:r>
              <w:rPr>
                <w:sz w:val="22"/>
                <w:szCs w:val="22"/>
              </w:rPr>
              <w:t xml:space="preserve">Трансфинитные и </w:t>
            </w:r>
          </w:p>
          <w:p>
            <w:pPr>
              <w:pStyle w:val="Normal"/>
              <w:widowControl/>
              <w:tabs>
                <w:tab w:val="left" w:pos="709" w:leader="none"/>
              </w:tabs>
              <w:bidi w:val="0"/>
              <w:ind w:left="0" w:right="0" w:hanging="0"/>
              <w:jc w:val="left"/>
              <w:textAlignment w:val="auto"/>
              <w:rPr/>
            </w:pPr>
            <w:r>
              <w:rPr>
                <w:sz w:val="22"/>
                <w:szCs w:val="22"/>
              </w:rPr>
              <w:t>кардинальные числа</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lineRule="auto" w:line="360"/>
              <w:ind w:left="0" w:right="0" w:hanging="0"/>
              <w:jc w:val="both"/>
              <w:textAlignment w:val="auto"/>
              <w:rPr>
                <w:lang w:val="ro-MD"/>
              </w:rPr>
            </w:pPr>
            <w:r>
              <w:rPr>
                <w:sz w:val="22"/>
                <w:szCs w:val="22"/>
                <w:lang w:val="ro-MD"/>
              </w:rPr>
              <w:t>Arnautov Vladimir</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ind w:left="0" w:right="0" w:hanging="0"/>
              <w:jc w:val="both"/>
              <w:textAlignment w:val="auto"/>
              <w:rPr>
                <w:lang w:val="ro-MD"/>
              </w:rPr>
            </w:pPr>
            <w:r>
              <w:rPr>
                <w:sz w:val="22"/>
                <w:szCs w:val="22"/>
                <w:lang w:val="ro-MD"/>
              </w:rPr>
              <w:t>Universitatea. Transnistria Tiraspol</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rFonts w:ascii="Times New Roman" w:hAnsi="Times New Roman"/>
                <w:sz w:val="22"/>
                <w:szCs w:val="22"/>
                <w:lang w:val="ro-MD"/>
              </w:rPr>
            </w:pPr>
            <w:r>
              <w:rPr>
                <w:sz w:val="22"/>
                <w:szCs w:val="22"/>
                <w:lang w:val="ro-MD"/>
              </w:rPr>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left"/>
              <w:textAlignment w:val="auto"/>
              <w:rPr/>
            </w:pPr>
            <w:r>
              <w:rPr>
                <w:sz w:val="22"/>
                <w:szCs w:val="22"/>
              </w:rPr>
              <w:t>Линейная алгебра</w:t>
            </w:r>
          </w:p>
          <w:p>
            <w:pPr>
              <w:pStyle w:val="Normal"/>
              <w:widowControl/>
              <w:tabs>
                <w:tab w:val="left" w:pos="709" w:leader="none"/>
              </w:tabs>
              <w:bidi w:val="0"/>
              <w:spacing w:before="0" w:after="120"/>
              <w:ind w:left="0" w:right="0" w:hanging="0"/>
              <w:jc w:val="left"/>
              <w:textAlignment w:val="auto"/>
              <w:rPr>
                <w:rFonts w:ascii="Times New Roman" w:hAnsi="Times New Roman"/>
                <w:sz w:val="22"/>
                <w:szCs w:val="22"/>
              </w:rPr>
            </w:pPr>
            <w:r>
              <w:rPr>
                <w:sz w:val="22"/>
                <w:szCs w:val="22"/>
              </w:rPr>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lineRule="auto" w:line="360"/>
              <w:ind w:left="0" w:right="0" w:hanging="0"/>
              <w:jc w:val="both"/>
              <w:textAlignment w:val="auto"/>
              <w:rPr>
                <w:lang w:val="ro-MD"/>
              </w:rPr>
            </w:pPr>
            <w:r>
              <w:rPr>
                <w:sz w:val="22"/>
                <w:szCs w:val="22"/>
                <w:lang w:val="ro-MD"/>
              </w:rPr>
              <w:t>Arnautov Vladimir</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ind w:left="0" w:right="0" w:hanging="0"/>
              <w:jc w:val="both"/>
              <w:textAlignment w:val="auto"/>
              <w:rPr>
                <w:lang w:val="ro-MD"/>
              </w:rPr>
            </w:pPr>
            <w:r>
              <w:rPr>
                <w:sz w:val="22"/>
                <w:szCs w:val="22"/>
                <w:lang w:val="ro-MD"/>
              </w:rPr>
              <w:t>Universitatea. Transnistria Tiraspol</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rFonts w:ascii="Times New Roman" w:hAnsi="Times New Roman"/>
                <w:sz w:val="22"/>
                <w:szCs w:val="22"/>
                <w:lang w:val="ro-MD"/>
              </w:rPr>
            </w:pPr>
            <w:r>
              <w:rPr>
                <w:sz w:val="22"/>
                <w:szCs w:val="22"/>
                <w:lang w:val="ro-MD"/>
              </w:rPr>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left"/>
              <w:textAlignment w:val="auto"/>
              <w:rPr/>
            </w:pPr>
            <w:r>
              <w:rPr>
                <w:sz w:val="22"/>
                <w:szCs w:val="22"/>
              </w:rPr>
              <w:t>Алгебраические системы</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lineRule="auto" w:line="360"/>
              <w:ind w:left="0" w:right="0" w:hanging="0"/>
              <w:jc w:val="both"/>
              <w:textAlignment w:val="auto"/>
              <w:rPr>
                <w:lang w:val="ro-MD"/>
              </w:rPr>
            </w:pPr>
            <w:r>
              <w:rPr>
                <w:sz w:val="22"/>
                <w:szCs w:val="22"/>
                <w:lang w:val="ro-MD"/>
              </w:rPr>
              <w:t>Reabuhi</w:t>
            </w:r>
            <w:r>
              <w:rPr>
                <w:sz w:val="22"/>
                <w:szCs w:val="22"/>
                <w:lang w:val="ro-RO"/>
              </w:rPr>
              <w:t>n Iurii</w:t>
            </w:r>
          </w:p>
        </w:tc>
      </w:tr>
      <w:tr>
        <w:trPr/>
        <w:tc>
          <w:tcPr>
            <w:tcW w:w="309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ind w:left="0" w:right="0" w:hanging="0"/>
              <w:jc w:val="both"/>
              <w:textAlignment w:val="auto"/>
              <w:rPr>
                <w:lang w:val="ro-MD"/>
              </w:rPr>
            </w:pPr>
            <w:r>
              <w:rPr>
                <w:sz w:val="22"/>
                <w:szCs w:val="22"/>
                <w:lang w:val="ro-MD"/>
              </w:rPr>
              <w:t>Universitatea. Transnistria Tiraspol</w:t>
            </w:r>
          </w:p>
        </w:tc>
        <w:tc>
          <w:tcPr>
            <w:tcW w:w="135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both"/>
              <w:textAlignment w:val="auto"/>
              <w:rPr>
                <w:rFonts w:ascii="Times New Roman" w:hAnsi="Times New Roman"/>
                <w:sz w:val="22"/>
                <w:szCs w:val="22"/>
                <w:lang w:val="ro-MD"/>
              </w:rPr>
            </w:pPr>
            <w:r>
              <w:rPr>
                <w:sz w:val="22"/>
                <w:szCs w:val="22"/>
                <w:lang w:val="ro-MD"/>
              </w:rPr>
            </w:r>
          </w:p>
        </w:tc>
        <w:tc>
          <w:tcPr>
            <w:tcW w:w="458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before="0" w:after="120"/>
              <w:ind w:left="0" w:right="0" w:hanging="0"/>
              <w:jc w:val="left"/>
              <w:textAlignment w:val="auto"/>
              <w:rPr/>
            </w:pPr>
            <w:r>
              <w:rPr>
                <w:sz w:val="22"/>
                <w:szCs w:val="22"/>
              </w:rPr>
              <w:t>Конструкции колец</w:t>
            </w:r>
          </w:p>
        </w:tc>
        <w:tc>
          <w:tcPr>
            <w:tcW w:w="160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tabs>
                <w:tab w:val="left" w:pos="709" w:leader="none"/>
              </w:tabs>
              <w:bidi w:val="0"/>
              <w:spacing w:lineRule="auto" w:line="360"/>
              <w:ind w:left="0" w:right="0" w:hanging="0"/>
              <w:jc w:val="both"/>
              <w:textAlignment w:val="auto"/>
              <w:rPr>
                <w:lang w:val="ro-MD"/>
              </w:rPr>
            </w:pPr>
            <w:r>
              <w:rPr>
                <w:sz w:val="22"/>
                <w:szCs w:val="22"/>
                <w:lang w:val="ro-MD"/>
              </w:rPr>
              <w:t>Reabuhi</w:t>
            </w:r>
            <w:r>
              <w:rPr>
                <w:sz w:val="22"/>
                <w:szCs w:val="22"/>
                <w:lang w:val="ro-RO"/>
              </w:rPr>
              <w:t>n Iurii</w:t>
            </w:r>
          </w:p>
        </w:tc>
      </w:tr>
      <w:tr>
        <w:trPr/>
        <w:tc>
          <w:tcPr>
            <w:tcW w:w="10631" w:type="dxa"/>
            <w:gridSpan w:val="7"/>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1"/>
              <w:widowControl/>
              <w:bidi w:val="0"/>
              <w:spacing w:lineRule="auto" w:line="276" w:before="0" w:after="200"/>
              <w:ind w:left="0" w:right="0" w:hanging="0"/>
              <w:contextualSpacing/>
              <w:jc w:val="both"/>
              <w:textAlignment w:val="auto"/>
              <w:rPr>
                <w:lang w:val="ro-RO"/>
              </w:rPr>
            </w:pPr>
            <w:r>
              <w:rPr>
                <w:rFonts w:cs="Times New Roman CE" w:ascii="Times New Roman CE" w:hAnsi="Times New Roman CE"/>
                <w:b/>
                <w:lang w:val="ro-RO"/>
              </w:rPr>
              <w:t>Participări la manifestări ştiinţifice, susţineri de teze.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1"/>
              <w:widowControl/>
              <w:bidi w:val="0"/>
              <w:spacing w:lineRule="auto" w:line="276" w:before="0" w:after="200"/>
              <w:ind w:left="0" w:right="0" w:hanging="0"/>
              <w:contextualSpacing/>
              <w:jc w:val="left"/>
              <w:textAlignment w:val="auto"/>
              <w:rPr>
                <w:lang w:val="ro-RO"/>
              </w:rPr>
            </w:pPr>
            <w:r>
              <w:rPr>
                <w:rFonts w:cs="Times New Roman CE" w:ascii="Times New Roman CE" w:hAnsi="Times New Roman CE"/>
                <w:lang w:val="ro-RO"/>
              </w:rPr>
              <w:t>Denumirea manifestări ştiinţifice, expoziţii, work-shopu-uir, tîrguri, mese rotunde</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1"/>
              <w:widowControl/>
              <w:bidi w:val="0"/>
              <w:spacing w:lineRule="auto" w:line="276" w:before="0" w:after="200"/>
              <w:ind w:left="0" w:right="0" w:hanging="0"/>
              <w:contextualSpacing/>
              <w:jc w:val="both"/>
              <w:textAlignment w:val="auto"/>
              <w:rPr>
                <w:lang w:val="ro-RO"/>
              </w:rPr>
            </w:pPr>
            <w:r>
              <w:rPr>
                <w:rFonts w:cs="Times New Roman CE" w:ascii="Times New Roman CE" w:hAnsi="Times New Roman CE"/>
                <w:lang w:val="ro-RO"/>
              </w:rPr>
              <w:t xml:space="preserve"> </w:t>
            </w:r>
            <w:r>
              <w:rPr>
                <w:rFonts w:cs="Times New Roman CE" w:ascii="Times New Roman CE" w:hAnsi="Times New Roman CE"/>
                <w:lang w:val="ro-RO"/>
              </w:rPr>
              <w:t xml:space="preserve">Participanţii </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1"/>
              <w:widowControl/>
              <w:bidi w:val="0"/>
              <w:spacing w:lineRule="auto" w:line="276" w:before="0" w:after="200"/>
              <w:ind w:left="0" w:right="0" w:hanging="0"/>
              <w:contextualSpacing/>
              <w:jc w:val="both"/>
              <w:textAlignment w:val="auto"/>
              <w:rPr>
                <w:lang w:val="ro-RO"/>
              </w:rPr>
            </w:pPr>
            <w:r>
              <w:rPr>
                <w:rFonts w:cs="Times New Roman CE" w:ascii="Times New Roman CE" w:hAnsi="Times New Roman CE"/>
                <w:lang w:val="ro-RO"/>
              </w:rPr>
              <w:t>Tematica prezentărilor</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1"/>
              <w:widowControl/>
              <w:bidi w:val="0"/>
              <w:spacing w:lineRule="auto" w:line="276" w:before="0" w:after="200"/>
              <w:ind w:left="0" w:right="0" w:hanging="0"/>
              <w:contextualSpacing/>
              <w:jc w:val="both"/>
              <w:textAlignment w:val="auto"/>
              <w:rPr>
                <w:lang w:val="ro-RO"/>
              </w:rPr>
            </w:pPr>
            <w:r>
              <w:rPr>
                <w:rFonts w:cs="Times New Roman CE" w:ascii="Times New Roman CE" w:hAnsi="Times New Roman CE"/>
                <w:lang w:val="ro-RO"/>
              </w:rPr>
              <w:t>Distincţii obţinute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 xml:space="preserve">Susţinerea tezei de doctor în ştiinţe matematice </w:t>
            </w:r>
          </w:p>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IMI, Chişinău</w:t>
            </w:r>
          </w:p>
          <w:p>
            <w:pPr>
              <w:pStyle w:val="Normal"/>
              <w:widowControl/>
              <w:bidi w:val="0"/>
              <w:ind w:left="0" w:right="0" w:hanging="0"/>
              <w:jc w:val="both"/>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both"/>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both"/>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 xml:space="preserve">Susţinerea tezei de doctor în ştiinţe matematice </w:t>
            </w:r>
          </w:p>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IMI, Chişinău</w:t>
            </w:r>
          </w:p>
          <w:p>
            <w:pPr>
              <w:pStyle w:val="Normal"/>
              <w:widowControl/>
              <w:bidi w:val="0"/>
              <w:ind w:left="0" w:right="0" w:hanging="0"/>
              <w:jc w:val="both"/>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 xml:space="preserve">Susţinerea tezei de doctor în ştiinţe matematice </w:t>
            </w:r>
          </w:p>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IMI, Chişinău</w:t>
            </w:r>
          </w:p>
          <w:p>
            <w:pPr>
              <w:pStyle w:val="Normal"/>
              <w:widowControl/>
              <w:bidi w:val="0"/>
              <w:ind w:left="0" w:right="0" w:hanging="0"/>
              <w:jc w:val="both"/>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 xml:space="preserve">Susţinerea tezei de doctor în ştiinţe matematice </w:t>
            </w:r>
          </w:p>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IMI, Chişinău</w:t>
            </w:r>
          </w:p>
          <w:p>
            <w:pPr>
              <w:pStyle w:val="Normal"/>
              <w:widowControl/>
              <w:bidi w:val="0"/>
              <w:ind w:left="0" w:right="0" w:hanging="0"/>
              <w:jc w:val="both"/>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 xml:space="preserve">Susţinerea tezei de doctor în ştiinţe matematice </w:t>
            </w:r>
          </w:p>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IMI, Chişinău</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lang w:val="ro-RO"/>
              </w:rPr>
            </w:pPr>
            <w:r>
              <w:rPr>
                <w:bCs/>
                <w:sz w:val="22"/>
                <w:szCs w:val="22"/>
                <w:lang w:val="ro-RO"/>
              </w:rPr>
              <w:t>Reabuhin Iu.</w:t>
            </w:r>
            <w:r>
              <w:rPr>
                <w:rFonts w:cs="Times New Roman CE" w:ascii="Times New Roman CE" w:hAnsi="Times New Roman CE"/>
                <w:sz w:val="22"/>
                <w:szCs w:val="22"/>
                <w:lang w:val="ro-RO"/>
              </w:rPr>
              <w:t>, dr.hab. în şt.f.-m.</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bCs/>
                <w:sz w:val="22"/>
                <w:szCs w:val="22"/>
                <w:lang w:val="ro-RO"/>
              </w:rPr>
            </w:pPr>
            <w:r>
              <w:rPr>
                <w:bCs/>
                <w:sz w:val="22"/>
                <w:szCs w:val="22"/>
                <w:lang w:val="ro-RO"/>
              </w:rPr>
            </w:r>
          </w:p>
          <w:p>
            <w:pPr>
              <w:pStyle w:val="Normal"/>
              <w:widowControl/>
              <w:bidi w:val="0"/>
              <w:ind w:left="0" w:right="0" w:hanging="0"/>
              <w:jc w:val="left"/>
              <w:textAlignment w:val="auto"/>
              <w:rPr>
                <w:lang w:val="ro-RO"/>
              </w:rPr>
            </w:pPr>
            <w:r>
              <w:rPr>
                <w:rFonts w:cs="Times New Roman CE" w:ascii="Times New Roman CE" w:hAnsi="Times New Roman CE"/>
                <w:bCs/>
                <w:sz w:val="22"/>
                <w:szCs w:val="22"/>
                <w:lang w:val="ro-RO"/>
              </w:rPr>
              <w:t xml:space="preserve">Izbaş V., </w:t>
            </w:r>
            <w:r>
              <w:rPr>
                <w:rFonts w:cs="Times New Roman CE" w:ascii="Times New Roman CE" w:hAnsi="Times New Roman CE"/>
                <w:sz w:val="22"/>
                <w:szCs w:val="22"/>
                <w:lang w:val="ro-RO"/>
              </w:rPr>
              <w:t>dr. în şt.f.-m.</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bCs/>
                <w:sz w:val="22"/>
                <w:szCs w:val="22"/>
                <w:lang w:val="ro-RO"/>
              </w:rPr>
            </w:pPr>
            <w:r>
              <w:rPr>
                <w:bCs/>
                <w:sz w:val="22"/>
                <w:szCs w:val="22"/>
                <w:lang w:val="ro-RO"/>
              </w:rPr>
            </w:r>
          </w:p>
          <w:p>
            <w:pPr>
              <w:pStyle w:val="Normal"/>
              <w:widowControl/>
              <w:bidi w:val="0"/>
              <w:ind w:left="0" w:right="0" w:hanging="0"/>
              <w:jc w:val="left"/>
              <w:textAlignment w:val="auto"/>
              <w:rPr>
                <w:lang w:val="ro-RO"/>
              </w:rPr>
            </w:pPr>
            <w:r>
              <w:rPr>
                <w:bCs/>
                <w:sz w:val="22"/>
                <w:szCs w:val="22"/>
                <w:lang w:val="ro-RO"/>
              </w:rPr>
              <w:t xml:space="preserve">Popa V., </w:t>
            </w:r>
            <w:r>
              <w:rPr>
                <w:rFonts w:cs="Times New Roman CE" w:ascii="Times New Roman CE" w:hAnsi="Times New Roman CE"/>
                <w:sz w:val="22"/>
                <w:szCs w:val="22"/>
                <w:lang w:val="ro-RO"/>
              </w:rPr>
              <w:t>dr. în şt.f.-m.</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Şcerbacov V., dr.hab. în şt.f.-m.</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Arnautov V.I., dr. hab. în şt.f.-m.</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w:t>
            </w:r>
            <w:r>
              <w:rPr>
                <w:sz w:val="22"/>
                <w:szCs w:val="22"/>
                <w:lang w:val="ro-RO"/>
              </w:rPr>
              <w:t xml:space="preserve">Полуизометрический  изоморфизм псевдонормированных колец  и  его свойства”/ „Izomorfismul semiizometric al inelelor  pseudonormate </w:t>
            </w:r>
            <w:r>
              <w:rPr>
                <w:rFonts w:cs="Times New Roman CE" w:ascii="Times New Roman CE" w:hAnsi="Times New Roman CE"/>
                <w:sz w:val="22"/>
                <w:szCs w:val="22"/>
                <w:lang w:val="ro-RO"/>
              </w:rPr>
              <w:t xml:space="preserve">şi proprietăţile lui”, </w:t>
            </w:r>
          </w:p>
          <w:p>
            <w:pPr>
              <w:pStyle w:val="Normal"/>
              <w:widowControl/>
              <w:bidi w:val="0"/>
              <w:ind w:left="0" w:right="0" w:hanging="0"/>
              <w:jc w:val="left"/>
              <w:textAlignment w:val="auto"/>
              <w:rPr/>
            </w:pPr>
            <w:r>
              <w:rPr>
                <w:rFonts w:cs="Times New Roman CE" w:ascii="Times New Roman CE" w:hAnsi="Times New Roman CE"/>
                <w:sz w:val="22"/>
                <w:szCs w:val="22"/>
                <w:lang w:val="ro-RO"/>
              </w:rPr>
              <w:t>S. Alioşcenco.</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2"/>
              <w:keepNext/>
              <w:widowControl/>
              <w:numPr>
                <w:ilvl w:val="0"/>
                <w:numId w:val="0"/>
              </w:numPr>
              <w:shd w:fill="FFFFFF"/>
              <w:bidi w:val="0"/>
              <w:ind w:left="0" w:right="0" w:hanging="0"/>
              <w:jc w:val="left"/>
              <w:textAlignment w:val="auto"/>
              <w:outlineLvl w:val="1"/>
              <w:rPr>
                <w:rFonts w:ascii="Times New Roman" w:hAnsi="Times New Roman"/>
                <w:b/>
                <w:b/>
                <w:bCs/>
                <w:sz w:val="22"/>
                <w:szCs w:val="22"/>
                <w:lang w:val="ro-RO" w:eastAsia="en-US"/>
              </w:rPr>
            </w:pPr>
            <w:r>
              <w:rPr>
                <w:b/>
                <w:bCs/>
                <w:sz w:val="22"/>
                <w:szCs w:val="22"/>
                <w:lang w:val="ro-RO" w:eastAsia="en-US"/>
              </w:rPr>
            </w:r>
          </w:p>
          <w:p>
            <w:pPr>
              <w:pStyle w:val="2"/>
              <w:keepNext/>
              <w:widowControl/>
              <w:numPr>
                <w:ilvl w:val="0"/>
                <w:numId w:val="0"/>
              </w:numPr>
              <w:shd w:fill="FFFFFF"/>
              <w:bidi w:val="0"/>
              <w:ind w:left="0" w:right="0" w:hanging="0"/>
              <w:jc w:val="left"/>
              <w:textAlignment w:val="auto"/>
              <w:outlineLvl w:val="1"/>
              <w:rPr>
                <w:rFonts w:ascii="Times New Roman" w:hAnsi="Times New Roman"/>
                <w:b/>
                <w:b/>
                <w:bCs/>
                <w:sz w:val="22"/>
                <w:szCs w:val="22"/>
                <w:lang w:val="ro-RO" w:eastAsia="en-US"/>
              </w:rPr>
            </w:pPr>
            <w:r>
              <w:rPr>
                <w:b/>
                <w:bCs/>
                <w:sz w:val="22"/>
                <w:szCs w:val="22"/>
                <w:lang w:val="ro-RO" w:eastAsia="en-US"/>
              </w:rPr>
            </w:r>
          </w:p>
          <w:p>
            <w:pPr>
              <w:pStyle w:val="2"/>
              <w:keepNext/>
              <w:widowControl/>
              <w:numPr>
                <w:ilvl w:val="0"/>
                <w:numId w:val="0"/>
              </w:numPr>
              <w:shd w:fill="FFFFFF"/>
              <w:bidi w:val="0"/>
              <w:ind w:left="0" w:right="0" w:hanging="0"/>
              <w:jc w:val="left"/>
              <w:textAlignment w:val="auto"/>
              <w:outlineLvl w:val="1"/>
              <w:rPr>
                <w:rFonts w:ascii="Times New Roman" w:hAnsi="Times New Roman"/>
                <w:b/>
                <w:b/>
                <w:bCs/>
                <w:sz w:val="22"/>
                <w:szCs w:val="22"/>
                <w:lang w:val="ro-RO" w:eastAsia="en-US"/>
              </w:rPr>
            </w:pPr>
            <w:r>
              <w:rPr>
                <w:b/>
                <w:bCs/>
                <w:sz w:val="22"/>
                <w:szCs w:val="22"/>
                <w:lang w:val="ro-RO" w:eastAsia="en-US"/>
              </w:rPr>
            </w:r>
          </w:p>
          <w:p>
            <w:pPr>
              <w:pStyle w:val="2"/>
              <w:keepNext/>
              <w:widowControl/>
              <w:numPr>
                <w:ilvl w:val="0"/>
                <w:numId w:val="0"/>
              </w:numPr>
              <w:shd w:fill="FFFFFF"/>
              <w:bidi w:val="0"/>
              <w:ind w:left="0" w:right="0" w:hanging="0"/>
              <w:jc w:val="left"/>
              <w:textAlignment w:val="auto"/>
              <w:outlineLvl w:val="1"/>
              <w:rPr>
                <w:rFonts w:ascii="Times New Roman" w:hAnsi="Times New Roman"/>
                <w:b/>
                <w:b/>
                <w:bCs/>
                <w:sz w:val="22"/>
                <w:szCs w:val="22"/>
                <w:lang w:val="ro-RO" w:eastAsia="en-US"/>
              </w:rPr>
            </w:pPr>
            <w:r>
              <w:rPr>
                <w:b/>
                <w:bCs/>
                <w:sz w:val="22"/>
                <w:szCs w:val="22"/>
                <w:lang w:val="ro-RO" w:eastAsia="en-US"/>
              </w:rPr>
            </w:r>
          </w:p>
          <w:p>
            <w:pPr>
              <w:pStyle w:val="2"/>
              <w:keepNext/>
              <w:widowControl/>
              <w:numPr>
                <w:ilvl w:val="0"/>
                <w:numId w:val="0"/>
              </w:numPr>
              <w:shd w:fill="FFFFFF"/>
              <w:bidi w:val="0"/>
              <w:ind w:left="0" w:right="0" w:hanging="0"/>
              <w:jc w:val="left"/>
              <w:textAlignment w:val="auto"/>
              <w:outlineLvl w:val="1"/>
              <w:rPr>
                <w:rFonts w:ascii="Times New Roman" w:hAnsi="Times New Roman"/>
                <w:b/>
                <w:b/>
                <w:bCs/>
                <w:sz w:val="22"/>
                <w:szCs w:val="22"/>
                <w:lang w:val="ro-RO" w:eastAsia="en-US"/>
              </w:rPr>
            </w:pPr>
            <w:r>
              <w:rPr>
                <w:b/>
                <w:bCs/>
                <w:sz w:val="22"/>
                <w:szCs w:val="22"/>
                <w:lang w:val="ro-RO" w:eastAsia="en-US"/>
              </w:rPr>
            </w:r>
          </w:p>
          <w:p>
            <w:pPr>
              <w:pStyle w:val="2"/>
              <w:keepNext/>
              <w:widowControl/>
              <w:numPr>
                <w:ilvl w:val="0"/>
                <w:numId w:val="0"/>
              </w:numPr>
              <w:shd w:fill="FFFFFF"/>
              <w:bidi w:val="0"/>
              <w:ind w:left="0" w:right="0" w:hanging="0"/>
              <w:jc w:val="left"/>
              <w:textAlignment w:val="auto"/>
              <w:outlineLvl w:val="1"/>
              <w:rPr>
                <w:rFonts w:ascii="Times New Roman" w:hAnsi="Times New Roman"/>
                <w:b/>
                <w:b/>
                <w:bCs/>
                <w:sz w:val="22"/>
                <w:szCs w:val="22"/>
                <w:lang w:val="ro-RO" w:eastAsia="en-US"/>
              </w:rPr>
            </w:pPr>
            <w:r>
              <w:rPr>
                <w:b/>
                <w:bCs/>
                <w:sz w:val="22"/>
                <w:szCs w:val="22"/>
                <w:lang w:val="ro-RO" w:eastAsia="en-US"/>
              </w:rPr>
            </w:r>
          </w:p>
          <w:p>
            <w:pPr>
              <w:pStyle w:val="2"/>
              <w:keepNext/>
              <w:widowControl/>
              <w:numPr>
                <w:ilvl w:val="0"/>
                <w:numId w:val="0"/>
              </w:numPr>
              <w:shd w:fill="FFFFFF"/>
              <w:bidi w:val="0"/>
              <w:ind w:left="0" w:right="0" w:hanging="0"/>
              <w:jc w:val="left"/>
              <w:textAlignment w:val="auto"/>
              <w:outlineLvl w:val="1"/>
              <w:rPr>
                <w:rFonts w:ascii="Times New Roman" w:hAnsi="Times New Roman"/>
                <w:b/>
                <w:b/>
                <w:bCs/>
                <w:sz w:val="22"/>
                <w:szCs w:val="22"/>
                <w:lang w:val="ro-RO" w:eastAsia="en-US"/>
              </w:rPr>
            </w:pPr>
            <w:r>
              <w:rPr>
                <w:b/>
                <w:bCs/>
                <w:sz w:val="22"/>
                <w:szCs w:val="22"/>
                <w:lang w:val="ro-RO" w:eastAsia="en-US"/>
              </w:rPr>
            </w:r>
          </w:p>
          <w:p>
            <w:pPr>
              <w:pStyle w:val="2"/>
              <w:keepNext/>
              <w:widowControl/>
              <w:numPr>
                <w:ilvl w:val="0"/>
                <w:numId w:val="0"/>
              </w:numPr>
              <w:shd w:fill="FFFFFF"/>
              <w:bidi w:val="0"/>
              <w:ind w:left="0" w:right="0" w:hanging="0"/>
              <w:jc w:val="left"/>
              <w:textAlignment w:val="auto"/>
              <w:outlineLvl w:val="1"/>
              <w:rPr>
                <w:rFonts w:ascii="Times New Roman" w:hAnsi="Times New Roman"/>
                <w:b/>
                <w:b/>
                <w:bCs/>
                <w:sz w:val="22"/>
                <w:szCs w:val="22"/>
                <w:lang w:val="ro-RO" w:eastAsia="en-US"/>
              </w:rPr>
            </w:pPr>
            <w:r>
              <w:rPr>
                <w:b/>
                <w:bCs/>
                <w:sz w:val="22"/>
                <w:szCs w:val="22"/>
                <w:lang w:val="ro-RO" w:eastAsia="en-US"/>
              </w:rPr>
            </w:r>
          </w:p>
          <w:p>
            <w:pPr>
              <w:pStyle w:val="2"/>
              <w:keepNext/>
              <w:widowControl/>
              <w:numPr>
                <w:ilvl w:val="0"/>
                <w:numId w:val="0"/>
              </w:numPr>
              <w:shd w:fill="FFFFFF"/>
              <w:bidi w:val="0"/>
              <w:ind w:left="0" w:right="0" w:hanging="0"/>
              <w:jc w:val="left"/>
              <w:textAlignment w:val="auto"/>
              <w:outlineLvl w:val="1"/>
              <w:rPr>
                <w:rFonts w:ascii="Times New Roman" w:hAnsi="Times New Roman"/>
                <w:b/>
                <w:b/>
                <w:bCs/>
                <w:sz w:val="22"/>
                <w:szCs w:val="22"/>
                <w:lang w:val="ro-RO" w:eastAsia="en-US"/>
              </w:rPr>
            </w:pPr>
            <w:r>
              <w:rPr>
                <w:b/>
                <w:bCs/>
                <w:sz w:val="22"/>
                <w:szCs w:val="22"/>
                <w:lang w:val="ro-RO" w:eastAsia="en-US"/>
              </w:rPr>
            </w:r>
          </w:p>
          <w:p>
            <w:pPr>
              <w:pStyle w:val="2"/>
              <w:keepNext/>
              <w:widowControl/>
              <w:numPr>
                <w:ilvl w:val="0"/>
                <w:numId w:val="0"/>
              </w:numPr>
              <w:shd w:fill="FFFFFF"/>
              <w:bidi w:val="0"/>
              <w:ind w:left="0" w:right="0" w:hanging="0"/>
              <w:jc w:val="left"/>
              <w:textAlignment w:val="auto"/>
              <w:outlineLvl w:val="1"/>
              <w:rPr>
                <w:rFonts w:ascii="Times New Roman" w:hAnsi="Times New Roman"/>
                <w:b/>
                <w:b/>
                <w:bCs/>
                <w:sz w:val="22"/>
                <w:szCs w:val="22"/>
                <w:lang w:val="ro-RO" w:eastAsia="en-US"/>
              </w:rPr>
            </w:pPr>
            <w:r>
              <w:rPr>
                <w:b/>
                <w:bCs/>
                <w:sz w:val="22"/>
                <w:szCs w:val="22"/>
                <w:lang w:val="ro-RO" w:eastAsia="en-US"/>
              </w:rPr>
            </w:r>
          </w:p>
          <w:p>
            <w:pPr>
              <w:pStyle w:val="2"/>
              <w:keepNext/>
              <w:widowControl/>
              <w:numPr>
                <w:ilvl w:val="0"/>
                <w:numId w:val="0"/>
              </w:numPr>
              <w:shd w:fill="FFFFFF"/>
              <w:bidi w:val="0"/>
              <w:ind w:left="0" w:right="0" w:hanging="0"/>
              <w:jc w:val="left"/>
              <w:textAlignment w:val="auto"/>
              <w:outlineLvl w:val="1"/>
              <w:rPr>
                <w:rFonts w:ascii="Times New Roman" w:hAnsi="Times New Roman"/>
                <w:b/>
                <w:b/>
                <w:bCs/>
                <w:sz w:val="22"/>
                <w:szCs w:val="22"/>
                <w:lang w:val="ro-RO" w:eastAsia="en-US"/>
              </w:rPr>
            </w:pPr>
            <w:r>
              <w:rPr>
                <w:b/>
                <w:bCs/>
                <w:sz w:val="22"/>
                <w:szCs w:val="22"/>
                <w:lang w:val="ro-RO" w:eastAsia="en-US"/>
              </w:rPr>
            </w:r>
          </w:p>
          <w:p>
            <w:pPr>
              <w:pStyle w:val="2"/>
              <w:keepNext/>
              <w:widowControl/>
              <w:numPr>
                <w:ilvl w:val="0"/>
                <w:numId w:val="0"/>
              </w:numPr>
              <w:shd w:fill="FFFFFF"/>
              <w:bidi w:val="0"/>
              <w:ind w:left="0" w:right="0" w:hanging="0"/>
              <w:jc w:val="left"/>
              <w:textAlignment w:val="auto"/>
              <w:outlineLvl w:val="1"/>
              <w:rPr>
                <w:rFonts w:ascii="Times New Roman" w:hAnsi="Times New Roman"/>
                <w:b/>
                <w:b/>
                <w:bCs/>
                <w:sz w:val="22"/>
                <w:szCs w:val="22"/>
                <w:lang w:val="ro-RO" w:eastAsia="en-US"/>
              </w:rPr>
            </w:pPr>
            <w:r>
              <w:rPr>
                <w:b/>
                <w:bCs/>
                <w:sz w:val="22"/>
                <w:szCs w:val="22"/>
                <w:lang w:val="ro-RO" w:eastAsia="en-US"/>
              </w:rPr>
            </w:r>
          </w:p>
          <w:p>
            <w:pPr>
              <w:pStyle w:val="2"/>
              <w:keepNext/>
              <w:widowControl/>
              <w:numPr>
                <w:ilvl w:val="0"/>
                <w:numId w:val="0"/>
              </w:numPr>
              <w:shd w:fill="FFFFFF"/>
              <w:bidi w:val="0"/>
              <w:ind w:left="0" w:right="0" w:hanging="0"/>
              <w:jc w:val="left"/>
              <w:textAlignment w:val="auto"/>
              <w:outlineLvl w:val="1"/>
              <w:rPr>
                <w:rFonts w:ascii="Times New Roman" w:hAnsi="Times New Roman"/>
                <w:sz w:val="22"/>
                <w:szCs w:val="22"/>
                <w:lang w:val="en-US" w:eastAsia="en-US"/>
              </w:rPr>
            </w:pPr>
            <w:r>
              <w:rPr>
                <w:sz w:val="22"/>
                <w:szCs w:val="22"/>
                <w:lang w:val="en-US" w:eastAsia="en-US"/>
              </w:rPr>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Preşedintele consiliului</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lang w:val="ro-RO"/>
              </w:rPr>
            </w:pPr>
            <w:r>
              <w:rPr>
                <w:sz w:val="22"/>
                <w:szCs w:val="22"/>
                <w:lang w:val="ro-RO"/>
              </w:rPr>
              <w:t>Secretarul consiliului</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lang w:val="ro-RO"/>
              </w:rPr>
            </w:pPr>
            <w:r>
              <w:rPr>
                <w:sz w:val="22"/>
                <w:szCs w:val="22"/>
                <w:lang w:val="ro-RO"/>
              </w:rPr>
              <w:t>Referent oficial</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lang w:val="ro-RO"/>
              </w:rPr>
            </w:pPr>
            <w:r>
              <w:rPr>
                <w:sz w:val="22"/>
                <w:szCs w:val="22"/>
                <w:lang w:val="ro-RO"/>
              </w:rPr>
              <w:t>Membrul consiliului</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Conducător ştiin</w:t>
            </w:r>
            <w:r>
              <w:rPr>
                <w:rFonts w:ascii="Cambria Math" w:hAnsi="Cambria Math"/>
                <w:sz w:val="22"/>
                <w:szCs w:val="22"/>
                <w:lang w:val="ro-RO"/>
              </w:rPr>
              <w:t>ț</w:t>
            </w:r>
            <w:r>
              <w:rPr>
                <w:sz w:val="22"/>
                <w:szCs w:val="22"/>
                <w:lang w:val="ro-RO"/>
              </w:rPr>
              <w:t>ific</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sz w:val="22"/>
                <w:szCs w:val="22"/>
                <w:lang w:val="ro-RO" w:eastAsia="en-US"/>
              </w:rPr>
              <w:t>7-Th European Congress of Mathematics, Juli 18-22, 2016, Technische Universitet Berlin,</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Damian, F., dr.  în şt.f.-m.</w:t>
            </w:r>
          </w:p>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 xml:space="preserve">Makarov, V., dr.  hab. în şt.f.-m. </w:t>
            </w:r>
          </w:p>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Makarov, P., dr.  în şt.f.-m.</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eastAsia="en-US"/>
              </w:rPr>
              <w:t>Hyperbolic manifold given by equidistant polyhedron over compact basis.</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sz w:val="22"/>
                <w:szCs w:val="22"/>
                <w:lang w:val="ro-RO"/>
              </w:rPr>
              <w:t>Referat</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sz w:val="22"/>
                <w:szCs w:val="22"/>
                <w:lang w:val="ro-RO" w:eastAsia="en-US"/>
              </w:rPr>
              <w:t>XII Международн</w:t>
            </w:r>
            <w:r>
              <w:rPr>
                <w:sz w:val="22"/>
                <w:szCs w:val="22"/>
                <w:lang w:eastAsia="en-US"/>
              </w:rPr>
              <w:t>ый</w:t>
            </w:r>
            <w:r>
              <w:rPr>
                <w:sz w:val="22"/>
                <w:szCs w:val="22"/>
                <w:lang w:val="ro-RO" w:eastAsia="en-US"/>
              </w:rPr>
              <w:t xml:space="preserve"> семинар “Дискретная математика и её приложения“ имени академика О.Б.Лупанова, 20-25 июня 2016, МГУ</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eastAsia="en-US"/>
              </w:rPr>
              <w:t xml:space="preserve">Ф.Л.Дамиан, </w:t>
            </w:r>
            <w:r>
              <w:rPr>
                <w:rFonts w:cs="Times New Roman CE" w:ascii="Times New Roman CE" w:hAnsi="Times New Roman CE"/>
                <w:sz w:val="22"/>
                <w:szCs w:val="22"/>
                <w:lang w:val="ro-RO"/>
              </w:rPr>
              <w:t>dr.  în şt.f.-m.</w:t>
            </w:r>
          </w:p>
          <w:p>
            <w:pPr>
              <w:pStyle w:val="Normal"/>
              <w:widowControl/>
              <w:bidi w:val="0"/>
              <w:ind w:left="0" w:right="0" w:hanging="0"/>
              <w:jc w:val="left"/>
              <w:textAlignment w:val="auto"/>
              <w:rPr>
                <w:lang w:val="ro-RO"/>
              </w:rPr>
            </w:pPr>
            <w:r>
              <w:rPr>
                <w:sz w:val="22"/>
                <w:szCs w:val="22"/>
                <w:lang w:val="ro-RO" w:eastAsia="en-US"/>
              </w:rPr>
              <w:t xml:space="preserve">В.С.Макаров, </w:t>
            </w:r>
            <w:r>
              <w:rPr>
                <w:rFonts w:cs="Times New Roman CE" w:ascii="Times New Roman CE" w:hAnsi="Times New Roman CE"/>
                <w:sz w:val="22"/>
                <w:szCs w:val="22"/>
                <w:lang w:val="ro-RO"/>
              </w:rPr>
              <w:t xml:space="preserve">dr.  hab. în şt.f.-m. </w:t>
            </w:r>
          </w:p>
          <w:p>
            <w:pPr>
              <w:pStyle w:val="Normal"/>
              <w:widowControl/>
              <w:bidi w:val="0"/>
              <w:ind w:left="0" w:right="0" w:hanging="0"/>
              <w:jc w:val="left"/>
              <w:textAlignment w:val="auto"/>
              <w:rPr>
                <w:lang w:val="ro-RO"/>
              </w:rPr>
            </w:pPr>
            <w:r>
              <w:rPr>
                <w:sz w:val="22"/>
                <w:szCs w:val="22"/>
                <w:lang w:val="ro-RO" w:eastAsia="en-US"/>
              </w:rPr>
              <w:t xml:space="preserve">П.В.Макаров. </w:t>
            </w:r>
            <w:r>
              <w:rPr>
                <w:rFonts w:cs="Times New Roman CE" w:ascii="Times New Roman CE" w:hAnsi="Times New Roman CE"/>
                <w:sz w:val="22"/>
                <w:szCs w:val="22"/>
                <w:lang w:val="ro-RO"/>
              </w:rPr>
              <w:t>dr.  în şt.f.-m.</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eastAsia="en-US"/>
              </w:rPr>
              <w:t>Гиперболические линзовые 3-многообразия над платоновой поверхностью {5,5} рода 4.</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Referat</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sz w:val="22"/>
                <w:szCs w:val="22"/>
                <w:lang w:val="ro-RO" w:eastAsia="en-US"/>
              </w:rPr>
              <w:t>13</w:t>
            </w:r>
            <w:r>
              <w:rPr>
                <w:sz w:val="22"/>
                <w:szCs w:val="22"/>
                <w:lang w:eastAsia="en-US"/>
              </w:rPr>
              <w:t>-я</w:t>
            </w:r>
            <w:r>
              <w:rPr>
                <w:sz w:val="22"/>
                <w:szCs w:val="22"/>
                <w:lang w:val="ro-RO" w:eastAsia="en-US"/>
              </w:rPr>
              <w:t xml:space="preserve"> Всеросийск</w:t>
            </w:r>
            <w:r>
              <w:rPr>
                <w:sz w:val="22"/>
                <w:szCs w:val="22"/>
                <w:lang w:eastAsia="en-US"/>
              </w:rPr>
              <w:t>ая</w:t>
            </w:r>
            <w:r>
              <w:rPr>
                <w:sz w:val="22"/>
                <w:szCs w:val="22"/>
                <w:lang w:val="ro-RO" w:eastAsia="en-US"/>
              </w:rPr>
              <w:t xml:space="preserve"> ( с медународным участием ) научн</w:t>
            </w:r>
            <w:r>
              <w:rPr>
                <w:sz w:val="22"/>
                <w:szCs w:val="22"/>
                <w:lang w:eastAsia="en-US"/>
              </w:rPr>
              <w:t>ая</w:t>
            </w:r>
            <w:r>
              <w:rPr>
                <w:sz w:val="22"/>
                <w:szCs w:val="22"/>
                <w:lang w:val="ro-RO" w:eastAsia="en-US"/>
              </w:rPr>
              <w:t xml:space="preserve"> школ</w:t>
            </w:r>
            <w:r>
              <w:rPr>
                <w:sz w:val="22"/>
                <w:szCs w:val="22"/>
                <w:lang w:eastAsia="en-US"/>
              </w:rPr>
              <w:t>а</w:t>
            </w:r>
            <w:r>
              <w:rPr>
                <w:sz w:val="22"/>
                <w:szCs w:val="22"/>
                <w:lang w:val="ro-RO" w:eastAsia="en-US"/>
              </w:rPr>
              <w:t>.” Математические исследования в естественных науках”, Труды, Апатиты 17-18 октября 2016 г., Геологический институт КНЦ РАН</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eastAsia="en-US"/>
              </w:rPr>
              <w:t xml:space="preserve">Ф.Л.Дамиан, </w:t>
            </w:r>
            <w:r>
              <w:rPr>
                <w:rFonts w:cs="Times New Roman CE" w:ascii="Times New Roman CE" w:hAnsi="Times New Roman CE"/>
                <w:sz w:val="22"/>
                <w:szCs w:val="22"/>
                <w:lang w:val="ro-RO"/>
              </w:rPr>
              <w:t>dr.  în şt.f.-m.</w:t>
            </w:r>
          </w:p>
          <w:p>
            <w:pPr>
              <w:pStyle w:val="Normal"/>
              <w:widowControl/>
              <w:bidi w:val="0"/>
              <w:ind w:left="0" w:right="0" w:hanging="0"/>
              <w:jc w:val="left"/>
              <w:textAlignment w:val="auto"/>
              <w:rPr>
                <w:lang w:val="ro-RO"/>
              </w:rPr>
            </w:pPr>
            <w:r>
              <w:rPr>
                <w:sz w:val="22"/>
                <w:szCs w:val="22"/>
                <w:lang w:val="ro-RO" w:eastAsia="en-US"/>
              </w:rPr>
              <w:t xml:space="preserve">В.С.Макаров, </w:t>
            </w:r>
            <w:r>
              <w:rPr>
                <w:rFonts w:cs="Times New Roman CE" w:ascii="Times New Roman CE" w:hAnsi="Times New Roman CE"/>
                <w:sz w:val="22"/>
                <w:szCs w:val="22"/>
                <w:lang w:val="ro-RO"/>
              </w:rPr>
              <w:t xml:space="preserve">dr.  hab. în şt.f.-m. </w:t>
            </w:r>
          </w:p>
          <w:p>
            <w:pPr>
              <w:pStyle w:val="Normal"/>
              <w:widowControl/>
              <w:bidi w:val="0"/>
              <w:ind w:left="0" w:right="0" w:hanging="0"/>
              <w:jc w:val="left"/>
              <w:textAlignment w:val="auto"/>
              <w:rPr>
                <w:lang w:val="ro-RO"/>
              </w:rPr>
            </w:pPr>
            <w:r>
              <w:rPr>
                <w:sz w:val="22"/>
                <w:szCs w:val="22"/>
                <w:lang w:val="ro-RO" w:eastAsia="en-US"/>
              </w:rPr>
              <w:t xml:space="preserve">П.В.Макаров. </w:t>
            </w:r>
            <w:r>
              <w:rPr>
                <w:rFonts w:cs="Times New Roman CE" w:ascii="Times New Roman CE" w:hAnsi="Times New Roman CE"/>
                <w:sz w:val="22"/>
                <w:szCs w:val="22"/>
                <w:lang w:val="ro-RO"/>
              </w:rPr>
              <w:t>dr.  în şt.f.-m.</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sz w:val="22"/>
                <w:szCs w:val="22"/>
                <w:lang w:val="ro-RO" w:eastAsia="en-US"/>
              </w:rPr>
              <w:t>О полуправильных многогранниках пространства Лобачевского.</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Referat</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The 2</w:t>
            </w:r>
            <w:r>
              <w:rPr>
                <w:sz w:val="22"/>
                <w:szCs w:val="22"/>
                <w:lang w:val="en-US"/>
              </w:rPr>
              <w:t>4</w:t>
            </w:r>
            <w:r>
              <w:rPr>
                <w:sz w:val="22"/>
                <w:szCs w:val="22"/>
                <w:vertAlign w:val="superscript"/>
                <w:lang w:val="ro-RO"/>
              </w:rPr>
              <w:t>nd</w:t>
            </w:r>
            <w:r>
              <w:rPr>
                <w:sz w:val="22"/>
                <w:szCs w:val="22"/>
                <w:lang w:val="ro-RO"/>
              </w:rPr>
              <w:t xml:space="preserve"> Conference on Applied and Industrial Mathematics. CAIM 2015,  </w:t>
            </w:r>
            <w:r>
              <w:rPr>
                <w:sz w:val="22"/>
                <w:szCs w:val="22"/>
                <w:lang w:val="ro-RO" w:eastAsia="en-US"/>
              </w:rPr>
              <w:t>Craiova, September 15-18, 2016,</w:t>
            </w:r>
            <w:r>
              <w:rPr>
                <w:rFonts w:cs="Times New Roman CE" w:ascii="Times New Roman CE" w:hAnsi="Times New Roman CE"/>
                <w:sz w:val="22"/>
                <w:szCs w:val="22"/>
                <w:lang w:val="ro-RO"/>
              </w:rPr>
              <w:t xml:space="preserve">  România</w:t>
            </w:r>
            <w:r>
              <w:rPr>
                <w:sz w:val="22"/>
                <w:szCs w:val="22"/>
                <w:lang w:val="en-US"/>
              </w:rPr>
              <w:t>.</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color w:val="000000"/>
                <w:sz w:val="22"/>
                <w:szCs w:val="22"/>
                <w:lang w:val="ro-RO"/>
              </w:rPr>
              <w:t xml:space="preserve">Cuznetsov  E., </w:t>
            </w:r>
            <w:r>
              <w:rPr>
                <w:rFonts w:cs="Times New Roman CE" w:ascii="Times New Roman CE" w:hAnsi="Times New Roman CE"/>
                <w:sz w:val="22"/>
                <w:szCs w:val="22"/>
                <w:lang w:val="ro-RO"/>
              </w:rPr>
              <w:t>dr. în şt.f.-m.</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eastAsia="en-US"/>
              </w:rPr>
              <w:t xml:space="preserve">About group and loop transversals in the infinite sharply 2-transitive permutation group. </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Referat</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Thirty-Fourth Annual Victorian Algebra Conference, November 22 - 23, 2016, La Trobe University, Melbourne, Australia</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Cojuhari  E., dr.  în şt.f.- m.</w:t>
            </w:r>
          </w:p>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Gardner B., dr.  în m.</w:t>
            </w:r>
          </w:p>
          <w:p>
            <w:pPr>
              <w:pStyle w:val="Normal"/>
              <w:widowControl/>
              <w:bidi w:val="0"/>
              <w:ind w:left="0" w:right="0" w:hanging="0"/>
              <w:jc w:val="left"/>
              <w:textAlignment w:val="auto"/>
              <w:rPr>
                <w:rFonts w:ascii="Times New Roman" w:hAnsi="Times New Roman"/>
                <w:color w:val="000000"/>
                <w:sz w:val="22"/>
                <w:szCs w:val="22"/>
                <w:lang w:val="ro-RO"/>
              </w:rPr>
            </w:pPr>
            <w:r>
              <w:rPr>
                <w:color w:val="000000"/>
                <w:sz w:val="22"/>
                <w:szCs w:val="22"/>
                <w:lang w:val="ro-RO"/>
              </w:rPr>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A comparison of three types of ring extensions.</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Referat</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en-US"/>
              </w:rPr>
            </w:pPr>
            <w:r>
              <w:rPr>
                <w:sz w:val="22"/>
                <w:szCs w:val="22"/>
                <w:lang w:val="en-US"/>
              </w:rPr>
              <w:t>International conference “Energy of Moldova – 2016”, 3d edition, September 29 – October 1, Chisinau, 2016</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 xml:space="preserve">Cuzneţov E., dr.  în şt.f.- </w:t>
            </w:r>
            <w:r>
              <w:rPr>
                <w:sz w:val="22"/>
                <w:szCs w:val="22"/>
                <w:lang w:val="ro-RO"/>
              </w:rPr>
              <w:t>m.</w:t>
            </w:r>
          </w:p>
          <w:p>
            <w:pPr>
              <w:pStyle w:val="Normal"/>
              <w:widowControl/>
              <w:bidi w:val="0"/>
              <w:ind w:left="0" w:right="0" w:hanging="0"/>
              <w:jc w:val="left"/>
              <w:textAlignment w:val="auto"/>
              <w:rPr>
                <w:lang w:val="en-US"/>
              </w:rPr>
            </w:pPr>
            <w:r>
              <w:rPr>
                <w:sz w:val="22"/>
                <w:szCs w:val="22"/>
                <w:lang w:val="en-US"/>
              </w:rPr>
              <w:t>Cealbash O.</w:t>
            </w:r>
            <w:r>
              <w:rPr>
                <w:rFonts w:cs="Times New Roman CE" w:ascii="Times New Roman CE" w:hAnsi="Times New Roman CE"/>
                <w:sz w:val="22"/>
                <w:szCs w:val="22"/>
                <w:lang w:val="ro-RO"/>
              </w:rPr>
              <w:t>, dr.  în şt.f.- m.</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hyperlink r:id="rId98">
              <w:r>
                <w:rPr>
                  <w:webHidden/>
                  <w:rStyle w:val="Style5"/>
                  <w:sz w:val="22"/>
                  <w:szCs w:val="22"/>
                  <w:lang w:val="en-US"/>
                </w:rPr>
                <w:t xml:space="preserve">Solar photovoltaic and </w:t>
              </w:r>
              <w:r>
                <w:rPr>
                  <w:rStyle w:val="Style5"/>
                  <w:sz w:val="22"/>
                  <w:szCs w:val="22"/>
                  <w:lang w:val="ro-RO"/>
                </w:rPr>
                <w:t xml:space="preserve">thermocollectory </w:t>
              </w:r>
              <w:r>
                <w:rPr>
                  <w:rStyle w:val="Style5"/>
                  <w:sz w:val="22"/>
                  <w:szCs w:val="22"/>
                  <w:lang w:val="en-US"/>
                </w:rPr>
                <w:t>stations on mobile platforms (tracking system), placed on a limited area</w:t>
              </w:r>
            </w:hyperlink>
            <w:r>
              <w:rPr>
                <w:sz w:val="22"/>
                <w:szCs w:val="22"/>
                <w:lang w:val="en-US"/>
              </w:rPr>
              <w:t>.</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Referat</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color w:val="000000"/>
                <w:sz w:val="22"/>
                <w:szCs w:val="22"/>
                <w:lang w:val="ro-RO"/>
              </w:rPr>
              <w:t>Workshop of Foundations of Informatics (FOI-201</w:t>
            </w:r>
            <w:r>
              <w:rPr>
                <w:color w:val="000000"/>
                <w:sz w:val="22"/>
                <w:szCs w:val="22"/>
                <w:lang w:val="en-US"/>
              </w:rPr>
              <w:t>6</w:t>
            </w:r>
            <w:r>
              <w:rPr>
                <w:color w:val="000000"/>
                <w:sz w:val="22"/>
                <w:szCs w:val="22"/>
                <w:lang w:val="ro-RO"/>
              </w:rPr>
              <w:t>)</w:t>
            </w:r>
            <w:r>
              <w:rPr>
                <w:sz w:val="22"/>
                <w:szCs w:val="22"/>
                <w:lang w:val="ro-RO"/>
              </w:rPr>
              <w:t xml:space="preserve">, </w:t>
            </w:r>
            <w:r>
              <w:rPr>
                <w:color w:val="333333"/>
                <w:sz w:val="22"/>
                <w:szCs w:val="22"/>
                <w:shd w:fill="FFFFFF" w:val="clear"/>
                <w:lang w:val="ro-RO"/>
              </w:rPr>
              <w:t>July 25-29, 2016, Chisinau, Republic of Moldova</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color w:val="333333"/>
                <w:sz w:val="22"/>
                <w:szCs w:val="22"/>
                <w:shd w:fill="FFFFFF" w:val="clear"/>
                <w:lang w:val="ro-RO"/>
              </w:rPr>
              <w:t>Druguş, I.</w:t>
            </w:r>
            <w:r>
              <w:rPr>
                <w:rFonts w:cs="Times New Roman CE" w:ascii="Times New Roman CE" w:hAnsi="Times New Roman CE"/>
                <w:sz w:val="22"/>
                <w:szCs w:val="22"/>
                <w:lang w:val="ro-RO"/>
              </w:rPr>
              <w:t>, dr. în şt. f.-m.</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Scerbacova, A.V., Şcerbacov V., dr.hab. în şt.f.-m.</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color w:val="333333"/>
                <w:sz w:val="22"/>
                <w:szCs w:val="22"/>
                <w:shd w:fill="FFFFFF" w:val="clear"/>
                <w:lang w:val="ro-RO"/>
              </w:rPr>
              <w:t>An Extensional Model of Natural Languages</w:t>
            </w:r>
            <w:r>
              <w:rPr>
                <w:sz w:val="22"/>
                <w:szCs w:val="22"/>
                <w:lang w:val="ro-RO"/>
              </w:rPr>
              <w:t xml:space="preserve"> </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lang w:val="en-US"/>
              </w:rPr>
            </w:pPr>
            <w:r>
              <w:rPr>
                <w:sz w:val="22"/>
                <w:szCs w:val="22"/>
                <w:lang w:val="en-US"/>
              </w:rPr>
              <w:t>About spectrum of T_2-quasigroups</w:t>
            </w:r>
            <w:r>
              <w:rPr>
                <w:sz w:val="22"/>
                <w:szCs w:val="22"/>
                <w:lang w:val="ro-RO"/>
              </w:rPr>
              <w:t xml:space="preserve"> </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sz w:val="22"/>
                <w:szCs w:val="22"/>
                <w:lang w:val="ro-RO"/>
              </w:rPr>
              <w:t>Referat</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pPr>
            <w:r>
              <w:rPr>
                <w:sz w:val="22"/>
                <w:szCs w:val="22"/>
                <w:lang w:val="ro-RO"/>
              </w:rPr>
              <w:t>Referat</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tc>
      </w:tr>
      <w:tr>
        <w:trPr>
          <w:trHeight w:val="1810" w:hRule="atLeast"/>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both"/>
              <w:textAlignment w:val="auto"/>
              <w:rPr>
                <w:lang w:val="ro-RO"/>
              </w:rPr>
            </w:pPr>
            <w:r>
              <w:rPr>
                <w:sz w:val="22"/>
                <w:szCs w:val="22"/>
                <w:lang w:val="ro-RO"/>
              </w:rPr>
              <w:t>International conference Mathematics &amp; Information Technologies: Research and Education (MITRE-2016), June 23-26, 2016, Chisinau</w:t>
            </w:r>
          </w:p>
          <w:p>
            <w:pPr>
              <w:pStyle w:val="Normal"/>
              <w:widowControl/>
              <w:bidi w:val="0"/>
              <w:ind w:left="0" w:right="0" w:hanging="0"/>
              <w:jc w:val="both"/>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both"/>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both"/>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both"/>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both"/>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both"/>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both"/>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both"/>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both"/>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both"/>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both"/>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both"/>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both"/>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both"/>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both"/>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both"/>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both"/>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both"/>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both"/>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both"/>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both"/>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both"/>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both"/>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both"/>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both"/>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both"/>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both"/>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both"/>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both"/>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both"/>
              <w:textAlignment w:val="auto"/>
              <w:rPr>
                <w:rFonts w:ascii="Times New Roman" w:hAnsi="Times New Roman"/>
                <w:sz w:val="22"/>
                <w:szCs w:val="22"/>
                <w:lang w:val="ro-RO"/>
              </w:rPr>
            </w:pPr>
            <w:r>
              <w:rPr>
                <w:sz w:val="22"/>
                <w:szCs w:val="22"/>
                <w:lang w:val="ro-RO"/>
              </w:rPr>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Caşu A.,  dr. hab. în şt.f.-m.</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lang w:val="ro-RO"/>
              </w:rPr>
            </w:pPr>
            <w:r>
              <w:rPr>
                <w:sz w:val="22"/>
                <w:szCs w:val="22"/>
                <w:lang w:val="ro-RO"/>
              </w:rPr>
              <w:t xml:space="preserve">Jardan, I.  </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lang w:val="ro-RO"/>
              </w:rPr>
            </w:pPr>
            <w:r>
              <w:rPr>
                <w:sz w:val="22"/>
                <w:szCs w:val="22"/>
                <w:lang w:val="ro-RO"/>
              </w:rPr>
              <w:t>Arnautov V.I.,</w:t>
            </w:r>
            <w:r>
              <w:rPr>
                <w:rFonts w:cs="Times New Roman CE" w:ascii="Times New Roman CE" w:hAnsi="Times New Roman CE"/>
                <w:sz w:val="22"/>
                <w:szCs w:val="22"/>
                <w:lang w:val="ro-RO"/>
              </w:rPr>
              <w:t xml:space="preserve"> dr. hab. în şt.f.-m.</w:t>
            </w:r>
          </w:p>
          <w:p>
            <w:pPr>
              <w:pStyle w:val="Normal"/>
              <w:widowControl/>
              <w:bidi w:val="0"/>
              <w:ind w:left="0" w:right="0" w:hanging="0"/>
              <w:jc w:val="left"/>
              <w:textAlignment w:val="auto"/>
              <w:rPr/>
            </w:pPr>
            <w:r>
              <w:rPr>
                <w:rFonts w:cs="Times New Roman CE" w:ascii="Times New Roman CE" w:hAnsi="Times New Roman CE"/>
                <w:sz w:val="22"/>
                <w:szCs w:val="22"/>
                <w:lang w:val="ro-RO"/>
              </w:rPr>
              <w:t>Ermakova G.N., dr.  în şt.f.-m.</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Şcerbacov V., dr.hab. în şt.f.-m.</w:t>
            </w:r>
          </w:p>
          <w:p>
            <w:pPr>
              <w:pStyle w:val="Normal"/>
              <w:widowControl/>
              <w:bidi w:val="0"/>
              <w:ind w:left="0" w:right="0" w:hanging="0"/>
              <w:jc w:val="left"/>
              <w:textAlignment w:val="auto"/>
              <w:rPr>
                <w:lang w:val="ro-RO"/>
              </w:rPr>
            </w:pPr>
            <w:r>
              <w:rPr>
                <w:sz w:val="22"/>
                <w:szCs w:val="22"/>
                <w:lang w:val="ro-RO"/>
              </w:rPr>
              <w:t>Tcacenco A.</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lang w:val="ro-RO"/>
              </w:rPr>
            </w:pPr>
            <w:r>
              <w:rPr>
                <w:sz w:val="22"/>
                <w:szCs w:val="22"/>
                <w:lang w:val="ro-RO"/>
              </w:rPr>
              <w:t>Scerbacova  A.,</w:t>
            </w:r>
          </w:p>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Shcherbacov  V., dr.hab. în şt.f.-m.</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Izbaş V., dr.  în şt.f.-m.</w:t>
            </w:r>
          </w:p>
          <w:p>
            <w:pPr>
              <w:pStyle w:val="Normal"/>
              <w:widowControl/>
              <w:bidi w:val="0"/>
              <w:ind w:left="0" w:right="0" w:hanging="0"/>
              <w:jc w:val="left"/>
              <w:textAlignment w:val="auto"/>
              <w:rPr>
                <w:lang w:val="ro-RO"/>
              </w:rPr>
            </w:pPr>
            <w:r>
              <w:rPr>
                <w:sz w:val="22"/>
                <w:szCs w:val="22"/>
                <w:lang w:val="ro-RO"/>
              </w:rPr>
              <w:t>Luchian M.</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Gutsul I., dr.  în şt.f.-m.</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Damian, F., dr.  în şt.f.-m.</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lang w:val="ro-RO"/>
              </w:rPr>
            </w:pPr>
            <w:r>
              <w:rPr>
                <w:sz w:val="22"/>
                <w:szCs w:val="22"/>
                <w:lang w:val="ro-RO"/>
              </w:rPr>
              <w:t>Z</w:t>
            </w:r>
            <w:r>
              <w:rPr>
                <w:rFonts w:cs="Times New Roman CE" w:ascii="Times New Roman CE" w:hAnsi="Times New Roman CE"/>
                <w:sz w:val="22"/>
                <w:szCs w:val="22"/>
                <w:lang w:val="ro-RO"/>
              </w:rPr>
              <w:t>amorzaeva E., dr.  în şt.f.-m.</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lang w:val="ro-RO"/>
              </w:rPr>
            </w:pPr>
            <w:r>
              <w:rPr>
                <w:sz w:val="22"/>
                <w:szCs w:val="22"/>
                <w:lang w:val="ro-RO"/>
              </w:rPr>
              <w:t>On closure operators in categories of mo-dules ( an overview ).</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lang w:val="ro-RO"/>
              </w:rPr>
            </w:pPr>
            <w:r>
              <w:rPr>
                <w:sz w:val="22"/>
                <w:szCs w:val="22"/>
                <w:lang w:val="ro-RO"/>
              </w:rPr>
              <w:t xml:space="preserve">On a new operation in the class of preradicals of modules. </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lang w:val="ro-RO"/>
              </w:rPr>
            </w:pPr>
            <w:r>
              <w:rPr>
                <w:sz w:val="22"/>
                <w:szCs w:val="22"/>
                <w:lang w:val="ro-RO"/>
              </w:rPr>
              <w:t>Lattice of all topologies of countable module over countable rings.</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lang w:val="ro-RO"/>
              </w:rPr>
            </w:pPr>
            <w:r>
              <w:rPr>
                <w:sz w:val="22"/>
                <w:szCs w:val="22"/>
                <w:lang w:val="ro-RO"/>
              </w:rPr>
              <w:t>On prolongations of a quasigroup.</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iCs/>
                <w:sz w:val="22"/>
                <w:szCs w:val="22"/>
                <w:lang w:val="ro-RO"/>
              </w:rPr>
            </w:pPr>
            <w:r>
              <w:rPr>
                <w:iCs/>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lang w:val="ro-RO"/>
              </w:rPr>
            </w:pPr>
            <w:r>
              <w:rPr>
                <w:sz w:val="22"/>
                <w:szCs w:val="22"/>
                <w:lang w:val="ro-RO"/>
              </w:rPr>
              <w:t xml:space="preserve">About spectrum of </w:t>
            </w:r>
            <w:r>
              <w:rPr>
                <w:iCs/>
                <w:sz w:val="22"/>
                <w:szCs w:val="22"/>
                <w:lang w:val="ro-RO"/>
              </w:rPr>
              <w:t>T</w:t>
            </w:r>
            <w:r>
              <w:rPr>
                <w:iCs/>
                <w:sz w:val="22"/>
                <w:szCs w:val="22"/>
                <w:vertAlign w:val="subscript"/>
                <w:lang w:val="ro-RO"/>
              </w:rPr>
              <w:t>2</w:t>
            </w:r>
            <w:r>
              <w:rPr>
                <w:sz w:val="22"/>
                <w:szCs w:val="22"/>
                <w:lang w:val="ro-RO"/>
              </w:rPr>
              <w:t>-quasigroups.</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pPr>
            <w:r>
              <w:rPr>
                <w:sz w:val="22"/>
                <w:szCs w:val="22"/>
                <w:lang w:val="ro-RO"/>
              </w:rPr>
              <w:t xml:space="preserve">Generalizing Sierpinski’s theorem to multisorted operations. </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lang w:val="ro-RO"/>
              </w:rPr>
            </w:pPr>
            <w:r>
              <w:rPr>
                <w:sz w:val="22"/>
                <w:szCs w:val="22"/>
                <w:lang w:val="ro-RO"/>
              </w:rPr>
              <w:t xml:space="preserve">On octahedral manifolds and their completions. </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lang w:val="ro-RO"/>
              </w:rPr>
            </w:pPr>
            <w:r>
              <w:rPr>
                <w:sz w:val="22"/>
                <w:szCs w:val="22"/>
                <w:lang w:val="ro-RO"/>
              </w:rPr>
              <w:t>Involutions without fixed points on manifolds.</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lang w:val="ro-RO"/>
              </w:rPr>
            </w:pPr>
            <w:r>
              <w:rPr>
                <w:sz w:val="22"/>
                <w:szCs w:val="22"/>
                <w:lang w:val="ro-RO"/>
              </w:rPr>
              <w:t>On tilings of hyperbolic plane by 14-gons and 16-gons for translation group of genus 2.</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lang w:val="ro-RO"/>
              </w:rPr>
            </w:pPr>
            <w:r>
              <w:rPr>
                <w:sz w:val="22"/>
                <w:szCs w:val="22"/>
                <w:lang w:val="ro-RO"/>
              </w:rPr>
              <w:t>Referat</w:t>
            </w:r>
            <w:r>
              <w:rPr>
                <w:sz w:val="22"/>
                <w:szCs w:val="22"/>
                <w:lang w:val="en-US"/>
              </w:rPr>
              <w:t xml:space="preserve"> plenar,</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pPr>
            <w:r>
              <w:rPr>
                <w:sz w:val="22"/>
                <w:szCs w:val="22"/>
                <w:lang w:val="ro-RO"/>
              </w:rPr>
              <w:t>Referat</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pPr>
            <w:r>
              <w:rPr>
                <w:sz w:val="22"/>
                <w:szCs w:val="22"/>
                <w:lang w:val="ro-RO"/>
              </w:rPr>
              <w:t>Referat</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lang w:val="ro-RO"/>
              </w:rPr>
            </w:pPr>
            <w:r>
              <w:rPr>
                <w:sz w:val="22"/>
                <w:szCs w:val="22"/>
                <w:lang w:val="ro-RO"/>
              </w:rPr>
              <w:t>Referat</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lang w:val="ro-RO"/>
              </w:rPr>
            </w:pPr>
            <w:r>
              <w:rPr>
                <w:sz w:val="22"/>
                <w:szCs w:val="22"/>
                <w:lang w:val="ro-RO"/>
              </w:rPr>
              <w:t>Referat</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lang w:val="ro-RO"/>
              </w:rPr>
            </w:pPr>
            <w:r>
              <w:rPr>
                <w:sz w:val="22"/>
                <w:szCs w:val="22"/>
                <w:lang w:val="ro-RO"/>
              </w:rPr>
              <w:t>Referat</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lang w:val="ro-RO"/>
              </w:rPr>
            </w:pPr>
            <w:r>
              <w:rPr>
                <w:sz w:val="22"/>
                <w:szCs w:val="22"/>
                <w:lang w:val="ro-RO"/>
              </w:rPr>
              <w:t>Referat</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lang w:val="ro-RO"/>
              </w:rPr>
            </w:pPr>
            <w:r>
              <w:rPr>
                <w:sz w:val="22"/>
                <w:szCs w:val="22"/>
                <w:lang w:val="ro-RO"/>
              </w:rPr>
              <w:t>Referat</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lang w:val="ro-RO"/>
              </w:rPr>
            </w:pPr>
            <w:r>
              <w:rPr>
                <w:sz w:val="22"/>
                <w:szCs w:val="22"/>
                <w:lang w:val="ro-RO"/>
              </w:rPr>
              <w:t>Referat</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rFonts w:cs="Times New Roman CE" w:ascii="Times New Roman CE" w:hAnsi="Times New Roman CE"/>
                <w:sz w:val="22"/>
                <w:szCs w:val="22"/>
                <w:lang w:val="ro-RO"/>
              </w:rPr>
              <w:t>Atelierul Matematică şi Ştinţa Informaţiei</w:t>
            </w:r>
            <w:r>
              <w:rPr>
                <w:i/>
                <w:sz w:val="22"/>
                <w:szCs w:val="22"/>
                <w:lang w:val="ro-RO"/>
              </w:rPr>
              <w:t xml:space="preserve">, </w:t>
            </w:r>
            <w:r>
              <w:rPr>
                <w:rFonts w:cs="Times New Roman CE" w:ascii="Times New Roman CE" w:hAnsi="Times New Roman CE"/>
                <w:sz w:val="22"/>
                <w:szCs w:val="22"/>
                <w:lang w:val="ro-RO"/>
              </w:rPr>
              <w:t>Conferinţa Ştiinţifică Internaţională a studenţilor şi masteranzilor “Viitorul ne aparţine”, Ediţia a VI-a dedicată aniversării a 70-a de la crearea primelor instituţii de cercetare şi a 55-a de la fondarea Academiei de Ştiinţe a Moldovei, Chişinău 2016</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Luchian, M.</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Sigma Algebre S-ordonat sortate.</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Referat</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sz w:val="22"/>
                <w:szCs w:val="22"/>
                <w:lang w:val="ro-RO"/>
              </w:rPr>
              <w:t>Atelierul Ma</w:t>
            </w:r>
            <w:r>
              <w:rPr>
                <w:rFonts w:cs="Times New Roman CE" w:ascii="Times New Roman CE" w:hAnsi="Times New Roman CE"/>
                <w:sz w:val="22"/>
                <w:szCs w:val="22"/>
                <w:lang w:val="ro-RO"/>
              </w:rPr>
              <w:t>tematică şi Ştinţa Informaţiei</w:t>
            </w:r>
            <w:r>
              <w:rPr>
                <w:i/>
                <w:sz w:val="22"/>
                <w:szCs w:val="22"/>
                <w:lang w:val="ro-RO"/>
              </w:rPr>
              <w:t xml:space="preserve">, </w:t>
            </w:r>
            <w:r>
              <w:rPr>
                <w:rFonts w:cs="Times New Roman CE" w:ascii="Times New Roman CE" w:hAnsi="Times New Roman CE"/>
                <w:sz w:val="22"/>
                <w:szCs w:val="22"/>
                <w:lang w:val="ro-RO"/>
              </w:rPr>
              <w:t>Conferinţa Ştiinţifică Internaţională a studenţilor şi masteranzilor “Viitorul ne aparţine”, Ediţia a VI-a dedicată aniversării a 70-a de la crearea primelor instituţii de cercetare şi a 55-a de la fondarea Academiei de Ştiinţe a Moldovei, Chişinău 2016</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Ţărnă T.</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Problema de completitudine relativ la expresibilitate în logica modală EM4.</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Referat</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Şedinţa specială a seminarului Ştiinţific consacrată Prof. Valentin Belousov, Februarie  19, 2016</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Izbaş V., dr.  în şt.f.- m.</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Şcerbacov V., dr.hab. în şt.f.-m.</w:t>
            </w:r>
          </w:p>
          <w:p>
            <w:pPr>
              <w:pStyle w:val="Normal"/>
              <w:widowControl/>
              <w:bidi w:val="0"/>
              <w:ind w:left="0" w:right="0" w:hanging="0"/>
              <w:jc w:val="left"/>
              <w:textAlignment w:val="auto"/>
              <w:rPr>
                <w:lang w:val="en-US"/>
              </w:rPr>
            </w:pPr>
            <w:r>
              <w:rPr>
                <w:color w:val="000000"/>
                <w:sz w:val="22"/>
                <w:szCs w:val="22"/>
                <w:lang w:val="en-US"/>
              </w:rPr>
              <w:t>J.D. Phillps, V.</w:t>
            </w:r>
          </w:p>
          <w:p>
            <w:pPr>
              <w:pStyle w:val="ListParagraph"/>
              <w:widowControl/>
              <w:bidi w:val="0"/>
              <w:spacing w:before="0" w:after="0"/>
              <w:ind w:left="0" w:right="0" w:hanging="0"/>
              <w:contextualSpacing/>
              <w:jc w:val="left"/>
              <w:textAlignment w:val="auto"/>
              <w:rPr>
                <w:lang w:val="ro-RO"/>
              </w:rPr>
            </w:pPr>
            <w:r>
              <w:rPr>
                <w:sz w:val="22"/>
                <w:szCs w:val="22"/>
                <w:lang w:val="ro-RO"/>
              </w:rPr>
              <w:t xml:space="preserve">A prezentat: </w:t>
            </w:r>
          </w:p>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Şcerbacov V., dr.hab. în şt.f.-m.</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rFonts w:cs="Times New Roman CE" w:ascii="Times New Roman CE" w:hAnsi="Times New Roman CE"/>
                <w:color w:val="000000"/>
                <w:sz w:val="22"/>
                <w:szCs w:val="22"/>
                <w:lang w:val="en-US"/>
              </w:rPr>
              <w:t>V.Belousov – viaţa şi activitatea.</w:t>
            </w:r>
            <w:r>
              <w:rPr/>
              <w:br/>
            </w:r>
          </w:p>
          <w:p>
            <w:pPr>
              <w:pStyle w:val="Normal"/>
              <w:widowControl/>
              <w:bidi w:val="0"/>
              <w:ind w:left="0" w:right="0" w:hanging="0"/>
              <w:jc w:val="left"/>
              <w:textAlignment w:val="auto"/>
              <w:rPr>
                <w:rFonts w:ascii="Times New Roman" w:hAnsi="Times New Roman"/>
                <w:iCs/>
                <w:color w:val="000000"/>
                <w:spacing w:val="4"/>
                <w:sz w:val="22"/>
                <w:szCs w:val="22"/>
                <w:lang w:val="ro-RO"/>
              </w:rPr>
            </w:pPr>
            <w:r>
              <w:rPr>
                <w:iCs/>
                <w:color w:val="000000"/>
                <w:spacing w:val="4"/>
                <w:sz w:val="22"/>
                <w:szCs w:val="22"/>
                <w:lang w:val="ro-RO"/>
              </w:rPr>
            </w:r>
          </w:p>
          <w:p>
            <w:pPr>
              <w:pStyle w:val="Normal"/>
              <w:widowControl/>
              <w:bidi w:val="0"/>
              <w:ind w:left="0" w:right="0" w:hanging="0"/>
              <w:jc w:val="left"/>
              <w:textAlignment w:val="auto"/>
              <w:rPr>
                <w:lang w:val="en-US"/>
              </w:rPr>
            </w:pPr>
            <w:r>
              <w:rPr>
                <w:color w:val="000000"/>
                <w:sz w:val="22"/>
                <w:szCs w:val="22"/>
                <w:lang w:val="en-US"/>
              </w:rPr>
              <w:t>PCC- loops.</w:t>
            </w:r>
            <w:r>
              <w:rPr/>
              <w:br/>
            </w:r>
          </w:p>
          <w:p>
            <w:pPr>
              <w:pStyle w:val="Normal"/>
              <w:widowControl/>
              <w:bidi w:val="0"/>
              <w:ind w:left="0" w:right="0" w:hanging="0"/>
              <w:jc w:val="left"/>
              <w:textAlignment w:val="auto"/>
              <w:rPr>
                <w:rFonts w:ascii="Times New Roman" w:hAnsi="Times New Roman"/>
                <w:i/>
                <w:i/>
                <w:sz w:val="22"/>
                <w:szCs w:val="22"/>
                <w:lang w:val="ro-RO"/>
              </w:rPr>
            </w:pPr>
            <w:r>
              <w:rPr>
                <w:i/>
                <w:sz w:val="22"/>
                <w:szCs w:val="22"/>
                <w:lang w:val="ro-RO"/>
              </w:rPr>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Referat</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lang w:val="ro-RO"/>
              </w:rPr>
            </w:pPr>
            <w:r>
              <w:rPr>
                <w:sz w:val="22"/>
                <w:szCs w:val="22"/>
                <w:lang w:val="ro-RO"/>
              </w:rPr>
              <w:t>Referat</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Şedinţa specială a seminarului Ştiinţific consacrată aniversării de 90 ani de la naşterea lui A.V.Kuzneţov, Noiembrie  8, 2016</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Izbaş O., dr.  în şt.f.- m.</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Cuzneţov E., dr.  în şt.f.- m.</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color w:val="000000"/>
                <w:sz w:val="22"/>
                <w:szCs w:val="22"/>
                <w:lang w:val="ro-RO"/>
              </w:rPr>
              <w:t>A.V. Kuzneţov – fondatorul şcolii ştiinţifice de logică matematică din Moldova.</w:t>
            </w:r>
          </w:p>
          <w:p>
            <w:pPr>
              <w:pStyle w:val="Normal"/>
              <w:widowControl/>
              <w:bidi w:val="0"/>
              <w:ind w:left="0" w:right="0" w:hanging="0"/>
              <w:jc w:val="left"/>
              <w:textAlignment w:val="auto"/>
              <w:rPr>
                <w:rFonts w:ascii="Times New Roman" w:hAnsi="Times New Roman"/>
                <w:color w:val="000000"/>
                <w:sz w:val="22"/>
                <w:szCs w:val="22"/>
                <w:lang w:val="ro-RO"/>
              </w:rPr>
            </w:pPr>
            <w:r>
              <w:rPr>
                <w:color w:val="000000"/>
                <w:sz w:val="22"/>
                <w:szCs w:val="22"/>
                <w:lang w:val="ro-RO"/>
              </w:rPr>
            </w:r>
          </w:p>
          <w:p>
            <w:pPr>
              <w:pStyle w:val="Normal"/>
              <w:widowControl/>
              <w:bidi w:val="0"/>
              <w:ind w:left="0" w:right="0" w:hanging="0"/>
              <w:jc w:val="left"/>
              <w:textAlignment w:val="auto"/>
              <w:rPr>
                <w:rFonts w:ascii="Times New Roman" w:hAnsi="Times New Roman"/>
                <w:color w:val="000000"/>
                <w:sz w:val="22"/>
                <w:szCs w:val="22"/>
                <w:lang w:val="ro-RO"/>
              </w:rPr>
            </w:pPr>
            <w:r>
              <w:rPr>
                <w:color w:val="000000"/>
                <w:sz w:val="22"/>
                <w:szCs w:val="22"/>
                <w:lang w:val="ro-RO"/>
              </w:rPr>
            </w:r>
          </w:p>
          <w:p>
            <w:pPr>
              <w:pStyle w:val="Normal"/>
              <w:widowControl/>
              <w:bidi w:val="0"/>
              <w:ind w:left="0" w:right="0" w:hanging="0"/>
              <w:jc w:val="left"/>
              <w:textAlignment w:val="auto"/>
              <w:rPr>
                <w:lang w:val="ro-RO"/>
              </w:rPr>
            </w:pPr>
            <w:r>
              <w:rPr>
                <w:rFonts w:cs="Times New Roman CE" w:ascii="Times New Roman CE" w:hAnsi="Times New Roman CE"/>
                <w:color w:val="000000"/>
                <w:sz w:val="22"/>
                <w:szCs w:val="22"/>
                <w:lang w:val="ro-RO"/>
              </w:rPr>
              <w:t xml:space="preserve">Cuasigrupuri şi combinatorică, algebră </w:t>
            </w:r>
            <w:r>
              <w:rPr>
                <w:rFonts w:ascii="Cambria Math" w:hAnsi="Cambria Math"/>
                <w:color w:val="000000"/>
                <w:sz w:val="22"/>
                <w:szCs w:val="22"/>
                <w:lang w:val="ro-RO"/>
              </w:rPr>
              <w:t>ș</w:t>
            </w:r>
            <w:r>
              <w:rPr>
                <w:rFonts w:cs="Times New Roman CE" w:ascii="Times New Roman CE" w:hAnsi="Times New Roman CE"/>
                <w:color w:val="000000"/>
                <w:sz w:val="22"/>
                <w:szCs w:val="22"/>
                <w:lang w:val="ro-RO"/>
              </w:rPr>
              <w:t>i logică în lucrările lui A.V</w:t>
            </w:r>
            <w:r>
              <w:rPr>
                <w:color w:val="000000"/>
                <w:sz w:val="22"/>
                <w:szCs w:val="22"/>
                <w:lang w:val="ro-RO"/>
              </w:rPr>
              <w:t>. Kuzne</w:t>
            </w:r>
            <w:r>
              <w:rPr>
                <w:rFonts w:ascii="Cambria Math" w:hAnsi="Cambria Math"/>
                <w:color w:val="000000"/>
                <w:sz w:val="22"/>
                <w:szCs w:val="22"/>
                <w:lang w:val="ro-RO"/>
              </w:rPr>
              <w:t>ț</w:t>
            </w:r>
            <w:r>
              <w:rPr>
                <w:rFonts w:cs="Times New Roman CE" w:ascii="Times New Roman CE" w:hAnsi="Times New Roman CE"/>
                <w:color w:val="000000"/>
                <w:sz w:val="22"/>
                <w:szCs w:val="22"/>
                <w:lang w:val="ro-RO"/>
              </w:rPr>
              <w:t>ov (în baza unui articol)</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Referat</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lang w:val="ro-RO"/>
              </w:rPr>
            </w:pPr>
            <w:r>
              <w:rPr>
                <w:sz w:val="22"/>
                <w:szCs w:val="22"/>
                <w:lang w:val="ro-RO"/>
              </w:rPr>
              <w:t>Referat</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Conferinţa tehnico-stiinţifică a colaboratorilor, doctoranzilor şi studenţilor, noiembrie 2016, Universitatea Tehnică a Moldovei, Chişinău</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Cojuhari  E., dr.  în şt.f.- m.</w:t>
            </w:r>
          </w:p>
          <w:p>
            <w:pPr>
              <w:pStyle w:val="Normal"/>
              <w:widowControl/>
              <w:bidi w:val="0"/>
              <w:ind w:left="0" w:right="0" w:hanging="0"/>
              <w:jc w:val="left"/>
              <w:textAlignment w:val="auto"/>
              <w:rPr>
                <w:rFonts w:ascii="Times New Roman" w:hAnsi="Times New Roman"/>
                <w:bCs/>
                <w:sz w:val="22"/>
                <w:szCs w:val="22"/>
                <w:lang w:val="ro-RO"/>
              </w:rPr>
            </w:pPr>
            <w:r>
              <w:rPr>
                <w:bCs/>
                <w:sz w:val="22"/>
                <w:szCs w:val="22"/>
                <w:lang w:val="ro-RO"/>
              </w:rPr>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On generalized monoid  rings.</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Referat</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 xml:space="preserve">Математическое моделирование в образовании, науке и  производстве. IX Международнaя конференция, MM2016, </w:t>
            </w:r>
            <w:r>
              <w:rPr>
                <w:sz w:val="22"/>
                <w:szCs w:val="22"/>
              </w:rPr>
              <w:t>29-30 сентября, 2016, Тирасполь</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Arnautov V.I., dr. hab. în şt.f.-m.</w:t>
            </w:r>
          </w:p>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Ermakova G.N., dr.  în şt.f.-m.</w:t>
            </w:r>
          </w:p>
          <w:p>
            <w:pPr>
              <w:pStyle w:val="ListParagraph"/>
              <w:widowControl/>
              <w:bidi w:val="0"/>
              <w:spacing w:before="0" w:after="0"/>
              <w:ind w:left="0" w:right="0" w:hanging="0"/>
              <w:contextualSpacing/>
              <w:jc w:val="left"/>
              <w:textAlignment w:val="auto"/>
              <w:rPr>
                <w:lang w:val="ro-RO"/>
              </w:rPr>
            </w:pPr>
            <w:r>
              <w:rPr>
                <w:sz w:val="22"/>
                <w:szCs w:val="22"/>
                <w:lang w:val="ro-RO"/>
              </w:rPr>
              <w:t xml:space="preserve">A prezentat: </w:t>
            </w:r>
          </w:p>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Ermakova G.N., dr.  în şt</w:t>
            </w:r>
            <w:r>
              <w:rPr>
                <w:sz w:val="22"/>
                <w:szCs w:val="22"/>
                <w:lang w:val="ro-RO"/>
              </w:rPr>
              <w:t>.f.-m.</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sz w:val="22"/>
                <w:szCs w:val="22"/>
              </w:rPr>
              <w:t>Совершенствование математического образования – 2016: состояние и перспективы развития.</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sz w:val="22"/>
                <w:szCs w:val="22"/>
                <w:lang w:val="ro-RO"/>
              </w:rPr>
              <w:t>Referat</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ro-RO"/>
              </w:rPr>
            </w:pPr>
            <w:r>
              <w:rPr>
                <w:rFonts w:cs="Times New Roman CE" w:ascii="Times New Roman CE" w:hAnsi="Times New Roman CE"/>
                <w:sz w:val="22"/>
                <w:szCs w:val="22"/>
                <w:lang w:val="ro-RO"/>
              </w:rPr>
              <w:t>Conferinţa Ştiinţifică Internaţională a Doctoranzilor – Tendinţe contemporane ale dezvoltării Ştiinţei: Viziuni ale tinerilor cercetători, 25 mai 2016, Chişinău, Republica Moldova</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ro-RO"/>
              </w:rPr>
            </w:pPr>
            <w:r>
              <w:rPr>
                <w:sz w:val="22"/>
                <w:szCs w:val="22"/>
                <w:lang w:val="ro-RO"/>
              </w:rPr>
              <w:t>Turuta S.</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en-US"/>
              </w:rPr>
            </w:pPr>
            <w:r>
              <w:rPr>
                <w:sz w:val="22"/>
                <w:szCs w:val="22"/>
                <w:lang w:val="en-US"/>
              </w:rPr>
              <w:t xml:space="preserve">Darboux first integrals of Lotka-Volterra cubic differential systems with (1:-2)-singularity having invariant straight lines of two directions and total multiplicity six. </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ro-RO"/>
              </w:rPr>
            </w:pPr>
            <w:r>
              <w:rPr>
                <w:rFonts w:cs="Times New Roman CE" w:ascii="Times New Roman CE" w:hAnsi="Times New Roman CE"/>
                <w:sz w:val="22"/>
                <w:szCs w:val="22"/>
                <w:lang w:val="ro-RO"/>
              </w:rPr>
              <w:t>Raport secţie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en-US"/>
              </w:rPr>
            </w:pPr>
            <w:r>
              <w:rPr>
                <w:sz w:val="22"/>
                <w:szCs w:val="22"/>
                <w:lang w:val="en-US"/>
              </w:rPr>
              <w:t xml:space="preserve">International Conference “Mathematics &amp;  Information Technologies:  Research and Education”  (MITRE – 2016), 6-th edition. </w:t>
            </w:r>
            <w:r>
              <w:rPr>
                <w:rFonts w:cs="Times New Roman CE" w:ascii="Times New Roman CE" w:hAnsi="Times New Roman CE"/>
                <w:sz w:val="22"/>
                <w:szCs w:val="22"/>
                <w:lang w:val="ro-RO"/>
              </w:rPr>
              <w:t>Abstracts, Chişinău, June 23-25, 2016</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0"/>
              <w:ind w:left="0" w:right="0" w:hanging="0"/>
              <w:contextualSpacing/>
              <w:jc w:val="left"/>
              <w:textAlignment w:val="auto"/>
              <w:rPr>
                <w:lang w:val="ro-RO"/>
              </w:rPr>
            </w:pPr>
            <w:r>
              <w:rPr>
                <w:sz w:val="22"/>
                <w:szCs w:val="22"/>
                <w:lang w:val="ro-RO"/>
              </w:rPr>
              <w:t xml:space="preserve">Bujac C., </w:t>
            </w:r>
          </w:p>
          <w:p>
            <w:pPr>
              <w:pStyle w:val="ListParagraph"/>
              <w:widowControl/>
              <w:bidi w:val="0"/>
              <w:spacing w:before="0" w:after="0"/>
              <w:ind w:left="0" w:right="0" w:hanging="0"/>
              <w:contextualSpacing/>
              <w:jc w:val="left"/>
              <w:textAlignment w:val="auto"/>
              <w:rPr>
                <w:lang w:val="ro-RO"/>
              </w:rPr>
            </w:pPr>
            <w:r>
              <w:rPr>
                <w:sz w:val="22"/>
                <w:szCs w:val="22"/>
                <w:lang w:val="ro-RO"/>
              </w:rPr>
              <w:t>Vulpe N.</w:t>
            </w:r>
          </w:p>
          <w:p>
            <w:pPr>
              <w:pStyle w:val="ListParagraph"/>
              <w:widowControl/>
              <w:bidi w:val="0"/>
              <w:spacing w:before="0" w:after="0"/>
              <w:ind w:left="0" w:right="0" w:hanging="0"/>
              <w:contextualSpacing/>
              <w:jc w:val="left"/>
              <w:textAlignment w:val="auto"/>
              <w:rPr>
                <w:lang w:val="ro-RO"/>
              </w:rPr>
            </w:pPr>
            <w:r>
              <w:rPr>
                <w:sz w:val="22"/>
                <w:szCs w:val="22"/>
                <w:lang w:val="ro-RO"/>
              </w:rPr>
              <w:t xml:space="preserve">A prezentat: </w:t>
            </w:r>
          </w:p>
          <w:p>
            <w:pPr>
              <w:pStyle w:val="ListParagraph"/>
              <w:widowControl/>
              <w:bidi w:val="0"/>
              <w:spacing w:before="0" w:after="0"/>
              <w:ind w:left="0" w:right="0" w:hanging="0"/>
              <w:contextualSpacing/>
              <w:jc w:val="left"/>
              <w:textAlignment w:val="auto"/>
              <w:rPr>
                <w:lang w:val="ro-RO"/>
              </w:rPr>
            </w:pPr>
            <w:r>
              <w:rPr>
                <w:sz w:val="22"/>
                <w:szCs w:val="22"/>
                <w:lang w:val="ro-RO"/>
              </w:rPr>
              <w:t>Bujac C.</w:t>
            </w:r>
          </w:p>
          <w:p>
            <w:pPr>
              <w:pStyle w:val="ListParagraph"/>
              <w:widowControl/>
              <w:bidi w:val="0"/>
              <w:spacing w:before="0" w:after="200"/>
              <w:ind w:left="0" w:right="0" w:hanging="0"/>
              <w:contextualSpacing/>
              <w:jc w:val="left"/>
              <w:textAlignment w:val="auto"/>
              <w:rPr>
                <w:rFonts w:ascii="Times New Roman" w:hAnsi="Times New Roman"/>
                <w:sz w:val="22"/>
                <w:szCs w:val="22"/>
                <w:lang w:val="ro-RO"/>
              </w:rPr>
            </w:pPr>
            <w:r>
              <w:rPr>
                <w:sz w:val="22"/>
                <w:szCs w:val="22"/>
                <w:lang w:val="ro-RO"/>
              </w:rPr>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rPr>
              <w:t>First integrals of cubic systems with the maximum number of invariant lines</w:t>
            </w:r>
            <w:r>
              <w:rPr>
                <w:sz w:val="22"/>
                <w:szCs w:val="22"/>
                <w:lang w:val="en-CA"/>
              </w:rPr>
              <w:t xml:space="preserve">.  </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ro-RO"/>
              </w:rPr>
            </w:pPr>
            <w:r>
              <w:rPr>
                <w:rFonts w:cs="Times New Roman CE" w:ascii="Times New Roman CE" w:hAnsi="Times New Roman CE"/>
                <w:sz w:val="22"/>
                <w:szCs w:val="22"/>
                <w:lang w:val="ro-RO"/>
              </w:rPr>
              <w:t>Raport secţie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0"/>
              <w:ind w:left="0" w:right="0" w:hanging="0"/>
              <w:contextualSpacing/>
              <w:jc w:val="left"/>
              <w:textAlignment w:val="auto"/>
              <w:rPr>
                <w:rFonts w:ascii="Times New Roman" w:hAnsi="Times New Roman"/>
                <w:sz w:val="22"/>
                <w:szCs w:val="22"/>
                <w:lang w:val="en-US"/>
              </w:rPr>
            </w:pPr>
            <w:r>
              <w:rPr>
                <w:sz w:val="22"/>
                <w:szCs w:val="22"/>
                <w:lang w:val="en-US"/>
              </w:rPr>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0"/>
              <w:ind w:left="0" w:right="0" w:hanging="0"/>
              <w:contextualSpacing/>
              <w:jc w:val="left"/>
              <w:textAlignment w:val="auto"/>
              <w:rPr>
                <w:lang w:val="ro-RO"/>
              </w:rPr>
            </w:pPr>
            <w:r>
              <w:rPr>
                <w:sz w:val="22"/>
                <w:szCs w:val="22"/>
                <w:lang w:val="ro-RO"/>
              </w:rPr>
              <w:t>Calin Iu., Ciubotaru S.</w:t>
            </w:r>
          </w:p>
          <w:p>
            <w:pPr>
              <w:pStyle w:val="ListParagraph"/>
              <w:widowControl/>
              <w:bidi w:val="0"/>
              <w:spacing w:before="0" w:after="0"/>
              <w:ind w:left="0" w:right="0" w:hanging="0"/>
              <w:contextualSpacing/>
              <w:jc w:val="left"/>
              <w:textAlignment w:val="auto"/>
              <w:rPr>
                <w:lang w:val="ro-RO"/>
              </w:rPr>
            </w:pPr>
            <w:r>
              <w:rPr>
                <w:sz w:val="22"/>
                <w:szCs w:val="22"/>
                <w:lang w:val="ro-RO"/>
              </w:rPr>
              <w:t xml:space="preserve">A prezentat: </w:t>
            </w:r>
          </w:p>
          <w:p>
            <w:pPr>
              <w:pStyle w:val="ListParagraph"/>
              <w:widowControl/>
              <w:bidi w:val="0"/>
              <w:spacing w:before="0" w:after="0"/>
              <w:ind w:left="0" w:right="0" w:hanging="0"/>
              <w:contextualSpacing/>
              <w:jc w:val="left"/>
              <w:textAlignment w:val="auto"/>
              <w:rPr>
                <w:lang w:val="ro-RO"/>
              </w:rPr>
            </w:pPr>
            <w:r>
              <w:rPr>
                <w:sz w:val="22"/>
                <w:szCs w:val="22"/>
                <w:lang w:val="ro-RO"/>
              </w:rPr>
              <w:t>Ciubotaru S.</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0"/>
              <w:ind w:left="0" w:right="0" w:hanging="0"/>
              <w:contextualSpacing/>
              <w:jc w:val="both"/>
              <w:textAlignment w:val="auto"/>
              <w:rPr>
                <w:lang w:val="en-US"/>
              </w:rPr>
            </w:pPr>
            <w:r>
              <w:rPr>
                <w:sz w:val="22"/>
                <w:szCs w:val="22"/>
                <w:lang w:val="en-US"/>
              </w:rPr>
              <w:t>GL(2, R)-comitants and Lyapunov quantities for bidimensional polynomial systems of differential equations with nonlinearities of the fourth degree.</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0"/>
              <w:ind w:left="0" w:right="0" w:hanging="0"/>
              <w:contextualSpacing/>
              <w:jc w:val="both"/>
              <w:textAlignment w:val="auto"/>
              <w:rPr>
                <w:lang w:val="ro-RO"/>
              </w:rPr>
            </w:pPr>
            <w:r>
              <w:rPr>
                <w:rFonts w:cs="Times New Roman CE" w:ascii="Times New Roman CE" w:hAnsi="Times New Roman CE"/>
                <w:sz w:val="22"/>
                <w:szCs w:val="22"/>
                <w:lang w:val="ro-RO"/>
              </w:rPr>
              <w:t>Raport secţie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0"/>
              <w:ind w:left="0" w:right="0" w:hanging="0"/>
              <w:contextualSpacing/>
              <w:jc w:val="left"/>
              <w:textAlignment w:val="auto"/>
              <w:rPr>
                <w:rFonts w:ascii="Times New Roman" w:hAnsi="Times New Roman"/>
                <w:sz w:val="22"/>
                <w:szCs w:val="22"/>
                <w:lang w:val="en-US"/>
              </w:rPr>
            </w:pPr>
            <w:r>
              <w:rPr>
                <w:sz w:val="22"/>
                <w:szCs w:val="22"/>
                <w:lang w:val="en-US"/>
              </w:rPr>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0"/>
              <w:ind w:left="0" w:right="0" w:hanging="0"/>
              <w:contextualSpacing/>
              <w:jc w:val="left"/>
              <w:textAlignment w:val="auto"/>
              <w:rPr>
                <w:lang w:val="ro-RO"/>
              </w:rPr>
            </w:pPr>
            <w:r>
              <w:rPr>
                <w:sz w:val="22"/>
                <w:szCs w:val="22"/>
                <w:lang w:val="ro-RO"/>
              </w:rPr>
              <w:t>Ciubotaru S., Calin Iu.</w:t>
            </w:r>
          </w:p>
          <w:p>
            <w:pPr>
              <w:pStyle w:val="ListParagraph"/>
              <w:widowControl/>
              <w:bidi w:val="0"/>
              <w:spacing w:before="0" w:after="0"/>
              <w:ind w:left="0" w:right="0" w:hanging="0"/>
              <w:contextualSpacing/>
              <w:jc w:val="left"/>
              <w:textAlignment w:val="auto"/>
              <w:rPr>
                <w:lang w:val="ro-RO"/>
              </w:rPr>
            </w:pPr>
            <w:r>
              <w:rPr>
                <w:sz w:val="22"/>
                <w:szCs w:val="22"/>
                <w:lang w:val="ro-RO"/>
              </w:rPr>
              <w:t xml:space="preserve">A prezentat: </w:t>
            </w:r>
          </w:p>
          <w:p>
            <w:pPr>
              <w:pStyle w:val="ListParagraph"/>
              <w:widowControl/>
              <w:bidi w:val="0"/>
              <w:spacing w:before="0" w:after="0"/>
              <w:ind w:left="0" w:right="0" w:hanging="0"/>
              <w:contextualSpacing/>
              <w:jc w:val="left"/>
              <w:textAlignment w:val="auto"/>
              <w:rPr>
                <w:lang w:val="ro-RO"/>
              </w:rPr>
            </w:pPr>
            <w:r>
              <w:rPr>
                <w:sz w:val="22"/>
                <w:szCs w:val="22"/>
                <w:lang w:val="ro-RO"/>
              </w:rPr>
              <w:t>Ciubotaru S.</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rPr>
              <w:t>The center conditions for a class of bidimensional polynomial systems of differential equations with nonlinearities of the fourth degree.</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pPr>
            <w:r>
              <w:rPr>
                <w:sz w:val="22"/>
                <w:szCs w:val="22"/>
                <w:lang w:val="ro-RO"/>
              </w:rPr>
              <w:t>Raport sec</w:t>
            </w:r>
            <w:r>
              <w:rPr>
                <w:rFonts w:ascii="Cambria Math" w:hAnsi="Cambria Math"/>
                <w:sz w:val="22"/>
                <w:szCs w:val="22"/>
                <w:lang w:val="ro-RO"/>
              </w:rPr>
              <w:t>ț</w:t>
            </w:r>
            <w:r>
              <w:rPr>
                <w:sz w:val="22"/>
                <w:szCs w:val="22"/>
                <w:lang w:val="ro-RO"/>
              </w:rPr>
              <w:t>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rFonts w:ascii="Times New Roman" w:hAnsi="Times New Roman"/>
                <w:sz w:val="22"/>
                <w:szCs w:val="22"/>
                <w:lang w:val="en-US"/>
              </w:rPr>
            </w:pPr>
            <w:r>
              <w:rPr>
                <w:sz w:val="22"/>
                <w:szCs w:val="22"/>
                <w:lang w:val="en-US"/>
              </w:rPr>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ro-RO"/>
              </w:rPr>
            </w:pPr>
            <w:r>
              <w:rPr>
                <w:sz w:val="22"/>
                <w:szCs w:val="22"/>
                <w:lang w:val="ro-RO"/>
              </w:rPr>
              <w:t>Dryma V.</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rPr>
              <w:t>On solving equations of flows of incompressible liquids</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pPr>
            <w:r>
              <w:rPr>
                <w:sz w:val="22"/>
                <w:szCs w:val="22"/>
                <w:lang w:val="ro-RO"/>
              </w:rPr>
              <w:t>Raport sec</w:t>
            </w:r>
            <w:r>
              <w:rPr>
                <w:rFonts w:ascii="Cambria Math" w:hAnsi="Cambria Math"/>
                <w:sz w:val="22"/>
                <w:szCs w:val="22"/>
                <w:lang w:val="ro-RO"/>
              </w:rPr>
              <w:t>ț</w:t>
            </w:r>
            <w:r>
              <w:rPr>
                <w:sz w:val="22"/>
                <w:szCs w:val="22"/>
                <w:lang w:val="ro-RO"/>
              </w:rPr>
              <w:t>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rFonts w:ascii="Times New Roman" w:hAnsi="Times New Roman"/>
                <w:sz w:val="22"/>
                <w:szCs w:val="22"/>
                <w:lang w:val="en-US"/>
              </w:rPr>
            </w:pPr>
            <w:r>
              <w:rPr>
                <w:sz w:val="22"/>
                <w:szCs w:val="22"/>
                <w:lang w:val="en-US"/>
              </w:rPr>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0"/>
              <w:ind w:left="0" w:right="0" w:hanging="0"/>
              <w:contextualSpacing/>
              <w:jc w:val="left"/>
              <w:textAlignment w:val="auto"/>
              <w:rPr>
                <w:lang w:val="ro-RO"/>
              </w:rPr>
            </w:pPr>
            <w:r>
              <w:rPr>
                <w:sz w:val="22"/>
                <w:szCs w:val="22"/>
                <w:lang w:val="ro-RO"/>
              </w:rPr>
              <w:t>Neagu N.,  Popa M.</w:t>
            </w:r>
          </w:p>
          <w:p>
            <w:pPr>
              <w:pStyle w:val="ListParagraph"/>
              <w:widowControl/>
              <w:bidi w:val="0"/>
              <w:spacing w:before="0" w:after="0"/>
              <w:ind w:left="0" w:right="0" w:hanging="0"/>
              <w:contextualSpacing/>
              <w:jc w:val="left"/>
              <w:textAlignment w:val="auto"/>
              <w:rPr>
                <w:lang w:val="ro-RO"/>
              </w:rPr>
            </w:pPr>
            <w:r>
              <w:rPr>
                <w:sz w:val="22"/>
                <w:szCs w:val="22"/>
                <w:lang w:val="ro-RO"/>
              </w:rPr>
              <w:t xml:space="preserve">A prezentat: </w:t>
            </w:r>
          </w:p>
          <w:p>
            <w:pPr>
              <w:pStyle w:val="ListParagraph"/>
              <w:widowControl/>
              <w:bidi w:val="0"/>
              <w:spacing w:before="0" w:after="0"/>
              <w:ind w:left="0" w:right="0" w:hanging="0"/>
              <w:contextualSpacing/>
              <w:jc w:val="left"/>
              <w:textAlignment w:val="auto"/>
              <w:rPr>
                <w:lang w:val="ro-RO"/>
              </w:rPr>
            </w:pPr>
            <w:r>
              <w:rPr>
                <w:sz w:val="22"/>
                <w:szCs w:val="22"/>
                <w:lang w:val="ro-RO"/>
              </w:rPr>
              <w:t>Neagu N.</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rPr>
              <w:t>Lie algebras of ternary differential systems with quadratic nonlinearities of the Darboux form and applications.</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pPr>
            <w:r>
              <w:rPr>
                <w:sz w:val="22"/>
                <w:szCs w:val="22"/>
                <w:lang w:val="ro-RO"/>
              </w:rPr>
              <w:t>Raport sec</w:t>
            </w:r>
            <w:r>
              <w:rPr>
                <w:rFonts w:ascii="Cambria Math" w:hAnsi="Cambria Math"/>
                <w:sz w:val="22"/>
                <w:szCs w:val="22"/>
                <w:lang w:val="ro-RO"/>
              </w:rPr>
              <w:t>ț</w:t>
            </w:r>
            <w:r>
              <w:rPr>
                <w:sz w:val="22"/>
                <w:szCs w:val="22"/>
                <w:lang w:val="ro-RO"/>
              </w:rPr>
              <w:t>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rFonts w:ascii="Times New Roman" w:hAnsi="Times New Roman"/>
                <w:sz w:val="22"/>
                <w:szCs w:val="22"/>
                <w:lang w:val="en-US"/>
              </w:rPr>
            </w:pPr>
            <w:r>
              <w:rPr>
                <w:sz w:val="22"/>
                <w:szCs w:val="22"/>
                <w:lang w:val="en-US"/>
              </w:rPr>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ro-RO"/>
              </w:rPr>
            </w:pPr>
            <w:r>
              <w:rPr>
                <w:sz w:val="22"/>
                <w:szCs w:val="22"/>
                <w:lang w:val="ro-RO"/>
              </w:rPr>
              <w:t>Orlov V.;</w:t>
            </w:r>
          </w:p>
          <w:p>
            <w:pPr>
              <w:pStyle w:val="ListParagraph"/>
              <w:widowControl/>
              <w:bidi w:val="0"/>
              <w:spacing w:before="0" w:after="200"/>
              <w:ind w:left="0" w:right="0" w:hanging="0"/>
              <w:contextualSpacing/>
              <w:jc w:val="left"/>
              <w:textAlignment w:val="auto"/>
              <w:rPr>
                <w:lang w:val="ro-RO"/>
              </w:rPr>
            </w:pPr>
            <w:r>
              <w:rPr>
                <w:sz w:val="22"/>
                <w:szCs w:val="22"/>
                <w:lang w:val="ro-RO"/>
              </w:rPr>
              <w:t>Popa M.</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rPr>
              <w:t>Canonical forms of the four-dimensional Lyapunov-Darboux differential system with quadratic nonlinearities.</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pPr>
            <w:r>
              <w:rPr>
                <w:sz w:val="22"/>
                <w:szCs w:val="22"/>
                <w:lang w:val="ro-RO"/>
              </w:rPr>
              <w:t>Raport sec</w:t>
            </w:r>
            <w:r>
              <w:rPr>
                <w:rFonts w:ascii="Cambria Math" w:hAnsi="Cambria Math"/>
                <w:sz w:val="22"/>
                <w:szCs w:val="22"/>
                <w:lang w:val="ro-RO"/>
              </w:rPr>
              <w:t>ț</w:t>
            </w:r>
            <w:r>
              <w:rPr>
                <w:sz w:val="22"/>
                <w:szCs w:val="22"/>
                <w:lang w:val="ro-RO"/>
              </w:rPr>
              <w:t>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0"/>
              <w:ind w:left="0" w:right="0" w:hanging="0"/>
              <w:contextualSpacing/>
              <w:jc w:val="left"/>
              <w:textAlignment w:val="auto"/>
              <w:rPr>
                <w:rFonts w:ascii="Times New Roman" w:hAnsi="Times New Roman"/>
                <w:sz w:val="22"/>
                <w:szCs w:val="22"/>
                <w:lang w:val="en-US"/>
              </w:rPr>
            </w:pPr>
            <w:r>
              <w:rPr>
                <w:sz w:val="22"/>
                <w:szCs w:val="22"/>
                <w:lang w:val="en-US"/>
              </w:rPr>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0"/>
              <w:ind w:left="0" w:right="0" w:hanging="0"/>
              <w:contextualSpacing/>
              <w:jc w:val="left"/>
              <w:textAlignment w:val="auto"/>
              <w:rPr>
                <w:lang w:val="ro-RO"/>
              </w:rPr>
            </w:pPr>
            <w:r>
              <w:rPr>
                <w:sz w:val="22"/>
                <w:szCs w:val="22"/>
                <w:lang w:val="ro-RO"/>
              </w:rPr>
              <w:t>Port S.,Pricop V., Trifan V.</w:t>
            </w:r>
          </w:p>
          <w:p>
            <w:pPr>
              <w:pStyle w:val="ListParagraph"/>
              <w:widowControl/>
              <w:bidi w:val="0"/>
              <w:spacing w:before="0" w:after="0"/>
              <w:ind w:left="0" w:right="0" w:hanging="0"/>
              <w:contextualSpacing/>
              <w:jc w:val="left"/>
              <w:textAlignment w:val="auto"/>
              <w:rPr>
                <w:lang w:val="ro-RO"/>
              </w:rPr>
            </w:pPr>
            <w:r>
              <w:rPr>
                <w:sz w:val="22"/>
                <w:szCs w:val="22"/>
                <w:lang w:val="ro-RO"/>
              </w:rPr>
              <w:t xml:space="preserve">A prezentat: </w:t>
            </w:r>
          </w:p>
          <w:p>
            <w:pPr>
              <w:pStyle w:val="ListParagraph"/>
              <w:widowControl/>
              <w:bidi w:val="0"/>
              <w:spacing w:before="0" w:after="0"/>
              <w:ind w:left="0" w:right="0" w:hanging="0"/>
              <w:contextualSpacing/>
              <w:jc w:val="left"/>
              <w:textAlignment w:val="auto"/>
              <w:rPr>
                <w:lang w:val="ro-RO"/>
              </w:rPr>
            </w:pPr>
            <w:r>
              <w:rPr>
                <w:sz w:val="22"/>
                <w:szCs w:val="22"/>
                <w:lang w:val="ro-RO"/>
              </w:rPr>
              <w:t>Pricop V.</w:t>
            </w:r>
          </w:p>
          <w:p>
            <w:pPr>
              <w:pStyle w:val="ListParagraph"/>
              <w:widowControl/>
              <w:bidi w:val="0"/>
              <w:spacing w:before="0" w:after="0"/>
              <w:ind w:left="0" w:right="0" w:hanging="0"/>
              <w:contextualSpacing/>
              <w:jc w:val="left"/>
              <w:textAlignment w:val="auto"/>
              <w:rPr>
                <w:rFonts w:ascii="Times New Roman" w:hAnsi="Times New Roman"/>
                <w:sz w:val="22"/>
                <w:szCs w:val="22"/>
                <w:lang w:val="ro-RO"/>
              </w:rPr>
            </w:pPr>
            <w:r>
              <w:rPr>
                <w:sz w:val="22"/>
                <w:szCs w:val="22"/>
                <w:lang w:val="ro-RO"/>
              </w:rPr>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0"/>
              <w:ind w:left="0" w:right="0" w:hanging="0"/>
              <w:contextualSpacing/>
              <w:jc w:val="both"/>
              <w:textAlignment w:val="auto"/>
              <w:rPr>
                <w:lang w:val="en-US"/>
              </w:rPr>
            </w:pPr>
            <w:r>
              <w:rPr>
                <w:sz w:val="22"/>
                <w:szCs w:val="22"/>
                <w:lang w:val="en-US"/>
              </w:rPr>
              <w:t>The mathematical model of emotion impact.</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0"/>
              <w:ind w:left="0" w:right="0" w:hanging="0"/>
              <w:contextualSpacing/>
              <w:jc w:val="both"/>
              <w:textAlignment w:val="auto"/>
              <w:rPr>
                <w:lang w:val="ro-RO"/>
              </w:rPr>
            </w:pPr>
            <w:r>
              <w:rPr>
                <w:sz w:val="22"/>
                <w:szCs w:val="22"/>
                <w:lang w:val="ro-RO"/>
              </w:rPr>
              <w:t>Raport sec</w:t>
            </w:r>
            <w:r>
              <w:rPr>
                <w:rFonts w:ascii="Cambria Math" w:hAnsi="Cambria Math"/>
                <w:sz w:val="22"/>
                <w:szCs w:val="22"/>
                <w:lang w:val="ro-RO"/>
              </w:rPr>
              <w:t>ț</w:t>
            </w:r>
            <w:r>
              <w:rPr>
                <w:sz w:val="22"/>
                <w:szCs w:val="22"/>
                <w:lang w:val="ro-RO"/>
              </w:rPr>
              <w:t>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0"/>
              <w:ind w:left="0" w:right="0" w:hanging="0"/>
              <w:contextualSpacing/>
              <w:jc w:val="left"/>
              <w:textAlignment w:val="auto"/>
              <w:rPr>
                <w:rFonts w:ascii="Times New Roman" w:hAnsi="Times New Roman"/>
                <w:sz w:val="22"/>
                <w:szCs w:val="22"/>
                <w:lang w:val="en-US"/>
              </w:rPr>
            </w:pPr>
            <w:r>
              <w:rPr>
                <w:sz w:val="22"/>
                <w:szCs w:val="22"/>
                <w:lang w:val="en-US"/>
              </w:rPr>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ro-RO"/>
              </w:rPr>
            </w:pPr>
            <w:r>
              <w:rPr>
                <w:sz w:val="22"/>
                <w:szCs w:val="22"/>
                <w:lang w:val="ro-RO"/>
              </w:rPr>
              <w:t>Pricop V.</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rPr>
              <w:t>The differential system s(1,3,5) and corresponding common Hilbert series.</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pPr>
            <w:r>
              <w:rPr>
                <w:sz w:val="22"/>
                <w:szCs w:val="22"/>
                <w:lang w:val="ro-RO"/>
              </w:rPr>
              <w:t>Raport sec</w:t>
            </w:r>
            <w:r>
              <w:rPr>
                <w:rFonts w:ascii="Cambria Math" w:hAnsi="Cambria Math"/>
                <w:sz w:val="22"/>
                <w:szCs w:val="22"/>
                <w:lang w:val="ro-RO"/>
              </w:rPr>
              <w:t>ț</w:t>
            </w:r>
            <w:r>
              <w:rPr>
                <w:sz w:val="22"/>
                <w:szCs w:val="22"/>
                <w:lang w:val="ro-RO"/>
              </w:rPr>
              <w:t>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rFonts w:ascii="Times New Roman" w:hAnsi="Times New Roman"/>
                <w:sz w:val="22"/>
                <w:szCs w:val="22"/>
                <w:lang w:val="en-US"/>
              </w:rPr>
            </w:pPr>
            <w:r>
              <w:rPr>
                <w:sz w:val="22"/>
                <w:szCs w:val="22"/>
                <w:lang w:val="en-US"/>
              </w:rPr>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ro-RO"/>
              </w:rPr>
            </w:pPr>
            <w:r>
              <w:rPr>
                <w:rFonts w:cs="Times New Roman CE" w:ascii="Times New Roman CE" w:hAnsi="Times New Roman CE"/>
                <w:sz w:val="22"/>
                <w:szCs w:val="22"/>
                <w:lang w:val="ro-RO"/>
              </w:rPr>
              <w:t>Şubă A., Turuta S.</w:t>
            </w:r>
          </w:p>
          <w:p>
            <w:pPr>
              <w:pStyle w:val="ListParagraph"/>
              <w:widowControl/>
              <w:bidi w:val="0"/>
              <w:spacing w:before="0" w:after="0"/>
              <w:ind w:left="0" w:right="0" w:hanging="0"/>
              <w:contextualSpacing/>
              <w:jc w:val="left"/>
              <w:textAlignment w:val="auto"/>
              <w:rPr>
                <w:lang w:val="ro-RO"/>
              </w:rPr>
            </w:pPr>
            <w:r>
              <w:rPr>
                <w:sz w:val="22"/>
                <w:szCs w:val="22"/>
                <w:lang w:val="ro-RO"/>
              </w:rPr>
              <w:t xml:space="preserve">A prezentat: </w:t>
            </w:r>
          </w:p>
          <w:p>
            <w:pPr>
              <w:pStyle w:val="ListParagraph"/>
              <w:widowControl/>
              <w:bidi w:val="0"/>
              <w:spacing w:before="0" w:after="200"/>
              <w:ind w:left="0" w:right="0" w:hanging="0"/>
              <w:contextualSpacing/>
              <w:jc w:val="left"/>
              <w:textAlignment w:val="auto"/>
              <w:rPr>
                <w:lang w:val="ro-RO"/>
              </w:rPr>
            </w:pPr>
            <w:r>
              <w:rPr>
                <w:sz w:val="22"/>
                <w:szCs w:val="22"/>
                <w:lang w:val="ro-RO"/>
              </w:rPr>
              <w:t>Turuta S.</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rPr>
              <w:t>Integrability of Lotka-Volterra cubic systems with (1:-2)-singularity having six invariant straight lines of two directions.</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pPr>
            <w:r>
              <w:rPr>
                <w:sz w:val="22"/>
                <w:szCs w:val="22"/>
                <w:lang w:val="ro-RO"/>
              </w:rPr>
              <w:t>Raport sec</w:t>
            </w:r>
            <w:r>
              <w:rPr>
                <w:rFonts w:ascii="Cambria Math" w:hAnsi="Cambria Math"/>
                <w:sz w:val="22"/>
                <w:szCs w:val="22"/>
                <w:lang w:val="ro-RO"/>
              </w:rPr>
              <w:t>ț</w:t>
            </w:r>
            <w:r>
              <w:rPr>
                <w:sz w:val="22"/>
                <w:szCs w:val="22"/>
                <w:lang w:val="ro-RO"/>
              </w:rPr>
              <w:t>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rFonts w:ascii="Times New Roman" w:hAnsi="Times New Roman"/>
                <w:sz w:val="22"/>
                <w:szCs w:val="22"/>
                <w:lang w:val="en-US"/>
              </w:rPr>
            </w:pPr>
            <w:r>
              <w:rPr>
                <w:sz w:val="22"/>
                <w:szCs w:val="22"/>
                <w:lang w:val="en-US"/>
              </w:rPr>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ro-RO"/>
              </w:rPr>
            </w:pPr>
            <w:r>
              <w:rPr>
                <w:rFonts w:cs="Times New Roman CE" w:ascii="Times New Roman CE" w:hAnsi="Times New Roman CE"/>
                <w:sz w:val="22"/>
                <w:szCs w:val="22"/>
                <w:lang w:val="ro-RO"/>
              </w:rPr>
              <w:t>Vacaraş O.</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rPr>
              <w:t>Maximal multiplicity of the line at infinity for cubic differential systems with two real parallel invariant straight lines.</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pPr>
            <w:r>
              <w:rPr>
                <w:sz w:val="22"/>
                <w:szCs w:val="22"/>
                <w:lang w:val="ro-RO"/>
              </w:rPr>
              <w:t>Raport sec</w:t>
            </w:r>
            <w:r>
              <w:rPr>
                <w:rFonts w:ascii="Cambria Math" w:hAnsi="Cambria Math"/>
                <w:sz w:val="22"/>
                <w:szCs w:val="22"/>
                <w:lang w:val="ro-RO"/>
              </w:rPr>
              <w:t>ț</w:t>
            </w:r>
            <w:r>
              <w:rPr>
                <w:sz w:val="22"/>
                <w:szCs w:val="22"/>
                <w:lang w:val="ro-RO"/>
              </w:rPr>
              <w:t>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pPr>
            <w:r>
              <w:rPr>
                <w:sz w:val="22"/>
                <w:szCs w:val="22"/>
              </w:rPr>
              <w:t xml:space="preserve">5-я Международная </w:t>
            </w:r>
            <w:r>
              <w:rPr>
                <w:sz w:val="22"/>
                <w:szCs w:val="22"/>
                <w:lang w:val="en-US"/>
              </w:rPr>
              <w:t>K</w:t>
            </w:r>
            <w:r>
              <w:rPr>
                <w:sz w:val="22"/>
                <w:szCs w:val="22"/>
              </w:rPr>
              <w:t>онференция “Проблемы математической и теоретической физики и математическое</w:t>
            </w:r>
            <w:r>
              <w:rPr>
                <w:i/>
                <w:sz w:val="22"/>
                <w:szCs w:val="22"/>
              </w:rPr>
              <w:t xml:space="preserve"> моделирование”</w:t>
            </w:r>
            <w:r>
              <w:rPr>
                <w:b/>
                <w:sz w:val="22"/>
                <w:szCs w:val="22"/>
              </w:rPr>
              <w:t xml:space="preserve">, </w:t>
            </w:r>
            <w:r>
              <w:rPr>
                <w:sz w:val="22"/>
                <w:szCs w:val="22"/>
              </w:rPr>
              <w:t xml:space="preserve">Москва, НИЯУ МИФИ, 5-7 </w:t>
            </w:r>
            <w:r>
              <w:rPr>
                <w:sz w:val="22"/>
                <w:szCs w:val="22"/>
                <w:lang w:val="ro-RO"/>
              </w:rPr>
              <w:t>a</w:t>
            </w:r>
            <w:r>
              <w:rPr>
                <w:sz w:val="22"/>
                <w:szCs w:val="22"/>
              </w:rPr>
              <w:t>преля, 2016</w:t>
            </w:r>
            <w:r>
              <w:rPr>
                <w:sz w:val="22"/>
                <w:szCs w:val="22"/>
                <w:lang w:val="ro-RO"/>
              </w:rPr>
              <w:t>.</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pPr>
            <w:r>
              <w:rPr>
                <w:sz w:val="22"/>
                <w:szCs w:val="22"/>
                <w:lang w:val="ro-RO"/>
              </w:rPr>
              <w:t>Driuma V.</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pPr>
            <w:r>
              <w:rPr>
                <w:sz w:val="22"/>
                <w:szCs w:val="22"/>
              </w:rPr>
              <w:t>Об интегрировании уравнений течения несжимаемой жидкости.</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pPr>
            <w:r>
              <w:rPr>
                <w:sz w:val="22"/>
                <w:szCs w:val="22"/>
                <w:lang w:val="ro-RO"/>
              </w:rPr>
              <w:t>Raport sec</w:t>
            </w:r>
            <w:r>
              <w:rPr>
                <w:rFonts w:ascii="Cambria Math" w:hAnsi="Cambria Math"/>
                <w:sz w:val="22"/>
                <w:szCs w:val="22"/>
                <w:lang w:val="ro-RO"/>
              </w:rPr>
              <w:t>ț</w:t>
            </w:r>
            <w:r>
              <w:rPr>
                <w:sz w:val="22"/>
                <w:szCs w:val="22"/>
                <w:lang w:val="ro-RO"/>
              </w:rPr>
              <w:t>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ro-RO"/>
              </w:rPr>
            </w:pPr>
            <w:r>
              <w:rPr>
                <w:sz w:val="22"/>
                <w:szCs w:val="22"/>
                <w:lang w:val="ro-RO"/>
              </w:rPr>
              <w:t>XXII Международная конференция «Нелинейные задачи теории гидродинамической устойчивости и турбулентность»</w:t>
            </w:r>
            <w:r>
              <w:rPr>
                <w:sz w:val="22"/>
                <w:szCs w:val="22"/>
              </w:rPr>
              <w:t>,</w:t>
            </w:r>
            <w:r>
              <w:rPr>
                <w:sz w:val="22"/>
                <w:szCs w:val="22"/>
                <w:lang w:val="ro-RO"/>
              </w:rPr>
              <w:t xml:space="preserve">  14 −21 февраля  2016 г., Московск</w:t>
            </w:r>
            <w:r>
              <w:rPr>
                <w:sz w:val="22"/>
                <w:szCs w:val="22"/>
              </w:rPr>
              <w:t>ий гос</w:t>
            </w:r>
            <w:r>
              <w:rPr>
                <w:sz w:val="22"/>
                <w:szCs w:val="22"/>
                <w:lang w:val="ro-RO"/>
              </w:rPr>
              <w:t>университета, 2016.</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pPr>
            <w:r>
              <w:rPr>
                <w:sz w:val="22"/>
                <w:szCs w:val="22"/>
                <w:lang w:val="ro-RO"/>
              </w:rPr>
              <w:t>Driuma V.</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ro-RO"/>
              </w:rPr>
            </w:pPr>
            <w:r>
              <w:rPr>
                <w:sz w:val="22"/>
                <w:szCs w:val="22"/>
                <w:lang w:val="ro-RO"/>
              </w:rPr>
              <w:t>On the integration of incompressible fluid flows equations</w:t>
            </w:r>
            <w:r>
              <w:rPr>
                <w:sz w:val="22"/>
                <w:szCs w:val="22"/>
                <w:lang w:val="en-US"/>
              </w:rPr>
              <w:t>.</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ro-RO"/>
              </w:rPr>
            </w:pPr>
            <w:r>
              <w:rPr>
                <w:sz w:val="22"/>
                <w:szCs w:val="22"/>
                <w:lang w:val="ro-RO"/>
              </w:rPr>
              <w:t>Raport sec</w:t>
            </w:r>
            <w:r>
              <w:rPr>
                <w:rFonts w:ascii="Cambria Math" w:hAnsi="Cambria Math"/>
                <w:sz w:val="22"/>
                <w:szCs w:val="22"/>
                <w:lang w:val="ro-RO"/>
              </w:rPr>
              <w:t>ț</w:t>
            </w:r>
            <w:r>
              <w:rPr>
                <w:sz w:val="22"/>
                <w:szCs w:val="22"/>
                <w:lang w:val="ro-RO"/>
              </w:rPr>
              <w:t>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en-US"/>
              </w:rPr>
            </w:pPr>
            <w:r>
              <w:rPr>
                <w:sz w:val="22"/>
                <w:szCs w:val="22"/>
                <w:lang w:val="en-US"/>
              </w:rPr>
              <w:t>International Conference on Differential Equations and Dynamical Systems, Russia, Suzdal, 8-12 July, 2016</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pPr>
            <w:r>
              <w:rPr>
                <w:sz w:val="22"/>
                <w:szCs w:val="22"/>
                <w:lang w:val="ro-RO"/>
              </w:rPr>
              <w:t>Driuma V.</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rPr>
              <w:t>Limit cycles and attractors in flows of incompressible fluid.</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ro-RO"/>
              </w:rPr>
            </w:pPr>
            <w:r>
              <w:rPr>
                <w:sz w:val="22"/>
                <w:szCs w:val="22"/>
                <w:lang w:val="ro-RO"/>
              </w:rPr>
              <w:t>Raport sec</w:t>
            </w:r>
            <w:r>
              <w:rPr>
                <w:rFonts w:ascii="Cambria Math" w:hAnsi="Cambria Math"/>
                <w:sz w:val="22"/>
                <w:szCs w:val="22"/>
                <w:lang w:val="ro-RO"/>
              </w:rPr>
              <w:t>ț</w:t>
            </w:r>
            <w:r>
              <w:rPr>
                <w:sz w:val="22"/>
                <w:szCs w:val="22"/>
                <w:lang w:val="ro-RO"/>
              </w:rPr>
              <w:t>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en-US"/>
              </w:rPr>
            </w:pPr>
            <w:r>
              <w:rPr>
                <w:sz w:val="22"/>
                <w:szCs w:val="22"/>
                <w:lang w:val="en-US"/>
              </w:rPr>
              <w:t>International Conference “Quasilinear equations, inverse problems and their applications”,</w:t>
            </w:r>
            <w:r>
              <w:rPr>
                <w:i/>
                <w:sz w:val="22"/>
                <w:szCs w:val="22"/>
                <w:lang w:val="en-US"/>
              </w:rPr>
              <w:t xml:space="preserve"> </w:t>
            </w:r>
            <w:r>
              <w:rPr>
                <w:sz w:val="22"/>
                <w:szCs w:val="22"/>
                <w:lang w:val="en-US"/>
              </w:rPr>
              <w:t>The Eurasian Association on Inverse Problems (EAIP),  Moscow Institute of Physics and Technology, Dolgoprudny,  12 Sept. 2016 - 15 Sept. 2016.</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ro-RO"/>
              </w:rPr>
            </w:pPr>
            <w:r>
              <w:rPr>
                <w:sz w:val="22"/>
                <w:szCs w:val="22"/>
                <w:lang w:val="ro-RO"/>
              </w:rPr>
              <w:t>Driuma V.</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rPr>
              <w:t>On integration of the equations of flows of   incompressible liquids.</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rPr>
              <w:t>Slides</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pPr>
            <w:r>
              <w:rPr>
                <w:sz w:val="22"/>
                <w:szCs w:val="22"/>
              </w:rPr>
              <w:t>Юбилейная XXV научная сессии Совета по нелинейной динамике  Института океанологии им. П.П. Ширшова, РАН, г. Москва, 19-20  декабря 2016 г.  </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ro-RO"/>
              </w:rPr>
            </w:pPr>
            <w:r>
              <w:rPr>
                <w:sz w:val="22"/>
                <w:szCs w:val="22"/>
                <w:lang w:val="ro-RO"/>
              </w:rPr>
              <w:t>Driuma V.</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pPr>
            <w:r>
              <w:rPr>
                <w:sz w:val="22"/>
                <w:szCs w:val="22"/>
              </w:rPr>
              <w:t>О локализованных решениях уравнений течения жидкости.</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ro-RO"/>
              </w:rPr>
            </w:pPr>
            <w:r>
              <w:rPr>
                <w:sz w:val="22"/>
                <w:szCs w:val="22"/>
                <w:lang w:val="ro-RO"/>
              </w:rPr>
              <w:t>Raport sec</w:t>
            </w:r>
            <w:r>
              <w:rPr>
                <w:rFonts w:ascii="Cambria Math" w:hAnsi="Cambria Math"/>
                <w:sz w:val="22"/>
                <w:szCs w:val="22"/>
                <w:lang w:val="ro-RO"/>
              </w:rPr>
              <w:t>ț</w:t>
            </w:r>
            <w:r>
              <w:rPr>
                <w:sz w:val="22"/>
                <w:szCs w:val="22"/>
                <w:lang w:val="ro-RO"/>
              </w:rPr>
              <w:t>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pPr>
            <w:r>
              <w:rPr>
                <w:sz w:val="22"/>
                <w:szCs w:val="22"/>
              </w:rPr>
              <w:t>Международная конференция «Системы Аносова и современная динамика», посвященная 80-летию со дня рождения Дмитрия Викторовича Аносова, г. Москва, Россия, 19–23 декабря 2016 г. ,МИ РАН им.  Стеклова</w:t>
            </w:r>
            <w:r>
              <w:rPr>
                <w:sz w:val="22"/>
                <w:szCs w:val="22"/>
                <w:lang w:val="en-US"/>
              </w:rPr>
              <w:t>.</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ro-RO"/>
              </w:rPr>
            </w:pPr>
            <w:r>
              <w:rPr>
                <w:sz w:val="22"/>
                <w:szCs w:val="22"/>
                <w:lang w:val="ro-RO"/>
              </w:rPr>
              <w:t>Driuma V.</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pPr>
            <w:r>
              <w:rPr>
                <w:sz w:val="22"/>
                <w:szCs w:val="22"/>
              </w:rPr>
              <w:t>О решениях уравнений течения жидкости.</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ro-RO"/>
              </w:rPr>
            </w:pPr>
            <w:r>
              <w:rPr>
                <w:sz w:val="22"/>
                <w:szCs w:val="22"/>
                <w:lang w:val="ro-RO"/>
              </w:rPr>
              <w:t>Raport sec</w:t>
            </w:r>
            <w:r>
              <w:rPr>
                <w:rFonts w:ascii="Cambria Math" w:hAnsi="Cambria Math"/>
                <w:sz w:val="22"/>
                <w:szCs w:val="22"/>
                <w:lang w:val="ro-RO"/>
              </w:rPr>
              <w:t>ț</w:t>
            </w:r>
            <w:r>
              <w:rPr>
                <w:sz w:val="22"/>
                <w:szCs w:val="22"/>
                <w:lang w:val="ro-RO"/>
              </w:rPr>
              <w:t>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0"/>
              <w:ind w:left="0" w:right="0" w:hanging="0"/>
              <w:contextualSpacing/>
              <w:jc w:val="left"/>
              <w:textAlignment w:val="auto"/>
              <w:rPr/>
            </w:pPr>
            <w:r>
              <w:rPr>
                <w:sz w:val="22"/>
                <w:szCs w:val="22"/>
              </w:rPr>
              <w:t>Шестые Богдановские чтения по обыкновенным дифференциальным уравнениям. Международная математическая конференция. Минск, 7-10 декабря 2015.</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0"/>
              <w:ind w:left="0" w:right="0" w:hanging="0"/>
              <w:contextualSpacing/>
              <w:jc w:val="both"/>
              <w:textAlignment w:val="auto"/>
              <w:rPr/>
            </w:pPr>
            <w:r>
              <w:rPr>
                <w:sz w:val="22"/>
                <w:szCs w:val="22"/>
              </w:rPr>
              <w:t>Руденок А.Е.</w:t>
            </w:r>
            <w:r>
              <w:rPr>
                <w:sz w:val="22"/>
                <w:szCs w:val="22"/>
                <w:lang w:val="ro-RO"/>
              </w:rPr>
              <w:t>,</w:t>
            </w:r>
          </w:p>
          <w:p>
            <w:pPr>
              <w:pStyle w:val="ListParagraph"/>
              <w:widowControl/>
              <w:bidi w:val="0"/>
              <w:spacing w:before="0" w:after="0"/>
              <w:ind w:left="0" w:right="0" w:hanging="0"/>
              <w:contextualSpacing/>
              <w:jc w:val="both"/>
              <w:textAlignment w:val="auto"/>
              <w:rPr/>
            </w:pPr>
            <w:r>
              <w:rPr>
                <w:sz w:val="22"/>
                <w:szCs w:val="22"/>
              </w:rPr>
              <w:t>Шубэ А.С.</w:t>
            </w:r>
          </w:p>
          <w:p>
            <w:pPr>
              <w:pStyle w:val="ListParagraph"/>
              <w:widowControl/>
              <w:bidi w:val="0"/>
              <w:spacing w:before="0" w:after="0"/>
              <w:ind w:left="0" w:right="0" w:hanging="0"/>
              <w:contextualSpacing/>
              <w:jc w:val="left"/>
              <w:textAlignment w:val="auto"/>
              <w:rPr>
                <w:lang w:val="ro-RO"/>
              </w:rPr>
            </w:pPr>
            <w:r>
              <w:rPr>
                <w:sz w:val="22"/>
                <w:szCs w:val="22"/>
                <w:lang w:val="ro-RO"/>
              </w:rPr>
              <w:t xml:space="preserve">A prezentat: </w:t>
            </w:r>
          </w:p>
          <w:p>
            <w:pPr>
              <w:pStyle w:val="ListParagraph"/>
              <w:widowControl/>
              <w:bidi w:val="0"/>
              <w:spacing w:before="0" w:after="0"/>
              <w:ind w:left="0" w:right="0" w:hanging="0"/>
              <w:contextualSpacing/>
              <w:jc w:val="both"/>
              <w:textAlignment w:val="auto"/>
              <w:rPr/>
            </w:pPr>
            <w:r>
              <w:rPr>
                <w:sz w:val="22"/>
                <w:szCs w:val="22"/>
              </w:rPr>
              <w:t>Шубэ</w:t>
            </w:r>
            <w:r>
              <w:rPr>
                <w:sz w:val="22"/>
                <w:szCs w:val="22"/>
                <w:lang w:val="fr-FR"/>
              </w:rPr>
              <w:t xml:space="preserve"> </w:t>
            </w:r>
            <w:r>
              <w:rPr>
                <w:sz w:val="22"/>
                <w:szCs w:val="22"/>
              </w:rPr>
              <w:t>А</w:t>
            </w:r>
            <w:r>
              <w:rPr>
                <w:sz w:val="22"/>
                <w:szCs w:val="22"/>
                <w:lang w:val="fr-FR"/>
              </w:rPr>
              <w:t>.</w:t>
            </w:r>
            <w:r>
              <w:rPr>
                <w:sz w:val="22"/>
                <w:szCs w:val="22"/>
              </w:rPr>
              <w:t>С</w:t>
            </w:r>
            <w:r>
              <w:rPr>
                <w:sz w:val="22"/>
                <w:szCs w:val="22"/>
                <w:lang w:val="fr-FR"/>
              </w:rPr>
              <w:t>.</w:t>
            </w:r>
          </w:p>
          <w:p>
            <w:pPr>
              <w:pStyle w:val="ListParagraph"/>
              <w:widowControl/>
              <w:bidi w:val="0"/>
              <w:spacing w:before="0" w:after="0"/>
              <w:ind w:left="0" w:right="0" w:hanging="0"/>
              <w:contextualSpacing/>
              <w:jc w:val="both"/>
              <w:textAlignment w:val="auto"/>
              <w:rPr>
                <w:rFonts w:ascii="Times New Roman" w:hAnsi="Times New Roman"/>
                <w:sz w:val="22"/>
                <w:szCs w:val="22"/>
                <w:lang w:val="ro-RO"/>
              </w:rPr>
            </w:pPr>
            <w:r>
              <w:rPr>
                <w:sz w:val="22"/>
                <w:szCs w:val="22"/>
                <w:lang w:val="ro-RO"/>
              </w:rPr>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pPr>
            <w:r>
              <w:rPr>
                <w:sz w:val="22"/>
                <w:szCs w:val="22"/>
              </w:rPr>
              <w:t>Базис Гребнера идеала ляпуновских</w:t>
            </w:r>
            <w:r>
              <w:rPr>
                <w:sz w:val="22"/>
                <w:szCs w:val="22"/>
                <w:lang w:val="ro-RO"/>
              </w:rPr>
              <w:t xml:space="preserve"> </w:t>
            </w:r>
            <w:r>
              <w:rPr>
                <w:sz w:val="22"/>
                <w:szCs w:val="22"/>
              </w:rPr>
              <w:t xml:space="preserve">величин </w:t>
            </w:r>
            <w:r>
              <w:rPr>
                <w:sz w:val="22"/>
                <w:szCs w:val="22"/>
                <w:lang w:val="ro-RO"/>
              </w:rPr>
              <w:t>c</w:t>
            </w:r>
            <w:r>
              <w:rPr>
                <w:sz w:val="22"/>
                <w:szCs w:val="22"/>
              </w:rPr>
              <w:t>истемы</w:t>
            </w:r>
            <w:r>
              <w:rPr>
                <w:sz w:val="22"/>
                <w:szCs w:val="22"/>
                <w:lang w:val="ro-RO"/>
              </w:rPr>
              <w:t xml:space="preserve"> </w:t>
            </w:r>
            <w:r>
              <w:rPr>
                <w:sz w:val="22"/>
                <w:szCs w:val="22"/>
              </w:rPr>
              <w:t>Куклеса.</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pPr>
            <w:r>
              <w:rPr>
                <w:sz w:val="22"/>
                <w:szCs w:val="22"/>
                <w:lang w:val="ro-RO"/>
              </w:rPr>
              <w:t>Raport sec</w:t>
            </w:r>
            <w:r>
              <w:rPr>
                <w:rFonts w:ascii="Cambria Math" w:hAnsi="Cambria Math"/>
                <w:sz w:val="22"/>
                <w:szCs w:val="22"/>
                <w:lang w:val="ro-RO"/>
              </w:rPr>
              <w:t>ț</w:t>
            </w:r>
            <w:r>
              <w:rPr>
                <w:sz w:val="22"/>
                <w:szCs w:val="22"/>
                <w:lang w:val="ro-RO"/>
              </w:rPr>
              <w:t>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ro-MD"/>
              </w:rPr>
            </w:pPr>
            <w:r>
              <w:rPr>
                <w:bCs/>
                <w:sz w:val="22"/>
                <w:szCs w:val="22"/>
                <w:lang w:val="ro-MD"/>
              </w:rPr>
              <w:t>The 2</w:t>
            </w:r>
            <w:r>
              <w:rPr>
                <w:bCs/>
                <w:sz w:val="22"/>
                <w:szCs w:val="22"/>
                <w:lang w:val="en-US"/>
              </w:rPr>
              <w:t>4</w:t>
            </w:r>
            <w:r>
              <w:rPr>
                <w:bCs/>
                <w:sz w:val="22"/>
                <w:szCs w:val="22"/>
                <w:lang w:val="ro-MD"/>
              </w:rPr>
              <w:t>st Conference on Applied and Industrial Mathematics (CAIM-201</w:t>
            </w:r>
            <w:r>
              <w:rPr>
                <w:bCs/>
                <w:sz w:val="22"/>
                <w:szCs w:val="22"/>
                <w:lang w:val="en-US"/>
              </w:rPr>
              <w:t>6</w:t>
            </w:r>
            <w:r>
              <w:rPr>
                <w:bCs/>
                <w:sz w:val="22"/>
                <w:szCs w:val="22"/>
                <w:lang w:val="ro-MD"/>
              </w:rPr>
              <w:t>),</w:t>
            </w:r>
            <w:r>
              <w:rPr>
                <w:rFonts w:cs="Times New Roman CE" w:ascii="Times New Roman CE" w:hAnsi="Times New Roman CE"/>
                <w:bCs/>
                <w:sz w:val="22"/>
                <w:szCs w:val="22"/>
                <w:lang w:val="ro-MD"/>
              </w:rPr>
              <w:t xml:space="preserve"> September 15-18, 2016. Craiova, România.</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pPr>
            <w:r>
              <w:rPr>
                <w:sz w:val="22"/>
                <w:szCs w:val="22"/>
                <w:lang w:val="ro-RO"/>
              </w:rPr>
              <w:t>Bujac C., Vulpe N.</w:t>
            </w:r>
          </w:p>
          <w:p>
            <w:pPr>
              <w:pStyle w:val="ListParagraph"/>
              <w:widowControl/>
              <w:bidi w:val="0"/>
              <w:spacing w:before="0" w:after="0"/>
              <w:ind w:left="0" w:right="0" w:hanging="0"/>
              <w:contextualSpacing/>
              <w:jc w:val="left"/>
              <w:textAlignment w:val="auto"/>
              <w:rPr>
                <w:lang w:val="ro-RO"/>
              </w:rPr>
            </w:pPr>
            <w:r>
              <w:rPr>
                <w:sz w:val="22"/>
                <w:szCs w:val="22"/>
                <w:lang w:val="ro-RO"/>
              </w:rPr>
              <w:t xml:space="preserve">A prezentat: </w:t>
            </w:r>
          </w:p>
          <w:p>
            <w:pPr>
              <w:pStyle w:val="ListParagraph"/>
              <w:widowControl/>
              <w:bidi w:val="0"/>
              <w:spacing w:before="0" w:after="200"/>
              <w:ind w:left="0" w:right="0" w:hanging="0"/>
              <w:contextualSpacing/>
              <w:jc w:val="left"/>
              <w:textAlignment w:val="auto"/>
              <w:rPr>
                <w:lang w:val="ro-RO"/>
              </w:rPr>
            </w:pPr>
            <w:r>
              <w:rPr>
                <w:sz w:val="22"/>
                <w:szCs w:val="22"/>
                <w:lang w:val="ro-RO"/>
              </w:rPr>
              <w:t>Bujac C.</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eastAsia="en-US"/>
              </w:rPr>
              <w:t>First integrals of the family of cubic differential systems with invariant lines of total multiplicity 8.</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ro-RO"/>
              </w:rPr>
            </w:pPr>
            <w:r>
              <w:rPr>
                <w:sz w:val="22"/>
                <w:szCs w:val="22"/>
                <w:lang w:val="ro-RO"/>
              </w:rPr>
              <w:t>Raport sec</w:t>
            </w:r>
            <w:r>
              <w:rPr>
                <w:rFonts w:ascii="Cambria Math" w:hAnsi="Cambria Math"/>
                <w:sz w:val="22"/>
                <w:szCs w:val="22"/>
                <w:lang w:val="ro-RO"/>
              </w:rPr>
              <w:t>ț</w:t>
            </w:r>
            <w:r>
              <w:rPr>
                <w:sz w:val="22"/>
                <w:szCs w:val="22"/>
                <w:lang w:val="ro-RO"/>
              </w:rPr>
              <w:t>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rFonts w:ascii="Times New Roman" w:hAnsi="Times New Roman"/>
                <w:bCs/>
                <w:i/>
                <w:i/>
                <w:sz w:val="22"/>
                <w:szCs w:val="22"/>
                <w:lang w:val="ro-MD"/>
              </w:rPr>
            </w:pPr>
            <w:r>
              <w:rPr>
                <w:bCs/>
                <w:i/>
                <w:sz w:val="22"/>
                <w:szCs w:val="22"/>
                <w:lang w:val="ro-MD"/>
              </w:rPr>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0"/>
              <w:ind w:left="0" w:right="0" w:hanging="0"/>
              <w:contextualSpacing/>
              <w:jc w:val="both"/>
              <w:textAlignment w:val="auto"/>
              <w:rPr>
                <w:lang w:val="ro-RO"/>
              </w:rPr>
            </w:pPr>
            <w:r>
              <w:rPr>
                <w:sz w:val="22"/>
                <w:szCs w:val="22"/>
                <w:lang w:val="ro-RO"/>
              </w:rPr>
              <w:t>Orlov V., Popa M.</w:t>
            </w:r>
          </w:p>
          <w:p>
            <w:pPr>
              <w:pStyle w:val="ListParagraph"/>
              <w:widowControl/>
              <w:bidi w:val="0"/>
              <w:spacing w:before="0" w:after="0"/>
              <w:ind w:left="0" w:right="0" w:hanging="0"/>
              <w:contextualSpacing/>
              <w:jc w:val="left"/>
              <w:textAlignment w:val="auto"/>
              <w:rPr>
                <w:lang w:val="ro-RO"/>
              </w:rPr>
            </w:pPr>
            <w:r>
              <w:rPr>
                <w:sz w:val="22"/>
                <w:szCs w:val="22"/>
                <w:lang w:val="ro-RO"/>
              </w:rPr>
              <w:t xml:space="preserve">A prezentat: </w:t>
            </w:r>
          </w:p>
          <w:p>
            <w:pPr>
              <w:pStyle w:val="ListParagraph"/>
              <w:widowControl/>
              <w:bidi w:val="0"/>
              <w:spacing w:before="0" w:after="0"/>
              <w:ind w:left="0" w:right="0" w:hanging="0"/>
              <w:contextualSpacing/>
              <w:jc w:val="both"/>
              <w:textAlignment w:val="auto"/>
              <w:rPr>
                <w:lang w:val="ro-RO"/>
              </w:rPr>
            </w:pPr>
            <w:r>
              <w:rPr>
                <w:sz w:val="22"/>
                <w:szCs w:val="22"/>
                <w:lang w:val="ro-RO"/>
              </w:rPr>
              <w:t>Orlov V.</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rPr>
              <w:t>Invariant conditions for the stability of the unperturbed motion for the four-dimensional nonlinear polynomial differential system.</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ro-RO"/>
              </w:rPr>
            </w:pPr>
            <w:r>
              <w:rPr>
                <w:sz w:val="22"/>
                <w:szCs w:val="22"/>
                <w:lang w:val="ro-RO"/>
              </w:rPr>
              <w:t>Raport sec</w:t>
            </w:r>
            <w:r>
              <w:rPr>
                <w:rFonts w:ascii="Cambria Math" w:hAnsi="Cambria Math"/>
                <w:sz w:val="22"/>
                <w:szCs w:val="22"/>
                <w:lang w:val="ro-RO"/>
              </w:rPr>
              <w:t>ț</w:t>
            </w:r>
            <w:r>
              <w:rPr>
                <w:sz w:val="22"/>
                <w:szCs w:val="22"/>
                <w:lang w:val="ro-RO"/>
              </w:rPr>
              <w:t>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rFonts w:ascii="Times New Roman" w:hAnsi="Times New Roman"/>
                <w:bCs/>
                <w:i/>
                <w:i/>
                <w:sz w:val="22"/>
                <w:szCs w:val="22"/>
                <w:lang w:val="ro-MD"/>
              </w:rPr>
            </w:pPr>
            <w:r>
              <w:rPr>
                <w:bCs/>
                <w:i/>
                <w:sz w:val="22"/>
                <w:szCs w:val="22"/>
                <w:lang w:val="ro-MD"/>
              </w:rPr>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ro-RO"/>
              </w:rPr>
            </w:pPr>
            <w:r>
              <w:rPr>
                <w:sz w:val="22"/>
                <w:szCs w:val="22"/>
                <w:lang w:val="ro-RO"/>
              </w:rPr>
              <w:t>Pricop V.</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ro-MD"/>
              </w:rPr>
            </w:pPr>
            <w:r>
              <w:rPr>
                <w:sz w:val="22"/>
                <w:szCs w:val="22"/>
                <w:lang w:val="ro-MD"/>
              </w:rPr>
              <w:t>The common Hilbert series of the differential system s(1,3,7) and the Krull dimensions of Sibirsky algebras.</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ro-RO"/>
              </w:rPr>
            </w:pPr>
            <w:r>
              <w:rPr>
                <w:sz w:val="22"/>
                <w:szCs w:val="22"/>
                <w:lang w:val="ro-RO"/>
              </w:rPr>
              <w:t>Raport sec</w:t>
            </w:r>
            <w:r>
              <w:rPr>
                <w:rFonts w:ascii="Cambria Math" w:hAnsi="Cambria Math"/>
                <w:sz w:val="22"/>
                <w:szCs w:val="22"/>
                <w:lang w:val="ro-RO"/>
              </w:rPr>
              <w:t>ț</w:t>
            </w:r>
            <w:r>
              <w:rPr>
                <w:sz w:val="22"/>
                <w:szCs w:val="22"/>
                <w:lang w:val="ro-RO"/>
              </w:rPr>
              <w:t>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rFonts w:ascii="Times New Roman" w:hAnsi="Times New Roman"/>
                <w:bCs/>
                <w:i/>
                <w:i/>
                <w:sz w:val="22"/>
                <w:szCs w:val="22"/>
                <w:lang w:val="ro-MD"/>
              </w:rPr>
            </w:pPr>
            <w:r>
              <w:rPr>
                <w:bCs/>
                <w:i/>
                <w:sz w:val="22"/>
                <w:szCs w:val="22"/>
                <w:lang w:val="ro-MD"/>
              </w:rPr>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ro-RO"/>
              </w:rPr>
            </w:pPr>
            <w:r>
              <w:rPr>
                <w:rFonts w:cs="Times New Roman CE" w:ascii="Times New Roman CE" w:hAnsi="Times New Roman CE"/>
                <w:sz w:val="22"/>
                <w:szCs w:val="22"/>
                <w:lang w:val="ro-RO"/>
              </w:rPr>
              <w:t>Şubă A., Vacaraş O.</w:t>
            </w:r>
          </w:p>
          <w:p>
            <w:pPr>
              <w:pStyle w:val="ListParagraph"/>
              <w:widowControl/>
              <w:bidi w:val="0"/>
              <w:spacing w:before="0" w:after="0"/>
              <w:ind w:left="0" w:right="0" w:hanging="0"/>
              <w:contextualSpacing/>
              <w:jc w:val="left"/>
              <w:textAlignment w:val="auto"/>
              <w:rPr>
                <w:lang w:val="ro-RO"/>
              </w:rPr>
            </w:pPr>
            <w:r>
              <w:rPr>
                <w:sz w:val="22"/>
                <w:szCs w:val="22"/>
                <w:lang w:val="ro-RO"/>
              </w:rPr>
              <w:t xml:space="preserve">A prezentat: </w:t>
            </w:r>
          </w:p>
          <w:p>
            <w:pPr>
              <w:pStyle w:val="ListParagraph"/>
              <w:widowControl/>
              <w:bidi w:val="0"/>
              <w:spacing w:before="0" w:after="0"/>
              <w:ind w:left="0" w:right="0" w:hanging="0"/>
              <w:contextualSpacing/>
              <w:jc w:val="both"/>
              <w:textAlignment w:val="auto"/>
              <w:rPr>
                <w:lang w:val="ro-RO"/>
              </w:rPr>
            </w:pPr>
            <w:r>
              <w:rPr>
                <w:rFonts w:cs="Times New Roman CE" w:ascii="Times New Roman CE" w:hAnsi="Times New Roman CE"/>
                <w:sz w:val="22"/>
                <w:szCs w:val="22"/>
                <w:lang w:val="ro-RO"/>
              </w:rPr>
              <w:t>Vacaraş O.</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eastAsia="en-US"/>
              </w:rPr>
              <w:t>Cubic differential systems with two parallel complex invariant straight lines of multiplicity m(2;2;3).</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ro-RO"/>
              </w:rPr>
            </w:pPr>
            <w:r>
              <w:rPr>
                <w:sz w:val="22"/>
                <w:szCs w:val="22"/>
                <w:lang w:val="ro-RO"/>
              </w:rPr>
              <w:t>Raport sec</w:t>
            </w:r>
            <w:r>
              <w:rPr>
                <w:rFonts w:ascii="Cambria Math" w:hAnsi="Cambria Math"/>
                <w:sz w:val="22"/>
                <w:szCs w:val="22"/>
                <w:lang w:val="ro-RO"/>
              </w:rPr>
              <w:t>ț</w:t>
            </w:r>
            <w:r>
              <w:rPr>
                <w:sz w:val="22"/>
                <w:szCs w:val="22"/>
                <w:lang w:val="ro-RO"/>
              </w:rPr>
              <w:t>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rFonts w:ascii="Times New Roman" w:hAnsi="Times New Roman"/>
                <w:bCs/>
                <w:i/>
                <w:i/>
                <w:sz w:val="22"/>
                <w:szCs w:val="22"/>
                <w:lang w:val="ro-MD"/>
              </w:rPr>
            </w:pPr>
            <w:r>
              <w:rPr>
                <w:bCs/>
                <w:i/>
                <w:sz w:val="22"/>
                <w:szCs w:val="22"/>
                <w:lang w:val="ro-MD"/>
              </w:rPr>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ro-RO"/>
              </w:rPr>
            </w:pPr>
            <w:r>
              <w:rPr>
                <w:sz w:val="22"/>
                <w:szCs w:val="22"/>
                <w:lang w:val="ro-RO"/>
              </w:rPr>
              <w:t>Turuta S.</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en-US"/>
              </w:rPr>
            </w:pPr>
            <w:r>
              <w:rPr>
                <w:sz w:val="22"/>
                <w:szCs w:val="22"/>
                <w:lang w:val="en-US"/>
              </w:rPr>
              <w:t>Daboux integrability of Lotka-Volterra cubic di</w:t>
            </w:r>
            <w:r>
              <w:rPr>
                <w:rFonts w:ascii="Cambria Math" w:hAnsi="Cambria Math"/>
                <w:sz w:val="22"/>
                <w:szCs w:val="22"/>
              </w:rPr>
              <w:t>ﬀ</w:t>
            </w:r>
            <w:r>
              <w:rPr>
                <w:sz w:val="22"/>
                <w:szCs w:val="22"/>
                <w:lang w:val="en-US"/>
              </w:rPr>
              <w:t xml:space="preserve">erential systems with 1:-2 resonant singularity and six straight lines of three directions. </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ro-RO"/>
              </w:rPr>
            </w:pPr>
            <w:r>
              <w:rPr>
                <w:sz w:val="22"/>
                <w:szCs w:val="22"/>
                <w:lang w:val="ro-RO"/>
              </w:rPr>
              <w:t>Raport sec</w:t>
            </w:r>
            <w:r>
              <w:rPr>
                <w:rFonts w:ascii="Cambria Math" w:hAnsi="Cambria Math"/>
                <w:sz w:val="22"/>
                <w:szCs w:val="22"/>
                <w:lang w:val="ro-RO"/>
              </w:rPr>
              <w:t>ț</w:t>
            </w:r>
            <w:r>
              <w:rPr>
                <w:sz w:val="22"/>
                <w:szCs w:val="22"/>
                <w:lang w:val="ro-RO"/>
              </w:rPr>
              <w:t>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en-US"/>
              </w:rPr>
            </w:pPr>
            <w:r>
              <w:rPr>
                <w:sz w:val="22"/>
                <w:szCs w:val="22"/>
                <w:lang w:val="en-US" w:eastAsia="en-US"/>
              </w:rPr>
              <w:t>The International Scientific Conference “Differential-Functional Equations and their Application”, September 28-30, 2016, Chernivtsi, Ukraine</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0"/>
              <w:ind w:left="0" w:right="0" w:hanging="0"/>
              <w:contextualSpacing/>
              <w:jc w:val="left"/>
              <w:textAlignment w:val="auto"/>
              <w:rPr>
                <w:lang w:val="ro-RO"/>
              </w:rPr>
            </w:pPr>
            <w:r>
              <w:rPr>
                <w:sz w:val="22"/>
                <w:szCs w:val="22"/>
                <w:lang w:val="ro-RO"/>
              </w:rPr>
              <w:t>Neagu N., Cozma D.</w:t>
            </w:r>
          </w:p>
          <w:p>
            <w:pPr>
              <w:pStyle w:val="ListParagraph"/>
              <w:widowControl/>
              <w:bidi w:val="0"/>
              <w:spacing w:before="0" w:after="0"/>
              <w:ind w:left="0" w:right="0" w:hanging="0"/>
              <w:contextualSpacing/>
              <w:jc w:val="left"/>
              <w:textAlignment w:val="auto"/>
              <w:rPr>
                <w:lang w:val="ro-RO"/>
              </w:rPr>
            </w:pPr>
            <w:r>
              <w:rPr>
                <w:sz w:val="22"/>
                <w:szCs w:val="22"/>
                <w:lang w:val="ro-RO"/>
              </w:rPr>
              <w:t>Popa M.</w:t>
            </w:r>
          </w:p>
          <w:p>
            <w:pPr>
              <w:pStyle w:val="ListParagraph"/>
              <w:widowControl/>
              <w:bidi w:val="0"/>
              <w:spacing w:before="0" w:after="0"/>
              <w:ind w:left="0" w:right="0" w:hanging="0"/>
              <w:contextualSpacing/>
              <w:jc w:val="left"/>
              <w:textAlignment w:val="auto"/>
              <w:rPr>
                <w:lang w:val="ro-RO"/>
              </w:rPr>
            </w:pPr>
            <w:r>
              <w:rPr>
                <w:sz w:val="22"/>
                <w:szCs w:val="22"/>
                <w:lang w:val="ro-RO"/>
              </w:rPr>
              <w:t xml:space="preserve">A prezentat: </w:t>
            </w:r>
          </w:p>
          <w:p>
            <w:pPr>
              <w:pStyle w:val="ListParagraph"/>
              <w:widowControl/>
              <w:bidi w:val="0"/>
              <w:spacing w:before="0" w:after="0"/>
              <w:ind w:left="0" w:right="0" w:hanging="0"/>
              <w:contextualSpacing/>
              <w:jc w:val="left"/>
              <w:textAlignment w:val="auto"/>
              <w:rPr>
                <w:lang w:val="ro-RO"/>
              </w:rPr>
            </w:pPr>
            <w:r>
              <w:rPr>
                <w:sz w:val="22"/>
                <w:szCs w:val="22"/>
                <w:lang w:val="ro-RO"/>
              </w:rPr>
              <w:t>Neagu N.</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eastAsia="en-US"/>
              </w:rPr>
              <w:t>Centro-affin invariants and stability of unperturbed motion in ternary polynomial differential systems.</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ro-RO"/>
              </w:rPr>
            </w:pPr>
            <w:r>
              <w:rPr>
                <w:sz w:val="22"/>
                <w:szCs w:val="22"/>
                <w:lang w:val="ro-RO"/>
              </w:rPr>
              <w:t>Raport sec</w:t>
            </w:r>
            <w:r>
              <w:rPr>
                <w:rFonts w:ascii="Cambria Math" w:hAnsi="Cambria Math"/>
                <w:sz w:val="22"/>
                <w:szCs w:val="22"/>
                <w:lang w:val="ro-RO"/>
              </w:rPr>
              <w:t>ț</w:t>
            </w:r>
            <w:r>
              <w:rPr>
                <w:sz w:val="22"/>
                <w:szCs w:val="22"/>
                <w:lang w:val="ro-RO"/>
              </w:rPr>
              <w:t>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rFonts w:ascii="Times New Roman" w:hAnsi="Times New Roman"/>
                <w:color w:val="000000"/>
                <w:sz w:val="22"/>
                <w:szCs w:val="22"/>
                <w:lang w:val="ro-RO"/>
              </w:rPr>
            </w:pPr>
            <w:r>
              <w:rPr>
                <w:color w:val="000000"/>
                <w:sz w:val="22"/>
                <w:szCs w:val="22"/>
                <w:lang w:val="ro-RO"/>
              </w:rPr>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0"/>
              <w:ind w:left="0" w:right="0" w:hanging="0"/>
              <w:contextualSpacing/>
              <w:jc w:val="both"/>
              <w:textAlignment w:val="auto"/>
              <w:rPr>
                <w:lang w:val="ro-RO"/>
              </w:rPr>
            </w:pPr>
            <w:r>
              <w:rPr>
                <w:rFonts w:cs="Times New Roman CE" w:ascii="Times New Roman CE" w:hAnsi="Times New Roman CE"/>
                <w:sz w:val="22"/>
                <w:szCs w:val="22"/>
                <w:lang w:val="ro-RO"/>
              </w:rPr>
              <w:t>Şubă A.,Vacaraş O.</w:t>
            </w:r>
          </w:p>
          <w:p>
            <w:pPr>
              <w:pStyle w:val="ListParagraph"/>
              <w:widowControl/>
              <w:bidi w:val="0"/>
              <w:spacing w:before="0" w:after="0"/>
              <w:ind w:left="0" w:right="0" w:hanging="0"/>
              <w:contextualSpacing/>
              <w:jc w:val="left"/>
              <w:textAlignment w:val="auto"/>
              <w:rPr>
                <w:lang w:val="ro-RO"/>
              </w:rPr>
            </w:pPr>
            <w:r>
              <w:rPr>
                <w:sz w:val="22"/>
                <w:szCs w:val="22"/>
                <w:lang w:val="ro-RO"/>
              </w:rPr>
              <w:t xml:space="preserve">A prezentat: </w:t>
            </w:r>
          </w:p>
          <w:p>
            <w:pPr>
              <w:pStyle w:val="ListParagraph"/>
              <w:widowControl/>
              <w:bidi w:val="0"/>
              <w:spacing w:before="0" w:after="0"/>
              <w:ind w:left="0" w:right="0" w:hanging="0"/>
              <w:contextualSpacing/>
              <w:jc w:val="both"/>
              <w:textAlignment w:val="auto"/>
              <w:rPr>
                <w:lang w:val="ro-RO"/>
              </w:rPr>
            </w:pPr>
            <w:r>
              <w:rPr>
                <w:rFonts w:cs="Times New Roman CE" w:ascii="Times New Roman CE" w:hAnsi="Times New Roman CE"/>
                <w:sz w:val="22"/>
                <w:szCs w:val="22"/>
                <w:lang w:val="ro-RO"/>
              </w:rPr>
              <w:t>Vacaraş O.</w:t>
            </w:r>
          </w:p>
          <w:p>
            <w:pPr>
              <w:pStyle w:val="ListParagraph"/>
              <w:widowControl/>
              <w:bidi w:val="0"/>
              <w:spacing w:before="0" w:after="0"/>
              <w:ind w:left="0" w:right="0" w:hanging="0"/>
              <w:contextualSpacing/>
              <w:jc w:val="both"/>
              <w:textAlignment w:val="auto"/>
              <w:rPr>
                <w:rFonts w:ascii="Times New Roman" w:hAnsi="Times New Roman"/>
                <w:sz w:val="22"/>
                <w:szCs w:val="22"/>
                <w:lang w:val="ro-RO"/>
              </w:rPr>
            </w:pPr>
            <w:r>
              <w:rPr>
                <w:sz w:val="22"/>
                <w:szCs w:val="22"/>
                <w:lang w:val="ro-RO"/>
              </w:rPr>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eastAsia="en-US"/>
              </w:rPr>
              <w:t>Maximal multiplicity of the line at infinity for cubic differential systems with two real non-parallel invariant straight lines.</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ro-RO"/>
              </w:rPr>
            </w:pPr>
            <w:r>
              <w:rPr>
                <w:sz w:val="22"/>
                <w:szCs w:val="22"/>
                <w:lang w:val="ro-RO"/>
              </w:rPr>
              <w:t>Raport sec</w:t>
            </w:r>
            <w:r>
              <w:rPr>
                <w:rFonts w:ascii="Cambria Math" w:hAnsi="Cambria Math"/>
                <w:sz w:val="22"/>
                <w:szCs w:val="22"/>
                <w:lang w:val="ro-RO"/>
              </w:rPr>
              <w:t>ț</w:t>
            </w:r>
            <w:r>
              <w:rPr>
                <w:sz w:val="22"/>
                <w:szCs w:val="22"/>
                <w:lang w:val="ro-RO"/>
              </w:rPr>
              <w:t>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rFonts w:ascii="Times New Roman" w:hAnsi="Times New Roman"/>
                <w:color w:val="000000"/>
                <w:sz w:val="22"/>
                <w:szCs w:val="22"/>
                <w:lang w:val="ro-RO"/>
              </w:rPr>
            </w:pPr>
            <w:r>
              <w:rPr>
                <w:color w:val="000000"/>
                <w:sz w:val="22"/>
                <w:szCs w:val="22"/>
                <w:lang w:val="ro-RO"/>
              </w:rPr>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ro-RO"/>
              </w:rPr>
            </w:pPr>
            <w:r>
              <w:rPr>
                <w:rFonts w:cs="Times New Roman CE" w:ascii="Times New Roman CE" w:hAnsi="Times New Roman CE"/>
                <w:sz w:val="22"/>
                <w:szCs w:val="22"/>
                <w:lang w:val="ro-RO"/>
              </w:rPr>
              <w:t>Roudenok A., Şubă A.</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ro-RO"/>
              </w:rPr>
            </w:pPr>
            <w:r>
              <w:rPr>
                <w:sz w:val="22"/>
                <w:szCs w:val="22"/>
                <w:lang w:val="ro-RO"/>
              </w:rPr>
              <w:t>Center conditions for non-linear differential systems.</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ro-RO"/>
              </w:rPr>
            </w:pPr>
            <w:r>
              <w:rPr>
                <w:sz w:val="22"/>
                <w:szCs w:val="22"/>
                <w:lang w:val="ro-RO"/>
              </w:rPr>
              <w:t>Raport sec</w:t>
            </w:r>
            <w:r>
              <w:rPr>
                <w:rFonts w:ascii="Cambria Math" w:hAnsi="Cambria Math"/>
                <w:sz w:val="22"/>
                <w:szCs w:val="22"/>
                <w:lang w:val="ro-RO"/>
              </w:rPr>
              <w:t>ț</w:t>
            </w:r>
            <w:r>
              <w:rPr>
                <w:sz w:val="22"/>
                <w:szCs w:val="22"/>
                <w:lang w:val="ro-RO"/>
              </w:rPr>
              <w:t>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rFonts w:ascii="Times New Roman" w:hAnsi="Times New Roman"/>
                <w:color w:val="000000"/>
                <w:sz w:val="22"/>
                <w:szCs w:val="22"/>
                <w:lang w:val="ro-RO"/>
              </w:rPr>
            </w:pPr>
            <w:r>
              <w:rPr>
                <w:color w:val="000000"/>
                <w:sz w:val="22"/>
                <w:szCs w:val="22"/>
                <w:lang w:val="ro-RO"/>
              </w:rPr>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ro-RO"/>
              </w:rPr>
            </w:pPr>
            <w:r>
              <w:rPr>
                <w:sz w:val="22"/>
                <w:szCs w:val="22"/>
                <w:lang w:val="ro-RO"/>
              </w:rPr>
              <w:t>Turuta S.</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rPr>
              <w:t>Classi</w:t>
            </w:r>
            <w:r>
              <w:rPr>
                <w:sz w:val="22"/>
                <w:szCs w:val="22"/>
              </w:rPr>
              <w:t>ﬁ</w:t>
            </w:r>
            <w:r>
              <w:rPr>
                <w:sz w:val="22"/>
                <w:szCs w:val="22"/>
                <w:lang w:val="en-US"/>
              </w:rPr>
              <w:t>cation of Lotka-Volterra cubic systems with 1:-2 singularity and straight lines of three directions and total multiplicity six.</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ro-RO"/>
              </w:rPr>
            </w:pPr>
            <w:r>
              <w:rPr>
                <w:sz w:val="22"/>
                <w:szCs w:val="22"/>
                <w:lang w:val="ro-RO"/>
              </w:rPr>
              <w:t>Raport sec</w:t>
            </w:r>
            <w:r>
              <w:rPr>
                <w:rFonts w:ascii="Cambria Math" w:hAnsi="Cambria Math"/>
                <w:sz w:val="22"/>
                <w:szCs w:val="22"/>
                <w:lang w:val="ro-RO"/>
              </w:rPr>
              <w:t>ț</w:t>
            </w:r>
            <w:r>
              <w:rPr>
                <w:sz w:val="22"/>
                <w:szCs w:val="22"/>
                <w:lang w:val="ro-RO"/>
              </w:rPr>
              <w:t>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en-US"/>
              </w:rPr>
            </w:pPr>
            <w:r>
              <w:rPr>
                <w:sz w:val="22"/>
                <w:szCs w:val="22"/>
                <w:lang w:val="en-US"/>
              </w:rPr>
              <w:t>XII </w:t>
            </w:r>
            <w:r>
              <w:rPr>
                <w:sz w:val="22"/>
                <w:szCs w:val="22"/>
              </w:rPr>
              <w:t>Белорусская</w:t>
            </w:r>
            <w:r>
              <w:rPr>
                <w:sz w:val="22"/>
                <w:szCs w:val="22"/>
                <w:lang w:val="en-US"/>
              </w:rPr>
              <w:t> </w:t>
            </w:r>
            <w:r>
              <w:rPr>
                <w:sz w:val="22"/>
                <w:szCs w:val="22"/>
              </w:rPr>
              <w:t>математическая</w:t>
            </w:r>
            <w:r>
              <w:rPr>
                <w:sz w:val="22"/>
                <w:szCs w:val="22"/>
                <w:lang w:val="en-US"/>
              </w:rPr>
              <w:t> </w:t>
            </w:r>
          </w:p>
          <w:p>
            <w:pPr>
              <w:pStyle w:val="ListParagraph"/>
              <w:widowControl/>
              <w:bidi w:val="0"/>
              <w:spacing w:before="0" w:after="200"/>
              <w:ind w:left="0" w:right="0" w:hanging="0"/>
              <w:contextualSpacing/>
              <w:jc w:val="left"/>
              <w:textAlignment w:val="auto"/>
              <w:rPr>
                <w:lang w:val="en-US"/>
              </w:rPr>
            </w:pPr>
            <w:r>
              <w:rPr>
                <w:sz w:val="22"/>
                <w:szCs w:val="22"/>
                <w:lang w:val="en-US"/>
              </w:rPr>
              <w:t> </w:t>
            </w:r>
            <w:r>
              <w:rPr>
                <w:sz w:val="22"/>
                <w:szCs w:val="22"/>
              </w:rPr>
              <w:t>конференция</w:t>
            </w:r>
            <w:r>
              <w:rPr>
                <w:sz w:val="22"/>
                <w:szCs w:val="22"/>
                <w:lang w:val="en-US"/>
              </w:rPr>
              <w:t> </w:t>
            </w:r>
            <w:r>
              <w:rPr>
                <w:sz w:val="22"/>
                <w:szCs w:val="22"/>
                <w:lang w:val="ro-RO"/>
              </w:rPr>
              <w:t>(</w:t>
            </w:r>
            <w:r>
              <w:rPr>
                <w:rStyle w:val="Nowrap"/>
                <w:sz w:val="22"/>
                <w:szCs w:val="22"/>
              </w:rPr>
              <w:t>БМК-2016</w:t>
            </w:r>
            <w:r>
              <w:rPr>
                <w:rStyle w:val="Nowrap"/>
                <w:sz w:val="22"/>
                <w:szCs w:val="22"/>
                <w:lang w:val="ro-RO"/>
              </w:rPr>
              <w:t xml:space="preserve">), </w:t>
            </w:r>
            <w:r>
              <w:rPr>
                <w:sz w:val="22"/>
                <w:szCs w:val="22"/>
              </w:rPr>
              <w:t>5–10</w:t>
            </w:r>
            <w:r>
              <w:rPr>
                <w:sz w:val="22"/>
                <w:szCs w:val="22"/>
                <w:lang w:val="en-US"/>
              </w:rPr>
              <w:t> </w:t>
            </w:r>
            <w:r>
              <w:rPr>
                <w:sz w:val="22"/>
                <w:szCs w:val="22"/>
              </w:rPr>
              <w:t>сентября 2016 года, Минск</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ro-RO"/>
              </w:rPr>
            </w:pPr>
            <w:r>
              <w:rPr>
                <w:rFonts w:cs="Times New Roman CE" w:ascii="Times New Roman CE" w:hAnsi="Times New Roman CE"/>
                <w:sz w:val="22"/>
                <w:szCs w:val="22"/>
                <w:lang w:val="ro-RO"/>
              </w:rPr>
              <w:t>Roudenok A., Şubă A.</w:t>
            </w:r>
          </w:p>
          <w:p>
            <w:pPr>
              <w:pStyle w:val="ListParagraph"/>
              <w:widowControl/>
              <w:bidi w:val="0"/>
              <w:spacing w:before="0" w:after="0"/>
              <w:ind w:left="0" w:right="0" w:hanging="0"/>
              <w:contextualSpacing/>
              <w:jc w:val="left"/>
              <w:textAlignment w:val="auto"/>
              <w:rPr>
                <w:lang w:val="ro-RO"/>
              </w:rPr>
            </w:pPr>
            <w:r>
              <w:rPr>
                <w:sz w:val="22"/>
                <w:szCs w:val="22"/>
                <w:lang w:val="ro-RO"/>
              </w:rPr>
              <w:t>A prezentat: dr.h.</w:t>
            </w:r>
          </w:p>
          <w:p>
            <w:pPr>
              <w:pStyle w:val="ListParagraph"/>
              <w:widowControl/>
              <w:bidi w:val="0"/>
              <w:spacing w:before="0" w:after="200"/>
              <w:ind w:left="0" w:right="0" w:hanging="0"/>
              <w:contextualSpacing/>
              <w:jc w:val="both"/>
              <w:textAlignment w:val="auto"/>
              <w:rPr>
                <w:lang w:val="ro-RO"/>
              </w:rPr>
            </w:pPr>
            <w:r>
              <w:rPr>
                <w:rFonts w:cs="Times New Roman CE" w:ascii="Times New Roman CE" w:hAnsi="Times New Roman CE"/>
                <w:sz w:val="22"/>
                <w:szCs w:val="22"/>
                <w:lang w:val="ro-RO"/>
              </w:rPr>
              <w:t>Şubă A.</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eastAsia="en-US"/>
              </w:rPr>
              <w:t>Necessary and sufficient center conditions for differential systems of non-linear oscillations.</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pPr>
            <w:r>
              <w:rPr>
                <w:sz w:val="22"/>
                <w:szCs w:val="22"/>
                <w:lang w:val="ro-RO"/>
              </w:rPr>
              <w:t>Raport sec</w:t>
            </w:r>
            <w:r>
              <w:rPr>
                <w:rFonts w:ascii="Cambria Math" w:hAnsi="Cambria Math"/>
                <w:sz w:val="22"/>
                <w:szCs w:val="22"/>
                <w:lang w:val="ro-RO"/>
              </w:rPr>
              <w:t>ț</w:t>
            </w:r>
            <w:r>
              <w:rPr>
                <w:sz w:val="22"/>
                <w:szCs w:val="22"/>
                <w:lang w:val="ro-RO"/>
              </w:rPr>
              <w:t>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suppressAutoHyphens w:val="true"/>
              <w:bidi w:val="0"/>
              <w:spacing w:before="0" w:after="60"/>
              <w:ind w:left="0" w:right="0" w:hanging="0"/>
              <w:jc w:val="both"/>
              <w:textAlignment w:val="auto"/>
              <w:rPr>
                <w:lang w:val="ro-MD"/>
              </w:rPr>
            </w:pPr>
            <w:r>
              <w:rPr>
                <w:sz w:val="22"/>
                <w:szCs w:val="22"/>
                <w:lang w:val="ro-MD"/>
              </w:rPr>
              <w:t>Participarea la „</w:t>
            </w:r>
            <w:r>
              <w:rPr>
                <w:color w:val="131413"/>
                <w:sz w:val="22"/>
                <w:szCs w:val="22"/>
                <w:lang w:val="en-US"/>
              </w:rPr>
              <w:t>10th international conference GTM2016”, Saint Petersburg, July 7-9 2016</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Lozovanu D. dr.h.</w:t>
            </w:r>
          </w:p>
          <w:p>
            <w:pPr>
              <w:pStyle w:val="Normal"/>
              <w:widowControl/>
              <w:bidi w:val="0"/>
              <w:ind w:left="0" w:right="0" w:hanging="0"/>
              <w:jc w:val="left"/>
              <w:textAlignment w:val="auto"/>
              <w:rPr>
                <w:lang w:val="ro-RO"/>
              </w:rPr>
            </w:pPr>
            <w:r>
              <w:rPr>
                <w:color w:val="131413"/>
                <w:sz w:val="22"/>
                <w:szCs w:val="22"/>
                <w:lang w:val="ro-RO"/>
              </w:rPr>
              <w:t>Pickl S. dr.</w:t>
            </w:r>
          </w:p>
          <w:p>
            <w:pPr>
              <w:pStyle w:val="ListParagraph"/>
              <w:widowControl/>
              <w:bidi w:val="0"/>
              <w:spacing w:before="0" w:after="0"/>
              <w:ind w:left="0" w:right="0" w:hanging="0"/>
              <w:contextualSpacing/>
              <w:jc w:val="left"/>
              <w:textAlignment w:val="auto"/>
              <w:rPr>
                <w:lang w:val="ro-RO"/>
              </w:rPr>
            </w:pPr>
            <w:r>
              <w:rPr>
                <w:sz w:val="22"/>
                <w:szCs w:val="22"/>
                <w:lang w:val="ro-RO"/>
              </w:rPr>
              <w:t>A prezentat: dr.h.</w:t>
            </w:r>
          </w:p>
          <w:p>
            <w:pPr>
              <w:pStyle w:val="ListParagraph"/>
              <w:widowControl/>
              <w:bidi w:val="0"/>
              <w:spacing w:before="0" w:after="0"/>
              <w:ind w:left="0" w:right="0" w:hanging="0"/>
              <w:contextualSpacing/>
              <w:jc w:val="left"/>
              <w:textAlignment w:val="auto"/>
              <w:rPr>
                <w:lang w:val="ro-RO"/>
              </w:rPr>
            </w:pPr>
            <w:r>
              <w:rPr>
                <w:sz w:val="22"/>
                <w:szCs w:val="22"/>
                <w:lang w:val="ro-RO"/>
              </w:rPr>
              <w:t>Lozovanu D.</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bookmarkStart w:id="204" w:name="_Toc469648849"/>
            <w:bookmarkStart w:id="205" w:name="_Toc469651935"/>
            <w:bookmarkEnd w:id="204"/>
            <w:bookmarkEnd w:id="205"/>
            <w:r>
              <w:rPr>
                <w:sz w:val="22"/>
                <w:szCs w:val="22"/>
                <w:lang w:val="en-US"/>
              </w:rPr>
              <w:t>An approach for determining the optimal strategies in average antagonistic stochastic games</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lang w:val="ro-MD"/>
              </w:rPr>
            </w:pPr>
            <w:bookmarkStart w:id="206" w:name="_Toc469648850"/>
            <w:bookmarkStart w:id="207" w:name="_Toc469651936"/>
            <w:bookmarkEnd w:id="206"/>
            <w:bookmarkEnd w:id="207"/>
            <w:r>
              <w:rPr>
                <w:rFonts w:cs="Times New Roman CE" w:ascii="Times New Roman CE" w:hAnsi="Times New Roman CE"/>
                <w:b w:val="false"/>
                <w:bCs/>
                <w:sz w:val="22"/>
                <w:szCs w:val="22"/>
                <w:lang w:val="ro-MD"/>
              </w:rPr>
              <w:t>Raport secţie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suppressAutoHyphens w:val="true"/>
              <w:bidi w:val="0"/>
              <w:spacing w:before="0" w:after="60"/>
              <w:ind w:left="0" w:right="0" w:hanging="0"/>
              <w:jc w:val="both"/>
              <w:textAlignment w:val="auto"/>
              <w:rPr>
                <w:lang w:val="ro-MD"/>
              </w:rPr>
            </w:pPr>
            <w:r>
              <w:rPr>
                <w:sz w:val="22"/>
                <w:szCs w:val="22"/>
                <w:lang w:val="ro-MD"/>
              </w:rPr>
              <w:t>Participarea la „</w:t>
            </w:r>
            <w:r>
              <w:rPr>
                <w:color w:val="131413"/>
                <w:sz w:val="22"/>
                <w:szCs w:val="22"/>
                <w:lang w:val="en-US"/>
              </w:rPr>
              <w:t>14th CTW2016 conference theory and applications of discrete optimization</w:t>
            </w:r>
            <w:r>
              <w:rPr>
                <w:sz w:val="22"/>
                <w:szCs w:val="22"/>
                <w:lang w:val="en-US"/>
              </w:rPr>
              <w:t xml:space="preserve"> algorithms”,</w:t>
            </w:r>
            <w:r>
              <w:rPr>
                <w:i/>
                <w:sz w:val="22"/>
                <w:szCs w:val="22"/>
                <w:lang w:val="en-US"/>
              </w:rPr>
              <w:t xml:space="preserve"> </w:t>
            </w:r>
            <w:r>
              <w:rPr>
                <w:sz w:val="22"/>
                <w:szCs w:val="22"/>
                <w:lang w:val="en-US"/>
              </w:rPr>
              <w:t>Milano, 2016</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Lozovanu D. dr.h.</w:t>
            </w:r>
          </w:p>
          <w:p>
            <w:pPr>
              <w:pStyle w:val="Normal"/>
              <w:widowControl/>
              <w:bidi w:val="0"/>
              <w:ind w:left="0" w:right="0" w:hanging="0"/>
              <w:jc w:val="left"/>
              <w:textAlignment w:val="auto"/>
              <w:rPr>
                <w:lang w:val="ro-RO"/>
              </w:rPr>
            </w:pPr>
            <w:r>
              <w:rPr>
                <w:color w:val="131413"/>
                <w:sz w:val="22"/>
                <w:szCs w:val="22"/>
                <w:lang w:val="ro-RO"/>
              </w:rPr>
              <w:t>Pickl S. dr.</w:t>
            </w:r>
          </w:p>
          <w:p>
            <w:pPr>
              <w:pStyle w:val="ListParagraph"/>
              <w:widowControl/>
              <w:bidi w:val="0"/>
              <w:spacing w:before="0" w:after="0"/>
              <w:ind w:left="0" w:right="0" w:hanging="0"/>
              <w:contextualSpacing/>
              <w:jc w:val="left"/>
              <w:textAlignment w:val="auto"/>
              <w:rPr>
                <w:lang w:val="ro-RO"/>
              </w:rPr>
            </w:pPr>
            <w:r>
              <w:rPr>
                <w:sz w:val="22"/>
                <w:szCs w:val="22"/>
                <w:lang w:val="ro-RO"/>
              </w:rPr>
              <w:t>A prezentat: dr.h.</w:t>
            </w:r>
          </w:p>
          <w:p>
            <w:pPr>
              <w:pStyle w:val="1"/>
              <w:keepNext/>
              <w:widowControl/>
              <w:numPr>
                <w:ilvl w:val="0"/>
                <w:numId w:val="0"/>
              </w:numPr>
              <w:bidi w:val="0"/>
              <w:spacing w:before="240" w:after="60"/>
              <w:ind w:left="0" w:right="0" w:hanging="0"/>
              <w:jc w:val="left"/>
              <w:textAlignment w:val="auto"/>
              <w:outlineLvl w:val="0"/>
              <w:rPr>
                <w:lang w:val="ro-RO"/>
              </w:rPr>
            </w:pPr>
            <w:bookmarkStart w:id="208" w:name="_Toc469648851"/>
            <w:bookmarkStart w:id="209" w:name="_Toc469651937"/>
            <w:bookmarkEnd w:id="208"/>
            <w:bookmarkEnd w:id="209"/>
            <w:r>
              <w:rPr>
                <w:rFonts w:ascii="Times New Roman" w:hAnsi="Times New Roman"/>
                <w:b w:val="false"/>
                <w:bCs/>
                <w:sz w:val="22"/>
                <w:szCs w:val="22"/>
                <w:lang w:val="ro-RO"/>
              </w:rPr>
              <w:t>Lozovanu D.</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bookmarkStart w:id="210" w:name="_Toc469648852"/>
            <w:bookmarkStart w:id="211" w:name="_Toc469651938"/>
            <w:bookmarkEnd w:id="210"/>
            <w:bookmarkEnd w:id="211"/>
            <w:r>
              <w:rPr>
                <w:sz w:val="22"/>
                <w:szCs w:val="22"/>
                <w:lang w:val="en-US"/>
              </w:rPr>
              <w:t>Determining the optimal strstegies for  zero-sum average stochastic positional games</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lang w:val="ro-MD"/>
              </w:rPr>
            </w:pPr>
            <w:bookmarkStart w:id="212" w:name="_Toc469648853"/>
            <w:bookmarkStart w:id="213" w:name="_Toc469651939"/>
            <w:bookmarkEnd w:id="212"/>
            <w:bookmarkEnd w:id="213"/>
            <w:r>
              <w:rPr>
                <w:rFonts w:cs="Times New Roman CE" w:ascii="Times New Roman CE" w:hAnsi="Times New Roman CE"/>
                <w:b w:val="false"/>
                <w:bCs/>
                <w:sz w:val="22"/>
                <w:szCs w:val="22"/>
                <w:lang w:val="ro-MD"/>
              </w:rPr>
              <w:t>Raport secţie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suppressAutoHyphens w:val="true"/>
              <w:bidi w:val="0"/>
              <w:spacing w:before="0" w:after="60"/>
              <w:ind w:left="0" w:right="0" w:hanging="0"/>
              <w:jc w:val="both"/>
              <w:textAlignment w:val="auto"/>
              <w:rPr>
                <w:lang w:val="ro-MD"/>
              </w:rPr>
            </w:pPr>
            <w:r>
              <w:rPr>
                <w:sz w:val="22"/>
                <w:szCs w:val="22"/>
                <w:lang w:val="ro-MD"/>
              </w:rPr>
              <w:t>Participarea la c</w:t>
            </w:r>
            <w:r>
              <w:rPr>
                <w:rFonts w:cs="Times New Roman CE" w:ascii="Times New Roman CE" w:hAnsi="Times New Roman CE"/>
                <w:color w:val="131413"/>
                <w:sz w:val="22"/>
                <w:szCs w:val="22"/>
                <w:lang w:val="es-ES"/>
              </w:rPr>
              <w:t>onferinţa internaţională “Modelare matematică, optimizare şi tehnologii informaţionale”, ediţia a V-a, Chişinău, ATIC, 22-25 martie 2016</w:t>
            </w:r>
          </w:p>
          <w:p>
            <w:pPr>
              <w:pStyle w:val="1"/>
              <w:keepNext/>
              <w:widowControl/>
              <w:numPr>
                <w:ilvl w:val="0"/>
                <w:numId w:val="0"/>
              </w:numPr>
              <w:bidi w:val="0"/>
              <w:spacing w:before="240" w:after="60"/>
              <w:ind w:left="0" w:right="0" w:hanging="0"/>
              <w:jc w:val="left"/>
              <w:textAlignment w:val="auto"/>
              <w:outlineLvl w:val="0"/>
              <w:rPr>
                <w:rFonts w:ascii="Times New Roman" w:hAnsi="Times New Roman"/>
                <w:b w:val="false"/>
                <w:b w:val="false"/>
                <w:bCs/>
                <w:sz w:val="22"/>
                <w:szCs w:val="22"/>
                <w:lang w:val="es-ES"/>
              </w:rPr>
            </w:pPr>
            <w:r>
              <w:rPr>
                <w:rFonts w:ascii="Times New Roman" w:hAnsi="Times New Roman"/>
                <w:b w:val="false"/>
                <w:bCs/>
                <w:sz w:val="22"/>
                <w:szCs w:val="22"/>
                <w:lang w:val="es-ES"/>
              </w:rPr>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Lozovanu D. dr.h.</w:t>
            </w:r>
          </w:p>
          <w:p>
            <w:pPr>
              <w:pStyle w:val="1"/>
              <w:keepNext/>
              <w:widowControl/>
              <w:numPr>
                <w:ilvl w:val="0"/>
                <w:numId w:val="0"/>
              </w:numPr>
              <w:bidi w:val="0"/>
              <w:spacing w:before="240" w:after="60"/>
              <w:ind w:left="0" w:right="0" w:hanging="0"/>
              <w:jc w:val="left"/>
              <w:textAlignment w:val="auto"/>
              <w:outlineLvl w:val="0"/>
              <w:rPr>
                <w:rFonts w:ascii="Times New Roman" w:hAnsi="Times New Roman"/>
                <w:b w:val="false"/>
                <w:b w:val="false"/>
                <w:bCs/>
                <w:sz w:val="22"/>
                <w:szCs w:val="22"/>
                <w:lang w:val="ro-RO"/>
              </w:rPr>
            </w:pPr>
            <w:r>
              <w:rPr>
                <w:rFonts w:ascii="Times New Roman" w:hAnsi="Times New Roman"/>
                <w:b w:val="false"/>
                <w:bCs/>
                <w:sz w:val="22"/>
                <w:szCs w:val="22"/>
                <w:lang w:val="ro-RO"/>
              </w:rPr>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bookmarkStart w:id="214" w:name="_Toc469648854"/>
            <w:bookmarkStart w:id="215" w:name="_Toc469651940"/>
            <w:r>
              <w:rPr>
                <w:sz w:val="22"/>
                <w:szCs w:val="22"/>
                <w:lang w:val="en-US"/>
              </w:rPr>
              <w:t>Determining the optimal strategies for multichain average Markov decision peoblems</w:t>
            </w:r>
            <w:bookmarkEnd w:id="214"/>
            <w:bookmarkEnd w:id="215"/>
            <w:r>
              <w:rPr>
                <w:sz w:val="22"/>
                <w:szCs w:val="22"/>
                <w:lang w:val="en-US"/>
              </w:rPr>
              <w:t xml:space="preserve">  </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lang w:val="ro-MD"/>
              </w:rPr>
            </w:pPr>
            <w:bookmarkStart w:id="216" w:name="_Toc469648855"/>
            <w:bookmarkStart w:id="217" w:name="_Toc469651941"/>
            <w:bookmarkEnd w:id="216"/>
            <w:bookmarkEnd w:id="217"/>
            <w:r>
              <w:rPr>
                <w:rFonts w:ascii="Times New Roman" w:hAnsi="Times New Roman"/>
                <w:b w:val="false"/>
                <w:bCs/>
                <w:sz w:val="22"/>
                <w:szCs w:val="22"/>
                <w:lang w:val="ro-MD"/>
              </w:rPr>
              <w:t>Raport Plenar</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val="false"/>
              <w:bidi w:val="0"/>
              <w:spacing w:before="0" w:after="60"/>
              <w:ind w:left="624" w:right="0" w:hanging="0"/>
              <w:jc w:val="both"/>
              <w:textAlignment w:val="auto"/>
              <w:rPr>
                <w:rFonts w:ascii="Times New Roman" w:hAnsi="Times New Roman"/>
                <w:sz w:val="22"/>
                <w:szCs w:val="22"/>
                <w:lang w:val="ro-MD"/>
              </w:rPr>
            </w:pPr>
            <w:r>
              <w:rPr>
                <w:sz w:val="22"/>
                <w:szCs w:val="22"/>
                <w:lang w:val="ro-MD"/>
              </w:rPr>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0"/>
              <w:ind w:left="0" w:right="0" w:hanging="0"/>
              <w:contextualSpacing/>
              <w:jc w:val="left"/>
              <w:textAlignment w:val="auto"/>
              <w:rPr>
                <w:lang w:val="en-US"/>
              </w:rPr>
            </w:pPr>
            <w:r>
              <w:rPr>
                <w:rFonts w:cs="Times New Roman CE" w:ascii="Times New Roman CE" w:hAnsi="Times New Roman CE"/>
                <w:color w:val="131413"/>
                <w:sz w:val="22"/>
                <w:szCs w:val="22"/>
                <w:lang w:val="en-US"/>
              </w:rPr>
              <w:t>Mişcoi Gh. a</w:t>
            </w:r>
            <w:r>
              <w:rPr>
                <w:color w:val="131413"/>
                <w:sz w:val="22"/>
                <w:szCs w:val="22"/>
                <w:lang w:val="ro-RO"/>
              </w:rPr>
              <w:t>cad.</w:t>
            </w:r>
          </w:p>
          <w:p>
            <w:pPr>
              <w:pStyle w:val="ListParagraph"/>
              <w:widowControl/>
              <w:bidi w:val="0"/>
              <w:spacing w:before="0" w:after="0"/>
              <w:ind w:left="0" w:right="0" w:hanging="0"/>
              <w:contextualSpacing/>
              <w:jc w:val="left"/>
              <w:textAlignment w:val="auto"/>
              <w:rPr/>
            </w:pPr>
            <w:r>
              <w:rPr>
                <w:color w:val="131413"/>
                <w:sz w:val="22"/>
                <w:szCs w:val="22"/>
                <w:lang w:val="en-US"/>
              </w:rPr>
              <w:t xml:space="preserve">Costea A. </w:t>
            </w:r>
          </w:p>
          <w:p>
            <w:pPr>
              <w:pStyle w:val="1"/>
              <w:keepNext/>
              <w:widowControl/>
              <w:numPr>
                <w:ilvl w:val="0"/>
                <w:numId w:val="0"/>
              </w:numPr>
              <w:bidi w:val="0"/>
              <w:ind w:left="0" w:right="0" w:hanging="0"/>
              <w:jc w:val="left"/>
              <w:textAlignment w:val="auto"/>
              <w:outlineLvl w:val="0"/>
              <w:rPr>
                <w:lang w:val="en-US"/>
              </w:rPr>
            </w:pPr>
            <w:bookmarkStart w:id="218" w:name="_Toc469648856"/>
            <w:bookmarkStart w:id="219" w:name="_Toc469651942"/>
            <w:r>
              <w:rPr>
                <w:rFonts w:ascii="Times New Roman" w:hAnsi="Times New Roman"/>
                <w:b w:val="false"/>
                <w:bCs/>
                <w:color w:val="131413"/>
                <w:sz w:val="22"/>
                <w:szCs w:val="22"/>
                <w:lang w:val="en-US"/>
              </w:rPr>
              <w:t>Ticu R.</w:t>
            </w:r>
            <w:bookmarkEnd w:id="218"/>
            <w:bookmarkEnd w:id="219"/>
            <w:r>
              <w:rPr>
                <w:rFonts w:ascii="Times New Roman" w:hAnsi="Times New Roman"/>
                <w:b w:val="false"/>
                <w:bCs/>
                <w:color w:val="131413"/>
                <w:sz w:val="22"/>
                <w:szCs w:val="22"/>
                <w:lang w:val="en-US"/>
              </w:rPr>
              <w:t xml:space="preserve"> </w:t>
            </w:r>
          </w:p>
          <w:p>
            <w:pPr>
              <w:pStyle w:val="ListParagraph"/>
              <w:widowControl/>
              <w:bidi w:val="0"/>
              <w:spacing w:before="0" w:after="0"/>
              <w:ind w:left="0" w:right="0" w:hanging="0"/>
              <w:contextualSpacing/>
              <w:jc w:val="left"/>
              <w:textAlignment w:val="auto"/>
              <w:rPr>
                <w:lang w:val="ro-RO"/>
              </w:rPr>
            </w:pPr>
            <w:r>
              <w:rPr>
                <w:sz w:val="22"/>
                <w:szCs w:val="22"/>
                <w:lang w:val="ro-RO"/>
              </w:rPr>
              <w:t xml:space="preserve">A prezentat: </w:t>
            </w:r>
            <w:r>
              <w:rPr>
                <w:rFonts w:cs="Times New Roman CE" w:ascii="Times New Roman CE" w:hAnsi="Times New Roman CE"/>
                <w:color w:val="131413"/>
                <w:sz w:val="22"/>
                <w:szCs w:val="22"/>
                <w:lang w:val="en-US"/>
              </w:rPr>
              <w:t>Ţicu R.</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s-ES"/>
              </w:rPr>
            </w:pPr>
            <w:bookmarkStart w:id="220" w:name="_Toc469648857"/>
            <w:bookmarkStart w:id="221" w:name="_Toc469651943"/>
            <w:r>
              <w:rPr>
                <w:color w:val="131413"/>
                <w:sz w:val="22"/>
                <w:szCs w:val="22"/>
                <w:lang w:val="es-ES"/>
              </w:rPr>
              <w:t xml:space="preserve">Modelarea </w:t>
            </w:r>
            <w:bookmarkEnd w:id="220"/>
            <w:bookmarkEnd w:id="221"/>
            <w:r>
              <w:rPr>
                <w:rFonts w:cs="Times New Roman CE" w:ascii="Times New Roman CE" w:hAnsi="Times New Roman CE"/>
                <w:sz w:val="22"/>
                <w:szCs w:val="22"/>
                <w:lang w:val="fr-FR"/>
              </w:rPr>
              <w:t>activităţii terminalului maritim în baza coeficientului de trafic</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lang w:val="ro-MD"/>
              </w:rPr>
            </w:pPr>
            <w:bookmarkStart w:id="222" w:name="_Toc469648858"/>
            <w:bookmarkStart w:id="223" w:name="_Toc469651944"/>
            <w:bookmarkEnd w:id="222"/>
            <w:bookmarkEnd w:id="223"/>
            <w:r>
              <w:rPr>
                <w:rFonts w:cs="Times New Roman CE" w:ascii="Times New Roman CE" w:hAnsi="Times New Roman CE"/>
                <w:b w:val="false"/>
                <w:bCs/>
                <w:sz w:val="22"/>
                <w:szCs w:val="22"/>
                <w:lang w:val="ro-MD"/>
              </w:rPr>
              <w:t>Raport secţie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val="false"/>
              <w:bidi w:val="0"/>
              <w:spacing w:before="0" w:after="60"/>
              <w:ind w:left="624" w:right="0" w:hanging="0"/>
              <w:jc w:val="both"/>
              <w:textAlignment w:val="auto"/>
              <w:rPr>
                <w:rFonts w:ascii="Times New Roman" w:hAnsi="Times New Roman"/>
                <w:sz w:val="22"/>
                <w:szCs w:val="22"/>
                <w:lang w:val="ro-MD"/>
              </w:rPr>
            </w:pPr>
            <w:r>
              <w:rPr>
                <w:sz w:val="22"/>
                <w:szCs w:val="22"/>
                <w:lang w:val="ro-MD"/>
              </w:rPr>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lang w:val="es-ES"/>
              </w:rPr>
            </w:pPr>
            <w:bookmarkStart w:id="224" w:name="_Toc469648859"/>
            <w:bookmarkStart w:id="225" w:name="_Toc469651945"/>
            <w:r>
              <w:rPr>
                <w:rFonts w:ascii="Times New Roman" w:hAnsi="Times New Roman"/>
                <w:b w:val="false"/>
                <w:bCs/>
                <w:color w:val="131413"/>
                <w:sz w:val="22"/>
                <w:szCs w:val="22"/>
                <w:lang w:val="es-ES"/>
              </w:rPr>
              <w:t xml:space="preserve">Naval E. </w:t>
            </w:r>
            <w:bookmarkEnd w:id="224"/>
            <w:bookmarkEnd w:id="225"/>
            <w:r>
              <w:rPr>
                <w:rFonts w:ascii="Times New Roman" w:hAnsi="Times New Roman"/>
                <w:b w:val="false"/>
                <w:bCs/>
                <w:sz w:val="22"/>
                <w:szCs w:val="22"/>
                <w:lang w:val="ro-RO"/>
              </w:rPr>
              <w:t>dr.</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it-IT"/>
              </w:rPr>
            </w:pPr>
            <w:bookmarkStart w:id="226" w:name="_Toc469648860"/>
            <w:bookmarkStart w:id="227" w:name="_Toc469651946"/>
            <w:r>
              <w:rPr>
                <w:rFonts w:cs="Times New Roman CE" w:ascii="Times New Roman CE" w:hAnsi="Times New Roman CE"/>
                <w:sz w:val="22"/>
                <w:szCs w:val="22"/>
                <w:lang w:val="it-IT"/>
              </w:rPr>
              <w:t>Impactul sectoarelor cercetare-dezvoltare, tehnologiilor informaţionale şi comunicaţiilor asupra creşterii economice</w:t>
            </w:r>
            <w:bookmarkEnd w:id="226"/>
            <w:bookmarkEnd w:id="227"/>
            <w:r>
              <w:rPr>
                <w:sz w:val="22"/>
                <w:szCs w:val="22"/>
                <w:lang w:val="it-IT"/>
              </w:rPr>
              <w:t xml:space="preserve"> în Republica Moldova</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lang w:val="ro-MD"/>
              </w:rPr>
            </w:pPr>
            <w:bookmarkStart w:id="228" w:name="_Toc469648861"/>
            <w:bookmarkStart w:id="229" w:name="_Toc469651947"/>
            <w:bookmarkEnd w:id="228"/>
            <w:bookmarkEnd w:id="229"/>
            <w:r>
              <w:rPr>
                <w:rFonts w:cs="Times New Roman CE" w:ascii="Times New Roman CE" w:hAnsi="Times New Roman CE"/>
                <w:b w:val="false"/>
                <w:bCs/>
                <w:sz w:val="22"/>
                <w:szCs w:val="22"/>
                <w:lang w:val="ro-MD"/>
              </w:rPr>
              <w:t>Raport secţie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suppressAutoHyphens w:val="true"/>
              <w:bidi w:val="0"/>
              <w:spacing w:before="0" w:after="60"/>
              <w:ind w:left="0" w:right="0" w:hanging="0"/>
              <w:jc w:val="both"/>
              <w:textAlignment w:val="auto"/>
              <w:rPr>
                <w:rFonts w:ascii="Times New Roman" w:hAnsi="Times New Roman"/>
                <w:sz w:val="22"/>
                <w:szCs w:val="22"/>
                <w:lang w:val="ro-MD"/>
              </w:rPr>
            </w:pPr>
            <w:r>
              <w:rPr>
                <w:sz w:val="22"/>
                <w:szCs w:val="22"/>
                <w:lang w:val="ro-MD"/>
              </w:rPr>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0"/>
              <w:ind w:left="0" w:right="0" w:hanging="0"/>
              <w:contextualSpacing/>
              <w:jc w:val="left"/>
              <w:textAlignment w:val="auto"/>
              <w:rPr>
                <w:lang w:val="ro-RO"/>
              </w:rPr>
            </w:pPr>
            <w:r>
              <w:rPr>
                <w:color w:val="131413"/>
                <w:sz w:val="22"/>
                <w:szCs w:val="22"/>
                <w:lang w:val="ro-RO"/>
              </w:rPr>
              <w:t xml:space="preserve">Secrieru G. </w:t>
            </w:r>
            <w:r>
              <w:rPr>
                <w:sz w:val="22"/>
                <w:szCs w:val="22"/>
                <w:lang w:val="ro-RO"/>
              </w:rPr>
              <w:t>dr.</w:t>
            </w:r>
          </w:p>
          <w:p>
            <w:pPr>
              <w:pStyle w:val="1"/>
              <w:keepNext/>
              <w:widowControl/>
              <w:numPr>
                <w:ilvl w:val="0"/>
                <w:numId w:val="0"/>
              </w:numPr>
              <w:bidi w:val="0"/>
              <w:ind w:left="0" w:right="0" w:hanging="0"/>
              <w:jc w:val="left"/>
              <w:textAlignment w:val="auto"/>
              <w:outlineLvl w:val="0"/>
              <w:rPr>
                <w:lang w:val="en-US"/>
              </w:rPr>
            </w:pPr>
            <w:bookmarkStart w:id="230" w:name="_Toc469648862"/>
            <w:bookmarkStart w:id="231" w:name="_Toc469651948"/>
            <w:bookmarkEnd w:id="230"/>
            <w:bookmarkEnd w:id="231"/>
            <w:r>
              <w:rPr>
                <w:rFonts w:cs="Times New Roman CE" w:ascii="Times New Roman CE" w:hAnsi="Times New Roman CE"/>
                <w:b w:val="false"/>
                <w:bCs/>
                <w:color w:val="131413"/>
                <w:sz w:val="22"/>
                <w:szCs w:val="22"/>
                <w:lang w:val="en-US"/>
              </w:rPr>
              <w:t>Guţuleac E. dr.</w:t>
            </w:r>
          </w:p>
          <w:p>
            <w:pPr>
              <w:pStyle w:val="ListParagraph"/>
              <w:widowControl/>
              <w:bidi w:val="0"/>
              <w:spacing w:before="0" w:after="0"/>
              <w:ind w:left="0" w:right="0" w:hanging="0"/>
              <w:contextualSpacing/>
              <w:jc w:val="left"/>
              <w:textAlignment w:val="auto"/>
              <w:rPr>
                <w:lang w:val="ro-RO"/>
              </w:rPr>
            </w:pPr>
            <w:r>
              <w:rPr>
                <w:sz w:val="22"/>
                <w:szCs w:val="22"/>
                <w:lang w:val="ro-RO"/>
              </w:rPr>
              <w:t>A prezentat: dr.</w:t>
            </w:r>
          </w:p>
          <w:p>
            <w:pPr>
              <w:pStyle w:val="Normal"/>
              <w:widowControl/>
              <w:bidi w:val="0"/>
              <w:ind w:left="0" w:right="0" w:hanging="0"/>
              <w:jc w:val="left"/>
              <w:textAlignment w:val="auto"/>
              <w:rPr>
                <w:lang w:val="en-US"/>
              </w:rPr>
            </w:pPr>
            <w:r>
              <w:rPr>
                <w:rFonts w:cs="Times New Roman CE" w:ascii="Times New Roman CE" w:hAnsi="Times New Roman CE"/>
                <w:color w:val="131413"/>
                <w:sz w:val="22"/>
                <w:szCs w:val="22"/>
                <w:lang w:val="en-US"/>
              </w:rPr>
              <w:t>Guţuleac E</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bookmarkStart w:id="232" w:name="_Toc469648863"/>
            <w:bookmarkStart w:id="233" w:name="_Toc469651949"/>
            <w:bookmarkEnd w:id="232"/>
            <w:bookmarkEnd w:id="233"/>
            <w:r>
              <w:rPr>
                <w:sz w:val="22"/>
                <w:szCs w:val="22"/>
              </w:rPr>
              <w:t>Компьютерное моделирование динамического нагружения заглубленных в грунт конструкций</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lang w:val="ro-MD"/>
              </w:rPr>
            </w:pPr>
            <w:bookmarkStart w:id="234" w:name="_Toc469648864"/>
            <w:bookmarkStart w:id="235" w:name="_Toc469651950"/>
            <w:bookmarkEnd w:id="234"/>
            <w:bookmarkEnd w:id="235"/>
            <w:r>
              <w:rPr>
                <w:rFonts w:cs="Times New Roman CE" w:ascii="Times New Roman CE" w:hAnsi="Times New Roman CE"/>
                <w:b w:val="false"/>
                <w:bCs/>
                <w:sz w:val="22"/>
                <w:szCs w:val="22"/>
                <w:lang w:val="ro-MD"/>
              </w:rPr>
              <w:t>Raport secţie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suppressAutoHyphens w:val="true"/>
              <w:bidi w:val="0"/>
              <w:ind w:left="0" w:right="0" w:hanging="0"/>
              <w:jc w:val="left"/>
              <w:textAlignment w:val="auto"/>
              <w:rPr/>
            </w:pPr>
            <w:hyperlink r:id="rId99">
              <w:r>
                <w:rPr>
                  <w:webHidden/>
                  <w:rStyle w:val="Style5"/>
                  <w:sz w:val="22"/>
                  <w:szCs w:val="22"/>
                  <w:lang w:val="ro-MD"/>
                </w:rPr>
                <w:t>Participarea la</w:t>
              </w:r>
              <w:r>
                <w:rPr>
                  <w:rStyle w:val="Style5"/>
                  <w:color w:val="131413"/>
                  <w:sz w:val="22"/>
                  <w:szCs w:val="22"/>
                  <w:lang w:val="en-US"/>
                </w:rPr>
                <w:t xml:space="preserve"> “International Conference Mathematicals &amp; Information Technologies: research&amp;</w:t>
              </w:r>
            </w:hyperlink>
            <w:r>
              <w:rPr>
                <w:rFonts w:cs="Times New Roman CE" w:ascii="Times New Roman CE" w:hAnsi="Times New Roman CE"/>
                <w:color w:val="131413"/>
                <w:sz w:val="22"/>
                <w:szCs w:val="22"/>
                <w:lang w:val="en-US"/>
              </w:rPr>
              <w:t>education (MITRE-2016)”, Chişinău, Republica Moldova, 23–26 iunie 2016</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Lozovanu D. dr.h.</w:t>
            </w:r>
          </w:p>
          <w:p>
            <w:pPr>
              <w:pStyle w:val="Normal"/>
              <w:widowControl/>
              <w:bidi w:val="0"/>
              <w:ind w:left="0" w:right="0" w:hanging="0"/>
              <w:jc w:val="left"/>
              <w:textAlignment w:val="auto"/>
              <w:rPr>
                <w:rFonts w:ascii="Times New Roman" w:hAnsi="Times New Roman"/>
                <w:b/>
                <w:b/>
                <w:sz w:val="22"/>
                <w:szCs w:val="22"/>
                <w:lang w:val="ro-RO"/>
              </w:rPr>
            </w:pPr>
            <w:r>
              <w:rPr>
                <w:b/>
                <w:sz w:val="22"/>
                <w:szCs w:val="22"/>
                <w:lang w:val="ro-RO"/>
              </w:rPr>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lang w:val="en-US"/>
              </w:rPr>
            </w:pPr>
            <w:bookmarkStart w:id="236" w:name="_Toc469648865"/>
            <w:bookmarkStart w:id="237" w:name="_Toc469651951"/>
            <w:r>
              <w:rPr>
                <w:rFonts w:ascii="Times New Roman" w:hAnsi="Times New Roman"/>
                <w:b w:val="false"/>
                <w:bCs/>
                <w:sz w:val="22"/>
                <w:szCs w:val="22"/>
                <w:lang w:val="en-US"/>
              </w:rPr>
              <w:t>Determining stationary Nash equilibria for average stoc</w:t>
            </w:r>
            <w:r>
              <w:rPr>
                <w:rFonts w:ascii="Times New Roman" w:hAnsi="Times New Roman"/>
                <w:b/>
                <w:bCs/>
                <w:sz w:val="22"/>
                <w:szCs w:val="22"/>
                <w:lang w:val="en-US"/>
              </w:rPr>
              <w:t>h</w:t>
            </w:r>
            <w:bookmarkEnd w:id="236"/>
            <w:bookmarkEnd w:id="237"/>
            <w:r>
              <w:rPr>
                <w:rFonts w:ascii="Times New Roman" w:hAnsi="Times New Roman"/>
                <w:b w:val="false"/>
                <w:bCs/>
                <w:sz w:val="22"/>
                <w:szCs w:val="22"/>
                <w:lang w:val="en-US"/>
              </w:rPr>
              <w:t>astic games</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pPr>
            <w:bookmarkStart w:id="238" w:name="_Toc469648866"/>
            <w:bookmarkStart w:id="239" w:name="_Toc469651952"/>
            <w:bookmarkEnd w:id="238"/>
            <w:bookmarkEnd w:id="239"/>
            <w:r>
              <w:rPr>
                <w:rFonts w:ascii="Times New Roman" w:hAnsi="Times New Roman"/>
                <w:b w:val="false"/>
                <w:bCs/>
                <w:sz w:val="22"/>
                <w:szCs w:val="22"/>
                <w:lang w:val="ro-MD"/>
              </w:rPr>
              <w:t>Raport Plenar</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suppressAutoHyphens w:val="true"/>
              <w:bidi w:val="0"/>
              <w:ind w:left="284" w:right="0" w:hanging="0"/>
              <w:jc w:val="both"/>
              <w:textAlignment w:val="auto"/>
              <w:rPr>
                <w:rFonts w:ascii="Times New Roman" w:hAnsi="Times New Roman"/>
                <w:sz w:val="22"/>
                <w:szCs w:val="22"/>
                <w:lang w:val="it-IT"/>
              </w:rPr>
            </w:pPr>
            <w:r>
              <w:rPr>
                <w:sz w:val="22"/>
                <w:szCs w:val="22"/>
                <w:lang w:val="it-IT"/>
              </w:rPr>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0"/>
              <w:ind w:left="0" w:right="0" w:hanging="0"/>
              <w:contextualSpacing/>
              <w:jc w:val="left"/>
              <w:textAlignment w:val="auto"/>
              <w:rPr>
                <w:lang w:val="en-US"/>
              </w:rPr>
            </w:pPr>
            <w:r>
              <w:rPr>
                <w:rFonts w:cs="Times New Roman CE" w:ascii="Times New Roman CE" w:hAnsi="Times New Roman CE"/>
                <w:color w:val="131413"/>
                <w:sz w:val="22"/>
                <w:szCs w:val="22"/>
                <w:lang w:val="en-US"/>
              </w:rPr>
              <w:t xml:space="preserve">Mişcoi Gh. </w:t>
            </w:r>
            <w:r>
              <w:rPr>
                <w:color w:val="131413"/>
                <w:sz w:val="22"/>
                <w:szCs w:val="22"/>
                <w:lang w:val="ro-RO"/>
              </w:rPr>
              <w:t>acad.</w:t>
            </w:r>
          </w:p>
          <w:p>
            <w:pPr>
              <w:pStyle w:val="ListParagraph"/>
              <w:widowControl/>
              <w:bidi w:val="0"/>
              <w:spacing w:before="0" w:after="0"/>
              <w:ind w:left="0" w:right="0" w:hanging="0"/>
              <w:contextualSpacing/>
              <w:jc w:val="left"/>
              <w:textAlignment w:val="auto"/>
              <w:rPr/>
            </w:pPr>
            <w:r>
              <w:rPr>
                <w:color w:val="131413"/>
                <w:sz w:val="22"/>
                <w:szCs w:val="22"/>
                <w:lang w:val="en-US"/>
              </w:rPr>
              <w:t xml:space="preserve">Costea A. </w:t>
            </w:r>
          </w:p>
          <w:p>
            <w:pPr>
              <w:pStyle w:val="Normal"/>
              <w:widowControl/>
              <w:suppressAutoHyphens w:val="true"/>
              <w:bidi w:val="0"/>
              <w:ind w:left="0" w:right="0" w:hanging="0"/>
              <w:jc w:val="both"/>
              <w:textAlignment w:val="auto"/>
              <w:rPr>
                <w:lang w:val="en-US"/>
              </w:rPr>
            </w:pPr>
            <w:r>
              <w:rPr>
                <w:color w:val="131413"/>
                <w:sz w:val="22"/>
                <w:szCs w:val="22"/>
                <w:lang w:val="en-US"/>
              </w:rPr>
              <w:t xml:space="preserve">Ticu R., </w:t>
            </w:r>
            <w:r>
              <w:rPr>
                <w:color w:val="333333"/>
                <w:sz w:val="22"/>
                <w:szCs w:val="22"/>
                <w:lang w:val="en-US"/>
              </w:rPr>
              <w:t>Pomazan C.</w:t>
            </w:r>
            <w:r>
              <w:rPr>
                <w:color w:val="131413"/>
                <w:sz w:val="22"/>
                <w:szCs w:val="22"/>
                <w:lang w:val="en-US"/>
              </w:rPr>
              <w:t xml:space="preserve"> </w:t>
            </w:r>
          </w:p>
          <w:p>
            <w:pPr>
              <w:pStyle w:val="ListParagraph"/>
              <w:widowControl/>
              <w:bidi w:val="0"/>
              <w:spacing w:before="0" w:after="0"/>
              <w:ind w:left="0" w:right="0" w:hanging="0"/>
              <w:contextualSpacing/>
              <w:jc w:val="left"/>
              <w:textAlignment w:val="auto"/>
              <w:rPr>
                <w:lang w:val="ro-RO"/>
              </w:rPr>
            </w:pPr>
            <w:r>
              <w:rPr>
                <w:sz w:val="22"/>
                <w:szCs w:val="22"/>
                <w:lang w:val="ro-RO"/>
              </w:rPr>
              <w:t xml:space="preserve">A prezentat: </w:t>
            </w:r>
          </w:p>
          <w:p>
            <w:pPr>
              <w:pStyle w:val="1"/>
              <w:keepNext/>
              <w:widowControl/>
              <w:numPr>
                <w:ilvl w:val="0"/>
                <w:numId w:val="0"/>
              </w:numPr>
              <w:bidi w:val="0"/>
              <w:spacing w:before="240" w:after="60"/>
              <w:ind w:left="0" w:right="0" w:hanging="0"/>
              <w:jc w:val="left"/>
              <w:textAlignment w:val="auto"/>
              <w:outlineLvl w:val="0"/>
              <w:rPr>
                <w:lang w:val="ro-MD"/>
              </w:rPr>
            </w:pPr>
            <w:bookmarkStart w:id="240" w:name="_Toc469648867"/>
            <w:bookmarkStart w:id="241" w:name="_Toc469651953"/>
            <w:bookmarkEnd w:id="240"/>
            <w:bookmarkEnd w:id="241"/>
            <w:r>
              <w:rPr>
                <w:rFonts w:ascii="Times New Roman" w:hAnsi="Times New Roman"/>
                <w:b w:val="false"/>
                <w:bCs/>
                <w:sz w:val="22"/>
                <w:szCs w:val="22"/>
                <w:lang w:val="ro-MD"/>
              </w:rPr>
              <w:t>Costea A.</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bookmarkStart w:id="242" w:name="_Toc469648868"/>
            <w:bookmarkStart w:id="243" w:name="_Toc469651954"/>
            <w:bookmarkEnd w:id="242"/>
            <w:bookmarkEnd w:id="243"/>
            <w:r>
              <w:rPr>
                <w:sz w:val="22"/>
                <w:szCs w:val="22"/>
                <w:lang w:val="en-US"/>
              </w:rPr>
              <w:t>Evalution algorithms of the waiting time of ships in a seaport</w:t>
            </w:r>
          </w:p>
          <w:p>
            <w:pPr>
              <w:pStyle w:val="Normal"/>
              <w:widowControl/>
              <w:bidi w:val="0"/>
              <w:ind w:left="0" w:right="0" w:hanging="0"/>
              <w:jc w:val="left"/>
              <w:textAlignment w:val="auto"/>
              <w:rPr>
                <w:rFonts w:ascii="Times New Roman" w:hAnsi="Times New Roman"/>
                <w:sz w:val="22"/>
                <w:szCs w:val="22"/>
                <w:lang w:val="en-US"/>
              </w:rPr>
            </w:pPr>
            <w:r>
              <w:rPr>
                <w:sz w:val="22"/>
                <w:szCs w:val="22"/>
                <w:lang w:val="en-US"/>
              </w:rPr>
            </w:r>
          </w:p>
          <w:p>
            <w:pPr>
              <w:pStyle w:val="Normal"/>
              <w:widowControl/>
              <w:bidi w:val="0"/>
              <w:ind w:left="0" w:right="0" w:hanging="0"/>
              <w:jc w:val="left"/>
              <w:textAlignment w:val="auto"/>
              <w:rPr>
                <w:rFonts w:ascii="Times New Roman" w:hAnsi="Times New Roman"/>
                <w:sz w:val="22"/>
                <w:szCs w:val="22"/>
                <w:lang w:val="en-US"/>
              </w:rPr>
            </w:pPr>
            <w:r>
              <w:rPr>
                <w:sz w:val="22"/>
                <w:szCs w:val="22"/>
                <w:lang w:val="en-US"/>
              </w:rPr>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lang w:val="ro-MD"/>
              </w:rPr>
            </w:pPr>
            <w:bookmarkStart w:id="244" w:name="_Toc469648869"/>
            <w:bookmarkStart w:id="245" w:name="_Toc469651955"/>
            <w:bookmarkEnd w:id="244"/>
            <w:bookmarkEnd w:id="245"/>
            <w:r>
              <w:rPr>
                <w:rFonts w:cs="Times New Roman CE" w:ascii="Times New Roman CE" w:hAnsi="Times New Roman CE"/>
                <w:b w:val="false"/>
                <w:bCs/>
                <w:sz w:val="22"/>
                <w:szCs w:val="22"/>
                <w:lang w:val="ro-MD"/>
              </w:rPr>
              <w:t>Raport secţie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rFonts w:ascii="Times New Roman" w:hAnsi="Times New Roman"/>
                <w:b w:val="false"/>
                <w:b w:val="false"/>
                <w:bCs/>
                <w:sz w:val="22"/>
                <w:szCs w:val="22"/>
                <w:lang w:val="ro-MD"/>
              </w:rPr>
            </w:pPr>
            <w:r>
              <w:rPr>
                <w:rFonts w:ascii="Times New Roman" w:hAnsi="Times New Roman"/>
                <w:b w:val="false"/>
                <w:bCs/>
                <w:sz w:val="22"/>
                <w:szCs w:val="22"/>
                <w:lang w:val="ro-MD"/>
              </w:rPr>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0"/>
              <w:ind w:left="0" w:right="0" w:hanging="0"/>
              <w:contextualSpacing/>
              <w:jc w:val="left"/>
              <w:textAlignment w:val="auto"/>
              <w:rPr>
                <w:lang w:val="ro-RO"/>
              </w:rPr>
            </w:pPr>
            <w:r>
              <w:rPr>
                <w:color w:val="131413"/>
                <w:sz w:val="22"/>
                <w:szCs w:val="22"/>
                <w:lang w:val="ro-RO"/>
              </w:rPr>
              <w:t xml:space="preserve">Secrieru G. </w:t>
            </w:r>
            <w:r>
              <w:rPr>
                <w:sz w:val="22"/>
                <w:szCs w:val="22"/>
                <w:lang w:val="ro-RO"/>
              </w:rPr>
              <w:t>dr.</w:t>
            </w:r>
          </w:p>
          <w:p>
            <w:pPr>
              <w:pStyle w:val="1"/>
              <w:keepNext/>
              <w:widowControl/>
              <w:numPr>
                <w:ilvl w:val="0"/>
                <w:numId w:val="0"/>
              </w:numPr>
              <w:bidi w:val="0"/>
              <w:ind w:left="0" w:right="0" w:hanging="0"/>
              <w:jc w:val="left"/>
              <w:textAlignment w:val="auto"/>
              <w:outlineLvl w:val="0"/>
              <w:rPr>
                <w:lang w:val="en-US"/>
              </w:rPr>
            </w:pPr>
            <w:bookmarkStart w:id="246" w:name="_Toc469648870"/>
            <w:bookmarkStart w:id="247" w:name="_Toc469651956"/>
            <w:bookmarkEnd w:id="246"/>
            <w:bookmarkEnd w:id="247"/>
            <w:r>
              <w:rPr>
                <w:rFonts w:cs="Times New Roman CE" w:ascii="Times New Roman CE" w:hAnsi="Times New Roman CE"/>
                <w:b w:val="false"/>
                <w:bCs/>
                <w:color w:val="131413"/>
                <w:sz w:val="22"/>
                <w:szCs w:val="22"/>
                <w:lang w:val="en-US"/>
              </w:rPr>
              <w:t>Guţuleac E. dr</w:t>
            </w:r>
          </w:p>
          <w:p>
            <w:pPr>
              <w:pStyle w:val="ListParagraph"/>
              <w:widowControl/>
              <w:bidi w:val="0"/>
              <w:spacing w:before="0" w:after="0"/>
              <w:ind w:left="0" w:right="0" w:hanging="0"/>
              <w:contextualSpacing/>
              <w:jc w:val="left"/>
              <w:textAlignment w:val="auto"/>
              <w:rPr>
                <w:lang w:val="ro-RO"/>
              </w:rPr>
            </w:pPr>
            <w:r>
              <w:rPr>
                <w:sz w:val="22"/>
                <w:szCs w:val="22"/>
                <w:lang w:val="ro-RO"/>
              </w:rPr>
              <w:t>A prezentat: dr.</w:t>
            </w:r>
          </w:p>
          <w:p>
            <w:pPr>
              <w:pStyle w:val="Normal"/>
              <w:widowControl/>
              <w:bidi w:val="0"/>
              <w:ind w:left="0" w:right="0" w:hanging="0"/>
              <w:jc w:val="left"/>
              <w:textAlignment w:val="auto"/>
              <w:rPr>
                <w:lang w:val="en-US"/>
              </w:rPr>
            </w:pPr>
            <w:r>
              <w:rPr>
                <w:rFonts w:cs="Times New Roman CE" w:ascii="Times New Roman CE" w:hAnsi="Times New Roman CE"/>
                <w:color w:val="131413"/>
                <w:sz w:val="22"/>
                <w:szCs w:val="22"/>
                <w:lang w:val="en-US"/>
              </w:rPr>
              <w:t>Guţuleac E</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bookmarkStart w:id="248" w:name="_Toc469648871"/>
            <w:bookmarkStart w:id="249" w:name="_Toc469651957"/>
            <w:bookmarkEnd w:id="248"/>
            <w:bookmarkEnd w:id="249"/>
            <w:r>
              <w:rPr>
                <w:sz w:val="22"/>
                <w:szCs w:val="22"/>
                <w:lang w:val="en-US"/>
              </w:rPr>
              <w:t>Numerical vulnerability assessment of hazardous materials storage under dynamic load</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lang w:val="ro-MD"/>
              </w:rPr>
            </w:pPr>
            <w:bookmarkStart w:id="250" w:name="_Toc469648872"/>
            <w:bookmarkStart w:id="251" w:name="_Toc469651958"/>
            <w:bookmarkEnd w:id="250"/>
            <w:bookmarkEnd w:id="251"/>
            <w:r>
              <w:rPr>
                <w:rFonts w:cs="Times New Roman CE" w:ascii="Times New Roman CE" w:hAnsi="Times New Roman CE"/>
                <w:b w:val="false"/>
                <w:bCs/>
                <w:sz w:val="22"/>
                <w:szCs w:val="22"/>
                <w:lang w:val="ro-MD"/>
              </w:rPr>
              <w:t>Raport secţie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lang w:val="ro-MD"/>
              </w:rPr>
            </w:pPr>
            <w:bookmarkStart w:id="252" w:name="_Toc469648873"/>
            <w:bookmarkStart w:id="253" w:name="_Toc469651959"/>
            <w:bookmarkEnd w:id="252"/>
            <w:bookmarkEnd w:id="253"/>
            <w:r>
              <w:rPr>
                <w:rFonts w:ascii="Times New Roman" w:hAnsi="Times New Roman"/>
                <w:b w:val="false"/>
                <w:bCs/>
                <w:sz w:val="22"/>
                <w:szCs w:val="22"/>
                <w:lang w:val="ro-MD"/>
              </w:rPr>
              <w:t>Scientific Conference in the Field of Medcine for Doctors Spearing Foreign Languages in Moldova, 29.09.16</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0"/>
              <w:ind w:left="0" w:right="0" w:hanging="0"/>
              <w:contextualSpacing/>
              <w:jc w:val="left"/>
              <w:textAlignment w:val="auto"/>
              <w:rPr>
                <w:lang w:val="ro-RO"/>
              </w:rPr>
            </w:pPr>
            <w:r>
              <w:rPr>
                <w:color w:val="131413"/>
                <w:sz w:val="22"/>
                <w:szCs w:val="22"/>
                <w:lang w:val="ro-RO"/>
              </w:rPr>
              <w:t>Naval E. dr.</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bookmarkStart w:id="254" w:name="_Toc469648874"/>
            <w:bookmarkStart w:id="255" w:name="_Toc469651960"/>
            <w:bookmarkEnd w:id="254"/>
            <w:bookmarkEnd w:id="255"/>
            <w:r>
              <w:rPr>
                <w:sz w:val="22"/>
                <w:szCs w:val="22"/>
                <w:lang w:val="en-US"/>
              </w:rPr>
              <w:t>Using  mathematic tools in medcine</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lang w:val="ro-MD"/>
              </w:rPr>
            </w:pPr>
            <w:bookmarkStart w:id="256" w:name="_Toc469648875"/>
            <w:bookmarkStart w:id="257" w:name="_Toc469651961"/>
            <w:bookmarkEnd w:id="256"/>
            <w:bookmarkEnd w:id="257"/>
            <w:r>
              <w:rPr>
                <w:rFonts w:cs="Times New Roman CE" w:ascii="Times New Roman CE" w:hAnsi="Times New Roman CE"/>
                <w:b w:val="false"/>
                <w:bCs/>
                <w:sz w:val="22"/>
                <w:szCs w:val="22"/>
                <w:lang w:val="ro-MD"/>
              </w:rPr>
              <w:t>Raport secţie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both"/>
              <w:textAlignment w:val="auto"/>
              <w:outlineLvl w:val="0"/>
              <w:rPr>
                <w:lang w:val="ro-MD"/>
              </w:rPr>
            </w:pPr>
            <w:bookmarkStart w:id="258" w:name="_Toc469648876"/>
            <w:bookmarkStart w:id="259" w:name="_Toc469651962"/>
            <w:r>
              <w:rPr>
                <w:rFonts w:ascii="Times New Roman" w:hAnsi="Times New Roman"/>
                <w:b w:val="false"/>
                <w:bCs/>
                <w:sz w:val="22"/>
                <w:szCs w:val="22"/>
                <w:lang w:val="ro-MD"/>
              </w:rPr>
              <w:t>Participarea la „</w:t>
            </w:r>
            <w:r>
              <w:rPr>
                <w:rFonts w:ascii="Times New Roman" w:hAnsi="Times New Roman"/>
                <w:b w:val="false"/>
                <w:bCs/>
                <w:sz w:val="22"/>
                <w:szCs w:val="22"/>
                <w:lang w:val="en-US"/>
              </w:rPr>
              <w:t xml:space="preserve">The </w:t>
            </w:r>
            <w:r>
              <w:rPr>
                <w:rFonts w:ascii="Times New Roman" w:hAnsi="Times New Roman"/>
                <w:b w:val="false"/>
                <w:bCs w:val="false"/>
                <w:sz w:val="22"/>
                <w:szCs w:val="22"/>
                <w:lang w:val="en-US"/>
              </w:rPr>
              <w:t xml:space="preserve">SISOM 2016 and Acoustics Symposium of Romanian Academy”, 12-13 </w:t>
            </w:r>
            <w:bookmarkEnd w:id="258"/>
            <w:bookmarkEnd w:id="259"/>
            <w:r>
              <w:rPr>
                <w:rFonts w:ascii="Times New Roman" w:hAnsi="Times New Roman"/>
                <w:b w:val="false"/>
                <w:bCs/>
                <w:sz w:val="22"/>
                <w:szCs w:val="22"/>
                <w:lang w:val="en-US"/>
              </w:rPr>
              <w:t>May 2016, Bucharest, Romania.</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0"/>
              <w:ind w:left="0" w:right="0" w:hanging="0"/>
              <w:contextualSpacing/>
              <w:jc w:val="left"/>
              <w:textAlignment w:val="auto"/>
              <w:rPr>
                <w:lang w:val="ro-RO"/>
              </w:rPr>
            </w:pPr>
            <w:r>
              <w:rPr>
                <w:color w:val="131413"/>
                <w:sz w:val="22"/>
                <w:szCs w:val="22"/>
                <w:lang w:val="ro-RO"/>
              </w:rPr>
              <w:t xml:space="preserve">Secrieru G. </w:t>
            </w:r>
            <w:r>
              <w:rPr>
                <w:sz w:val="22"/>
                <w:szCs w:val="22"/>
                <w:lang w:val="ro-RO"/>
              </w:rPr>
              <w:t>dr.</w:t>
            </w:r>
          </w:p>
          <w:p>
            <w:pPr>
              <w:pStyle w:val="1"/>
              <w:keepNext/>
              <w:widowControl/>
              <w:numPr>
                <w:ilvl w:val="0"/>
                <w:numId w:val="0"/>
              </w:numPr>
              <w:bidi w:val="0"/>
              <w:ind w:left="0" w:right="0" w:hanging="0"/>
              <w:jc w:val="left"/>
              <w:textAlignment w:val="auto"/>
              <w:outlineLvl w:val="0"/>
              <w:rPr>
                <w:lang w:val="en-US"/>
              </w:rPr>
            </w:pPr>
            <w:bookmarkStart w:id="260" w:name="_Toc469648877"/>
            <w:bookmarkStart w:id="261" w:name="_Toc469651963"/>
            <w:bookmarkEnd w:id="260"/>
            <w:bookmarkEnd w:id="261"/>
            <w:r>
              <w:rPr>
                <w:rFonts w:cs="Times New Roman CE" w:ascii="Times New Roman CE" w:hAnsi="Times New Roman CE"/>
                <w:b w:val="false"/>
                <w:bCs/>
                <w:color w:val="131413"/>
                <w:sz w:val="22"/>
                <w:szCs w:val="22"/>
                <w:lang w:val="en-US"/>
              </w:rPr>
              <w:t>Guţuleac E. dr.</w:t>
            </w:r>
          </w:p>
          <w:p>
            <w:pPr>
              <w:pStyle w:val="ListParagraph"/>
              <w:widowControl/>
              <w:bidi w:val="0"/>
              <w:spacing w:before="0" w:after="0"/>
              <w:ind w:left="0" w:right="0" w:hanging="0"/>
              <w:contextualSpacing/>
              <w:jc w:val="left"/>
              <w:textAlignment w:val="auto"/>
              <w:rPr>
                <w:lang w:val="ro-RO"/>
              </w:rPr>
            </w:pPr>
            <w:r>
              <w:rPr>
                <w:sz w:val="22"/>
                <w:szCs w:val="22"/>
                <w:lang w:val="ro-RO"/>
              </w:rPr>
              <w:t>A prezentat: dr.</w:t>
            </w:r>
          </w:p>
          <w:p>
            <w:pPr>
              <w:pStyle w:val="Normal"/>
              <w:widowControl/>
              <w:bidi w:val="0"/>
              <w:ind w:left="0" w:right="0" w:hanging="0"/>
              <w:jc w:val="left"/>
              <w:textAlignment w:val="auto"/>
              <w:rPr>
                <w:lang w:val="en-US"/>
              </w:rPr>
            </w:pPr>
            <w:r>
              <w:rPr>
                <w:rFonts w:cs="Times New Roman CE" w:ascii="Times New Roman CE" w:hAnsi="Times New Roman CE"/>
                <w:color w:val="131413"/>
                <w:sz w:val="22"/>
                <w:szCs w:val="22"/>
                <w:lang w:val="en-US"/>
              </w:rPr>
              <w:t>Guţuleac E</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bookmarkStart w:id="262" w:name="_Toc469648878"/>
            <w:bookmarkStart w:id="263" w:name="_Toc469651964"/>
            <w:r>
              <w:rPr>
                <w:sz w:val="22"/>
                <w:szCs w:val="22"/>
                <w:lang w:val="en-US"/>
              </w:rPr>
              <w:t xml:space="preserve">Mathematical modeling of </w:t>
            </w:r>
            <w:r>
              <w:rPr>
                <w:iCs/>
                <w:sz w:val="22"/>
                <w:szCs w:val="22"/>
                <w:lang w:val="en-US"/>
              </w:rPr>
              <w:t>elastic</w:t>
            </w:r>
            <w:r>
              <w:rPr>
                <w:sz w:val="22"/>
                <w:szCs w:val="22"/>
                <w:lang w:val="en-US"/>
              </w:rPr>
              <w:t>–</w:t>
            </w:r>
            <w:r>
              <w:rPr>
                <w:iCs/>
                <w:sz w:val="22"/>
                <w:szCs w:val="22"/>
                <w:lang w:val="en-US"/>
              </w:rPr>
              <w:t>plastic structures</w:t>
            </w:r>
            <w:r>
              <w:rPr>
                <w:sz w:val="22"/>
                <w:szCs w:val="22"/>
                <w:lang w:val="en-US"/>
              </w:rPr>
              <w:t xml:space="preserve"> </w:t>
            </w:r>
            <w:r>
              <w:rPr>
                <w:iCs/>
                <w:sz w:val="22"/>
                <w:szCs w:val="22"/>
                <w:lang w:val="en-US"/>
              </w:rPr>
              <w:t>vulnerability</w:t>
            </w:r>
            <w:bookmarkEnd w:id="262"/>
            <w:bookmarkEnd w:id="263"/>
            <w:r>
              <w:rPr>
                <w:sz w:val="22"/>
                <w:szCs w:val="22"/>
                <w:lang w:val="en-US"/>
              </w:rPr>
              <w:t xml:space="preserve"> under intensive loading</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lang w:val="ro-MD"/>
              </w:rPr>
            </w:pPr>
            <w:bookmarkStart w:id="264" w:name="_Toc469648879"/>
            <w:bookmarkStart w:id="265" w:name="_Toc469651965"/>
            <w:bookmarkEnd w:id="264"/>
            <w:bookmarkEnd w:id="265"/>
            <w:r>
              <w:rPr>
                <w:rFonts w:ascii="Times New Roman" w:hAnsi="Times New Roman"/>
                <w:b w:val="false"/>
                <w:bCs/>
                <w:sz w:val="22"/>
                <w:szCs w:val="22"/>
                <w:lang w:val="ro-MD"/>
              </w:rPr>
              <w:t>Raport Plenar</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lang w:val="ro-MD"/>
              </w:rPr>
            </w:pPr>
            <w:bookmarkStart w:id="266" w:name="_Toc469648880"/>
            <w:bookmarkStart w:id="267" w:name="_Toc469651966"/>
            <w:r>
              <w:rPr>
                <w:rFonts w:ascii="Times New Roman" w:hAnsi="Times New Roman"/>
                <w:b w:val="false"/>
                <w:bCs/>
                <w:sz w:val="22"/>
                <w:szCs w:val="22"/>
                <w:lang w:val="ro-MD"/>
              </w:rPr>
              <w:t>Participarea la</w:t>
            </w:r>
            <w:bookmarkEnd w:id="266"/>
            <w:bookmarkEnd w:id="267"/>
            <w:r>
              <w:rPr>
                <w:rFonts w:ascii="Times New Roman" w:hAnsi="Times New Roman"/>
                <w:b w:val="false"/>
                <w:bCs/>
                <w:sz w:val="22"/>
                <w:szCs w:val="22"/>
                <w:lang w:val="ro-MD"/>
              </w:rPr>
              <w:t xml:space="preserve"> </w:t>
            </w:r>
          </w:p>
          <w:p>
            <w:pPr>
              <w:pStyle w:val="1"/>
              <w:keepNext/>
              <w:widowControl/>
              <w:numPr>
                <w:ilvl w:val="0"/>
                <w:numId w:val="0"/>
              </w:numPr>
              <w:bidi w:val="0"/>
              <w:spacing w:before="240" w:after="60"/>
              <w:ind w:left="0" w:right="0" w:hanging="0"/>
              <w:jc w:val="left"/>
              <w:textAlignment w:val="auto"/>
              <w:outlineLvl w:val="0"/>
              <w:rPr>
                <w:lang w:val="ro-RO"/>
              </w:rPr>
            </w:pPr>
            <w:bookmarkStart w:id="268" w:name="_Toc469648881"/>
            <w:bookmarkStart w:id="269" w:name="_Toc469651967"/>
            <w:r>
              <w:rPr>
                <w:rFonts w:cs="Times New Roman CE" w:ascii="Times New Roman CE" w:hAnsi="Times New Roman CE"/>
                <w:b w:val="false"/>
                <w:bCs/>
                <w:sz w:val="22"/>
                <w:szCs w:val="22"/>
                <w:lang w:val="ro-RO"/>
              </w:rPr>
              <w:t>Conferinţa ştiinţifică “</w:t>
            </w:r>
            <w:bookmarkEnd w:id="268"/>
            <w:bookmarkEnd w:id="269"/>
            <w:r>
              <w:rPr>
                <w:rFonts w:ascii="Times New Roman" w:hAnsi="Times New Roman"/>
                <w:b w:val="false"/>
                <w:bCs/>
                <w:sz w:val="22"/>
                <w:szCs w:val="22"/>
                <w:lang w:val="ro-RO"/>
              </w:rPr>
              <w:t>Дни Объеди-ненного института ядерных иссле-дований (ОИЯИ) в Молдове”, 01-03 iunie 2016, Chishinau, Moldova.</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lang w:val="en-US"/>
              </w:rPr>
            </w:pPr>
            <w:bookmarkStart w:id="270" w:name="_Toc469648882"/>
            <w:bookmarkStart w:id="271" w:name="_Toc469651968"/>
            <w:r>
              <w:rPr>
                <w:rFonts w:ascii="Times New Roman" w:hAnsi="Times New Roman"/>
                <w:b w:val="false"/>
                <w:bCs/>
                <w:sz w:val="22"/>
                <w:szCs w:val="22"/>
                <w:lang w:val="en-US"/>
              </w:rPr>
              <w:t>Tighineanu I. acad.,</w:t>
            </w:r>
            <w:r>
              <w:rPr>
                <w:rFonts w:ascii="Times New Roman" w:hAnsi="Times New Roman"/>
                <w:b/>
                <w:bCs/>
                <w:sz w:val="22"/>
                <w:szCs w:val="22"/>
                <w:lang w:val="en-US"/>
              </w:rPr>
              <w:t xml:space="preserve"> </w:t>
            </w:r>
            <w:r>
              <w:rPr>
                <w:rFonts w:ascii="Times New Roman" w:hAnsi="Times New Roman"/>
                <w:b w:val="false"/>
                <w:bCs/>
                <w:color w:val="131413"/>
                <w:sz w:val="22"/>
                <w:szCs w:val="22"/>
                <w:lang w:val="ro-RO"/>
              </w:rPr>
              <w:t xml:space="preserve">Bogatencov P. </w:t>
            </w:r>
            <w:r>
              <w:rPr>
                <w:rFonts w:ascii="Times New Roman" w:hAnsi="Times New Roman"/>
                <w:b w:val="false"/>
                <w:bCs/>
                <w:sz w:val="22"/>
                <w:szCs w:val="22"/>
                <w:lang w:val="ro-RO"/>
              </w:rPr>
              <w:t xml:space="preserve">dr. </w:t>
            </w:r>
            <w:r>
              <w:rPr>
                <w:rFonts w:ascii="Times New Roman" w:hAnsi="Times New Roman"/>
                <w:b w:val="false"/>
                <w:bCs/>
                <w:color w:val="131413"/>
                <w:sz w:val="22"/>
                <w:szCs w:val="22"/>
                <w:lang w:val="ro-RO"/>
              </w:rPr>
              <w:t xml:space="preserve">Secrieru G. </w:t>
            </w:r>
            <w:bookmarkEnd w:id="270"/>
            <w:bookmarkEnd w:id="271"/>
            <w:r>
              <w:rPr>
                <w:rFonts w:ascii="Times New Roman" w:hAnsi="Times New Roman"/>
                <w:b w:val="false"/>
                <w:bCs/>
                <w:sz w:val="22"/>
                <w:szCs w:val="22"/>
                <w:lang w:val="ro-RO"/>
              </w:rPr>
              <w:t>dr.</w:t>
            </w:r>
          </w:p>
          <w:p>
            <w:pPr>
              <w:pStyle w:val="ListParagraph"/>
              <w:widowControl/>
              <w:bidi w:val="0"/>
              <w:spacing w:before="0" w:after="0"/>
              <w:ind w:left="0" w:right="0" w:hanging="0"/>
              <w:contextualSpacing/>
              <w:jc w:val="left"/>
              <w:textAlignment w:val="auto"/>
              <w:rPr>
                <w:lang w:val="ro-RO"/>
              </w:rPr>
            </w:pPr>
            <w:r>
              <w:rPr>
                <w:sz w:val="22"/>
                <w:szCs w:val="22"/>
                <w:lang w:val="ro-RO"/>
              </w:rPr>
              <w:t>A prezentat: dr.</w:t>
            </w:r>
          </w:p>
          <w:p>
            <w:pPr>
              <w:pStyle w:val="Normal"/>
              <w:widowControl/>
              <w:bidi w:val="0"/>
              <w:ind w:left="0" w:right="0" w:hanging="0"/>
              <w:jc w:val="left"/>
              <w:textAlignment w:val="auto"/>
              <w:rPr>
                <w:lang w:val="ro-RO"/>
              </w:rPr>
            </w:pPr>
            <w:r>
              <w:rPr>
                <w:color w:val="131413"/>
                <w:sz w:val="22"/>
                <w:szCs w:val="22"/>
                <w:lang w:val="ro-RO"/>
              </w:rPr>
              <w:t>Bogatencov P.</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bookmarkStart w:id="272" w:name="_Toc469648883"/>
            <w:bookmarkStart w:id="273" w:name="_Toc469651969"/>
            <w:bookmarkEnd w:id="272"/>
            <w:bookmarkEnd w:id="273"/>
            <w:r>
              <w:rPr>
                <w:sz w:val="22"/>
                <w:szCs w:val="22"/>
                <w:lang w:val="ro-RO"/>
              </w:rPr>
              <w:t>Computer Infrastructure and Services Development for Research and Education in Moldova</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lang w:val="ro-MD"/>
              </w:rPr>
            </w:pPr>
            <w:bookmarkStart w:id="274" w:name="_Toc469648884"/>
            <w:bookmarkStart w:id="275" w:name="_Toc469651970"/>
            <w:bookmarkEnd w:id="274"/>
            <w:bookmarkEnd w:id="275"/>
            <w:r>
              <w:rPr>
                <w:rFonts w:cs="Times New Roman CE" w:ascii="Times New Roman CE" w:hAnsi="Times New Roman CE"/>
                <w:b w:val="false"/>
                <w:bCs/>
                <w:sz w:val="22"/>
                <w:szCs w:val="22"/>
                <w:lang w:val="ro-MD"/>
              </w:rPr>
              <w:t>Raport secţie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suppressAutoHyphens w:val="true"/>
              <w:bidi w:val="0"/>
              <w:spacing w:before="0" w:after="60"/>
              <w:ind w:left="0" w:right="0" w:hanging="0"/>
              <w:jc w:val="both"/>
              <w:textAlignment w:val="auto"/>
              <w:rPr>
                <w:lang w:val="ro-MD"/>
              </w:rPr>
            </w:pPr>
            <w:r>
              <w:rPr>
                <w:sz w:val="22"/>
                <w:szCs w:val="22"/>
                <w:lang w:val="ro-MD"/>
              </w:rPr>
              <w:t>Participarea la „</w:t>
            </w:r>
            <w:r>
              <w:rPr>
                <w:color w:val="131413"/>
                <w:sz w:val="22"/>
                <w:szCs w:val="22"/>
                <w:lang w:val="en-US"/>
              </w:rPr>
              <w:t>15th RoEduNet IEEE International Conference - Networking in Education and Research” , 7-9 September 2016, Bucharest, Romania</w:t>
            </w:r>
          </w:p>
          <w:p>
            <w:pPr>
              <w:pStyle w:val="Normal"/>
              <w:widowControl/>
              <w:suppressAutoHyphens w:val="true"/>
              <w:bidi w:val="0"/>
              <w:spacing w:before="0" w:after="60"/>
              <w:ind w:left="0" w:right="0" w:hanging="0"/>
              <w:jc w:val="both"/>
              <w:textAlignment w:val="auto"/>
              <w:rPr>
                <w:rFonts w:ascii="Times New Roman" w:hAnsi="Times New Roman"/>
                <w:b/>
                <w:b/>
                <w:sz w:val="22"/>
                <w:szCs w:val="22"/>
                <w:lang w:val="en-US"/>
              </w:rPr>
            </w:pPr>
            <w:r>
              <w:rPr>
                <w:b/>
                <w:sz w:val="22"/>
                <w:szCs w:val="22"/>
                <w:lang w:val="en-US"/>
              </w:rPr>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0"/>
              <w:ind w:left="0" w:right="0" w:hanging="0"/>
              <w:contextualSpacing/>
              <w:jc w:val="left"/>
              <w:textAlignment w:val="auto"/>
              <w:rPr>
                <w:lang w:val="ro-MD"/>
              </w:rPr>
            </w:pPr>
            <w:r>
              <w:rPr>
                <w:bCs/>
                <w:sz w:val="22"/>
                <w:szCs w:val="22"/>
                <w:lang w:val="ro-MD"/>
              </w:rPr>
              <w:t>Golubev A.</w:t>
            </w:r>
            <w:r>
              <w:rPr>
                <w:b/>
                <w:bCs/>
                <w:sz w:val="22"/>
                <w:szCs w:val="22"/>
                <w:lang w:val="ro-MD"/>
              </w:rPr>
              <w:t xml:space="preserve"> </w:t>
            </w:r>
            <w:r>
              <w:rPr>
                <w:color w:val="131413"/>
                <w:sz w:val="22"/>
                <w:szCs w:val="22"/>
                <w:lang w:val="ro-RO"/>
              </w:rPr>
              <w:t xml:space="preserve">Bogatencov P. </w:t>
            </w:r>
            <w:r>
              <w:rPr>
                <w:sz w:val="22"/>
                <w:szCs w:val="22"/>
                <w:lang w:val="ro-RO"/>
              </w:rPr>
              <w:t xml:space="preserve">dr. </w:t>
            </w:r>
            <w:r>
              <w:rPr>
                <w:color w:val="131413"/>
                <w:sz w:val="22"/>
                <w:szCs w:val="22"/>
                <w:lang w:val="ro-RO"/>
              </w:rPr>
              <w:t xml:space="preserve">Secrieru G. </w:t>
            </w:r>
            <w:r>
              <w:rPr>
                <w:sz w:val="22"/>
                <w:szCs w:val="22"/>
                <w:lang w:val="ro-RO"/>
              </w:rPr>
              <w:t>dr.</w:t>
            </w:r>
          </w:p>
          <w:p>
            <w:pPr>
              <w:pStyle w:val="ListParagraph"/>
              <w:widowControl/>
              <w:bidi w:val="0"/>
              <w:spacing w:before="0" w:after="0"/>
              <w:ind w:left="0" w:right="0" w:hanging="0"/>
              <w:contextualSpacing/>
              <w:jc w:val="left"/>
              <w:textAlignment w:val="auto"/>
              <w:rPr>
                <w:lang w:val="ro-RO"/>
              </w:rPr>
            </w:pPr>
            <w:r>
              <w:rPr>
                <w:sz w:val="22"/>
                <w:szCs w:val="22"/>
                <w:lang w:val="ro-RO"/>
              </w:rPr>
              <w:t xml:space="preserve">A prezentat: </w:t>
            </w:r>
            <w:r>
              <w:rPr>
                <w:color w:val="131413"/>
                <w:sz w:val="22"/>
                <w:szCs w:val="22"/>
                <w:lang w:val="ro-RO"/>
              </w:rPr>
              <w:t>Golubev A.</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bookmarkStart w:id="276" w:name="_Toc469648885"/>
            <w:bookmarkStart w:id="277" w:name="_Toc469651971"/>
            <w:bookmarkEnd w:id="276"/>
            <w:bookmarkEnd w:id="277"/>
            <w:r>
              <w:rPr>
                <w:sz w:val="22"/>
                <w:szCs w:val="22"/>
                <w:lang w:val="en-US"/>
              </w:rPr>
              <w:t>Updating DICOM Network Architecture for its Integration at International Level</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lang w:val="ro-MD"/>
              </w:rPr>
            </w:pPr>
            <w:bookmarkStart w:id="278" w:name="_Toc469648886"/>
            <w:bookmarkStart w:id="279" w:name="_Toc469651972"/>
            <w:bookmarkEnd w:id="278"/>
            <w:bookmarkEnd w:id="279"/>
            <w:r>
              <w:rPr>
                <w:rFonts w:cs="Times New Roman CE" w:ascii="Times New Roman CE" w:hAnsi="Times New Roman CE"/>
                <w:b w:val="false"/>
                <w:bCs/>
                <w:sz w:val="22"/>
                <w:szCs w:val="22"/>
                <w:lang w:val="ro-MD"/>
              </w:rPr>
              <w:t>Raport secţie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suppressAutoHyphens w:val="true"/>
              <w:bidi w:val="0"/>
              <w:spacing w:before="0" w:after="60"/>
              <w:ind w:left="284" w:right="0" w:hanging="0"/>
              <w:jc w:val="both"/>
              <w:textAlignment w:val="auto"/>
              <w:rPr>
                <w:rFonts w:ascii="Times New Roman" w:hAnsi="Times New Roman"/>
                <w:sz w:val="22"/>
                <w:szCs w:val="22"/>
                <w:lang w:val="ro-MD"/>
              </w:rPr>
            </w:pPr>
            <w:r>
              <w:rPr>
                <w:sz w:val="22"/>
                <w:szCs w:val="22"/>
                <w:lang w:val="ro-MD"/>
              </w:rPr>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0"/>
              <w:ind w:left="0" w:right="0" w:hanging="0"/>
              <w:contextualSpacing/>
              <w:jc w:val="left"/>
              <w:textAlignment w:val="auto"/>
              <w:rPr>
                <w:lang w:val="ro-RO"/>
              </w:rPr>
            </w:pPr>
            <w:r>
              <w:rPr>
                <w:color w:val="131413"/>
                <w:sz w:val="22"/>
                <w:szCs w:val="22"/>
                <w:lang w:val="ro-RO"/>
              </w:rPr>
              <w:t xml:space="preserve">Secrieru G. </w:t>
            </w:r>
            <w:r>
              <w:rPr>
                <w:sz w:val="22"/>
                <w:szCs w:val="22"/>
                <w:lang w:val="ro-RO"/>
              </w:rPr>
              <w:t>dr.</w:t>
            </w:r>
          </w:p>
          <w:p>
            <w:pPr>
              <w:pStyle w:val="ListParagraph"/>
              <w:widowControl/>
              <w:bidi w:val="0"/>
              <w:spacing w:before="0" w:after="0"/>
              <w:ind w:left="0" w:right="0" w:hanging="0"/>
              <w:contextualSpacing/>
              <w:jc w:val="left"/>
              <w:textAlignment w:val="auto"/>
              <w:rPr/>
            </w:pPr>
            <w:r>
              <w:rPr>
                <w:color w:val="131413"/>
                <w:sz w:val="22"/>
                <w:szCs w:val="22"/>
                <w:lang w:val="ro-RO"/>
              </w:rPr>
              <w:t xml:space="preserve">Bogatencov P. </w:t>
            </w:r>
            <w:r>
              <w:rPr>
                <w:sz w:val="22"/>
                <w:szCs w:val="22"/>
                <w:lang w:val="ro-RO"/>
              </w:rPr>
              <w:t xml:space="preserve">dr. </w:t>
            </w:r>
          </w:p>
          <w:p>
            <w:pPr>
              <w:pStyle w:val="1"/>
              <w:keepNext/>
              <w:widowControl/>
              <w:numPr>
                <w:ilvl w:val="0"/>
                <w:numId w:val="0"/>
              </w:numPr>
              <w:bidi w:val="0"/>
              <w:ind w:left="0" w:right="0" w:hanging="0"/>
              <w:jc w:val="left"/>
              <w:textAlignment w:val="auto"/>
              <w:outlineLvl w:val="0"/>
              <w:rPr>
                <w:lang w:val="es-ES"/>
              </w:rPr>
            </w:pPr>
            <w:bookmarkStart w:id="280" w:name="_Toc469648887"/>
            <w:bookmarkStart w:id="281" w:name="_Toc469651973"/>
            <w:bookmarkEnd w:id="280"/>
            <w:bookmarkEnd w:id="281"/>
            <w:r>
              <w:rPr>
                <w:rFonts w:ascii="Times New Roman" w:hAnsi="Times New Roman"/>
                <w:b w:val="false"/>
                <w:bCs/>
                <w:color w:val="131413"/>
                <w:sz w:val="22"/>
                <w:szCs w:val="22"/>
                <w:lang w:val="es-ES"/>
              </w:rPr>
              <w:t>Rusu O., Rosca P.</w:t>
            </w:r>
          </w:p>
          <w:p>
            <w:pPr>
              <w:pStyle w:val="Normal"/>
              <w:widowControl/>
              <w:bidi w:val="0"/>
              <w:ind w:left="0" w:right="0" w:hanging="0"/>
              <w:jc w:val="left"/>
              <w:textAlignment w:val="auto"/>
              <w:rPr>
                <w:rFonts w:ascii="Times New Roman" w:hAnsi="Times New Roman"/>
                <w:sz w:val="22"/>
                <w:szCs w:val="22"/>
                <w:lang w:val="es-ES"/>
              </w:rPr>
            </w:pPr>
            <w:r>
              <w:rPr>
                <w:sz w:val="22"/>
                <w:szCs w:val="22"/>
                <w:lang w:val="es-ES"/>
              </w:rPr>
            </w:r>
          </w:p>
          <w:p>
            <w:pPr>
              <w:pStyle w:val="ListParagraph"/>
              <w:widowControl/>
              <w:bidi w:val="0"/>
              <w:spacing w:before="0" w:after="0"/>
              <w:ind w:left="0" w:right="0" w:hanging="0"/>
              <w:contextualSpacing/>
              <w:jc w:val="left"/>
              <w:textAlignment w:val="auto"/>
              <w:rPr>
                <w:lang w:val="ro-RO"/>
              </w:rPr>
            </w:pPr>
            <w:r>
              <w:rPr>
                <w:sz w:val="22"/>
                <w:szCs w:val="22"/>
                <w:lang w:val="ro-RO"/>
              </w:rPr>
              <w:t>A prezentat: dr.</w:t>
            </w:r>
          </w:p>
          <w:p>
            <w:pPr>
              <w:pStyle w:val="ListParagraph"/>
              <w:widowControl/>
              <w:bidi w:val="0"/>
              <w:spacing w:before="0" w:after="0"/>
              <w:ind w:left="0" w:right="0" w:hanging="0"/>
              <w:contextualSpacing/>
              <w:jc w:val="left"/>
              <w:textAlignment w:val="auto"/>
              <w:rPr>
                <w:lang w:val="ro-RO"/>
              </w:rPr>
            </w:pPr>
            <w:r>
              <w:rPr>
                <w:color w:val="131413"/>
                <w:sz w:val="22"/>
                <w:szCs w:val="22"/>
                <w:lang w:val="ro-RO"/>
              </w:rPr>
              <w:t>Bogatencov P.</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bookmarkStart w:id="282" w:name="_Toc469648888"/>
            <w:bookmarkStart w:id="283" w:name="_Toc469651974"/>
            <w:bookmarkEnd w:id="282"/>
            <w:bookmarkEnd w:id="283"/>
            <w:r>
              <w:rPr>
                <w:sz w:val="22"/>
                <w:szCs w:val="22"/>
                <w:lang w:val="en-US"/>
              </w:rPr>
              <w:t>RENAM – RoEduNet – GEANT gateway: approaches for connectivity development</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lang w:val="ro-MD"/>
              </w:rPr>
            </w:pPr>
            <w:bookmarkStart w:id="284" w:name="_Toc469648889"/>
            <w:bookmarkStart w:id="285" w:name="_Toc469651975"/>
            <w:bookmarkEnd w:id="284"/>
            <w:bookmarkEnd w:id="285"/>
            <w:r>
              <w:rPr>
                <w:rFonts w:cs="Times New Roman CE" w:ascii="Times New Roman CE" w:hAnsi="Times New Roman CE"/>
                <w:b w:val="false"/>
                <w:bCs/>
                <w:sz w:val="22"/>
                <w:szCs w:val="22"/>
                <w:lang w:val="ro-MD"/>
              </w:rPr>
              <w:t>Raport secţie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suppressAutoHyphens w:val="true"/>
              <w:bidi w:val="0"/>
              <w:spacing w:before="0" w:after="120"/>
              <w:ind w:left="0" w:right="0" w:hanging="0"/>
              <w:jc w:val="both"/>
              <w:textAlignment w:val="auto"/>
              <w:rPr>
                <w:lang w:val="en-US"/>
              </w:rPr>
            </w:pPr>
            <w:r>
              <w:rPr>
                <w:sz w:val="22"/>
                <w:szCs w:val="22"/>
                <w:lang w:val="en-US"/>
              </w:rPr>
              <w:t>Participarea la Forum International: TRIANGLE 2016-2nd Edition International FORUM  "Fostering the Knowledge Triangle in Moldova: Steps towards European integration through education-research-innovation”. Chisinau, Moldova. 11-12 February 2016.</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en-US"/>
              </w:rPr>
            </w:pPr>
            <w:r>
              <w:rPr>
                <w:sz w:val="22"/>
                <w:szCs w:val="22"/>
                <w:lang w:val="en-US"/>
              </w:rPr>
              <w:t xml:space="preserve">Bostan I.acad., Tighineanu I. acad., </w:t>
            </w:r>
            <w:r>
              <w:rPr>
                <w:color w:val="131413"/>
                <w:sz w:val="22"/>
                <w:szCs w:val="22"/>
                <w:lang w:val="ro-RO"/>
              </w:rPr>
              <w:t xml:space="preserve">Bogatencov P. </w:t>
            </w:r>
            <w:r>
              <w:rPr>
                <w:sz w:val="22"/>
                <w:szCs w:val="22"/>
                <w:lang w:val="ro-RO"/>
              </w:rPr>
              <w:t xml:space="preserve">dr. </w:t>
            </w:r>
            <w:r>
              <w:rPr>
                <w:color w:val="131413"/>
                <w:sz w:val="22"/>
                <w:szCs w:val="22"/>
                <w:lang w:val="ro-RO"/>
              </w:rPr>
              <w:t xml:space="preserve">Secrieru G. </w:t>
            </w:r>
            <w:r>
              <w:rPr>
                <w:sz w:val="22"/>
                <w:szCs w:val="22"/>
                <w:lang w:val="ro-RO"/>
              </w:rPr>
              <w:t>dr.</w:t>
            </w:r>
          </w:p>
          <w:p>
            <w:pPr>
              <w:pStyle w:val="ListParagraph"/>
              <w:widowControl/>
              <w:bidi w:val="0"/>
              <w:spacing w:before="0" w:after="0"/>
              <w:ind w:left="0" w:right="0" w:hanging="0"/>
              <w:contextualSpacing/>
              <w:jc w:val="left"/>
              <w:textAlignment w:val="auto"/>
              <w:rPr>
                <w:lang w:val="ro-RO"/>
              </w:rPr>
            </w:pPr>
            <w:r>
              <w:rPr>
                <w:sz w:val="22"/>
                <w:szCs w:val="22"/>
                <w:lang w:val="ro-RO"/>
              </w:rPr>
              <w:t>A prezentat: dr.</w:t>
            </w:r>
          </w:p>
          <w:p>
            <w:pPr>
              <w:pStyle w:val="ListParagraph"/>
              <w:widowControl/>
              <w:bidi w:val="0"/>
              <w:spacing w:before="0" w:after="0"/>
              <w:ind w:left="0" w:right="0" w:hanging="0"/>
              <w:contextualSpacing/>
              <w:jc w:val="left"/>
              <w:textAlignment w:val="auto"/>
              <w:rPr>
                <w:lang w:val="ro-RO"/>
              </w:rPr>
            </w:pPr>
            <w:r>
              <w:rPr>
                <w:color w:val="131413"/>
                <w:sz w:val="22"/>
                <w:szCs w:val="22"/>
                <w:lang w:val="ro-RO"/>
              </w:rPr>
              <w:t xml:space="preserve">Secrieru G. </w:t>
            </w:r>
          </w:p>
          <w:p>
            <w:pPr>
              <w:pStyle w:val="ListParagraph"/>
              <w:widowControl/>
              <w:bidi w:val="0"/>
              <w:spacing w:before="0" w:after="0"/>
              <w:ind w:left="0" w:right="0" w:hanging="0"/>
              <w:contextualSpacing/>
              <w:jc w:val="left"/>
              <w:textAlignment w:val="auto"/>
              <w:rPr>
                <w:rFonts w:ascii="Times New Roman" w:hAnsi="Times New Roman"/>
                <w:sz w:val="22"/>
                <w:szCs w:val="22"/>
                <w:lang w:val="ro-RO"/>
              </w:rPr>
            </w:pPr>
            <w:r>
              <w:rPr>
                <w:sz w:val="22"/>
                <w:szCs w:val="22"/>
                <w:lang w:val="ro-RO"/>
              </w:rPr>
            </w:r>
          </w:p>
          <w:p>
            <w:pPr>
              <w:pStyle w:val="ListParagraph"/>
              <w:widowControl/>
              <w:bidi w:val="0"/>
              <w:spacing w:before="0" w:after="200"/>
              <w:ind w:left="0" w:right="0" w:hanging="0"/>
              <w:contextualSpacing/>
              <w:jc w:val="left"/>
              <w:textAlignment w:val="auto"/>
              <w:rPr>
                <w:rFonts w:ascii="Times New Roman" w:hAnsi="Times New Roman"/>
                <w:sz w:val="22"/>
                <w:szCs w:val="22"/>
                <w:lang w:val="it-IT"/>
              </w:rPr>
            </w:pPr>
            <w:r>
              <w:rPr>
                <w:sz w:val="22"/>
                <w:szCs w:val="22"/>
                <w:lang w:val="it-IT"/>
              </w:rPr>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rPr>
              <w:t>Participation of Moldova in the Eastern Europe e-Infrastructure Development projects</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lang w:val="ro-MD"/>
              </w:rPr>
            </w:pPr>
            <w:bookmarkStart w:id="286" w:name="_Toc469648890"/>
            <w:bookmarkStart w:id="287" w:name="_Toc469651976"/>
            <w:bookmarkEnd w:id="286"/>
            <w:bookmarkEnd w:id="287"/>
            <w:r>
              <w:rPr>
                <w:rFonts w:cs="Times New Roman CE" w:ascii="Times New Roman CE" w:hAnsi="Times New Roman CE"/>
                <w:b w:val="false"/>
                <w:bCs/>
                <w:sz w:val="22"/>
                <w:szCs w:val="22"/>
                <w:lang w:val="ro-MD"/>
              </w:rPr>
              <w:t>Raport secţie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suppressAutoHyphens w:val="true"/>
              <w:bidi w:val="0"/>
              <w:spacing w:before="0" w:after="60"/>
              <w:ind w:left="0" w:right="0" w:hanging="0"/>
              <w:jc w:val="both"/>
              <w:textAlignment w:val="auto"/>
              <w:rPr>
                <w:lang w:val="ro-MD"/>
              </w:rPr>
            </w:pPr>
            <w:r>
              <w:rPr>
                <w:sz w:val="22"/>
                <w:szCs w:val="22"/>
                <w:lang w:val="ro-MD"/>
              </w:rPr>
              <w:t xml:space="preserve">Participarea la </w:t>
            </w:r>
            <w:r>
              <w:rPr>
                <w:rFonts w:cs="Times New Roman CE" w:ascii="Times New Roman CE" w:hAnsi="Times New Roman CE"/>
                <w:color w:val="131413"/>
                <w:sz w:val="22"/>
                <w:szCs w:val="22"/>
                <w:lang w:val="ro-MD"/>
              </w:rPr>
              <w:t>Simpozion internaţional ştiinţific. UASM, 2016</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lang w:val="it-IT"/>
              </w:rPr>
            </w:pPr>
            <w:bookmarkStart w:id="288" w:name="_Toc469648891"/>
            <w:bookmarkStart w:id="289" w:name="_Toc469651977"/>
            <w:r>
              <w:rPr>
                <w:rFonts w:cs="Times New Roman CE" w:ascii="Times New Roman CE" w:hAnsi="Times New Roman CE"/>
                <w:b w:val="false"/>
                <w:bCs/>
                <w:color w:val="131413"/>
                <w:sz w:val="22"/>
                <w:szCs w:val="22"/>
                <w:lang w:val="it-IT"/>
              </w:rPr>
              <w:t>Şeremet V. dr.h. Cre</w:t>
            </w:r>
            <w:r>
              <w:rPr>
                <w:rFonts w:cs="Times New Roman CE" w:ascii="Times New Roman CE" w:hAnsi="Times New Roman CE"/>
                <w:b w:val="false"/>
                <w:bCs/>
                <w:color w:val="131413"/>
                <w:sz w:val="22"/>
                <w:szCs w:val="22"/>
                <w:lang w:val="ro-RO"/>
              </w:rPr>
              <w:t>ţ</w:t>
            </w:r>
            <w:bookmarkEnd w:id="288"/>
            <w:bookmarkEnd w:id="289"/>
            <w:r>
              <w:rPr>
                <w:rFonts w:ascii="Times New Roman" w:hAnsi="Times New Roman"/>
                <w:b w:val="false"/>
                <w:bCs/>
                <w:color w:val="131413"/>
                <w:sz w:val="22"/>
                <w:szCs w:val="22"/>
                <w:lang w:val="it-IT"/>
              </w:rPr>
              <w:t>u I.</w:t>
            </w:r>
          </w:p>
          <w:p>
            <w:pPr>
              <w:pStyle w:val="ListParagraph"/>
              <w:widowControl/>
              <w:bidi w:val="0"/>
              <w:spacing w:before="0" w:after="0"/>
              <w:ind w:left="0" w:right="0" w:hanging="0"/>
              <w:contextualSpacing/>
              <w:jc w:val="both"/>
              <w:textAlignment w:val="auto"/>
              <w:rPr>
                <w:lang w:val="ro-RO"/>
              </w:rPr>
            </w:pPr>
            <w:r>
              <w:rPr>
                <w:sz w:val="22"/>
                <w:szCs w:val="22"/>
                <w:lang w:val="ro-RO"/>
              </w:rPr>
              <w:t>A prezentat:</w:t>
            </w:r>
          </w:p>
          <w:p>
            <w:pPr>
              <w:pStyle w:val="Normal"/>
              <w:widowControl/>
              <w:bidi w:val="0"/>
              <w:ind w:left="0" w:right="0" w:hanging="0"/>
              <w:jc w:val="left"/>
              <w:textAlignment w:val="auto"/>
              <w:rPr>
                <w:lang w:val="it-IT"/>
              </w:rPr>
            </w:pPr>
            <w:r>
              <w:rPr>
                <w:color w:val="131413"/>
                <w:sz w:val="22"/>
                <w:szCs w:val="22"/>
                <w:lang w:val="it-IT"/>
              </w:rPr>
              <w:t>Cre</w:t>
            </w:r>
            <w:r>
              <w:rPr>
                <w:rFonts w:cs="Times New Roman CE" w:ascii="Times New Roman CE" w:hAnsi="Times New Roman CE"/>
                <w:color w:val="131413"/>
                <w:sz w:val="22"/>
                <w:szCs w:val="22"/>
                <w:lang w:val="ro-RO"/>
              </w:rPr>
              <w:t>ţ</w:t>
            </w:r>
            <w:r>
              <w:rPr>
                <w:color w:val="131413"/>
                <w:sz w:val="22"/>
                <w:szCs w:val="22"/>
                <w:lang w:val="it-IT"/>
              </w:rPr>
              <w:t>u I.</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lang w:val="it-IT"/>
              </w:rPr>
            </w:pPr>
            <w:bookmarkStart w:id="290" w:name="_Toc469648892"/>
            <w:bookmarkStart w:id="291" w:name="_Toc469651978"/>
            <w:bookmarkEnd w:id="290"/>
            <w:bookmarkEnd w:id="291"/>
            <w:r>
              <w:rPr>
                <w:rFonts w:cs="Times New Roman CE" w:ascii="Times New Roman CE" w:hAnsi="Times New Roman CE"/>
                <w:b w:val="false"/>
                <w:bCs/>
                <w:color w:val="131413"/>
                <w:sz w:val="22"/>
                <w:szCs w:val="22"/>
                <w:lang w:val="it-IT"/>
              </w:rPr>
              <w:t>Reprezentarea grafică a funcţiilor Green pentru tensiunile termice într-un dreptunghi cu aplicarea softului maple 18</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lang w:val="ro-MD"/>
              </w:rPr>
            </w:pPr>
            <w:bookmarkStart w:id="292" w:name="_Toc469648893"/>
            <w:bookmarkStart w:id="293" w:name="_Toc469651979"/>
            <w:bookmarkEnd w:id="292"/>
            <w:bookmarkEnd w:id="293"/>
            <w:r>
              <w:rPr>
                <w:rFonts w:cs="Times New Roman CE" w:ascii="Times New Roman CE" w:hAnsi="Times New Roman CE"/>
                <w:b w:val="false"/>
                <w:bCs/>
                <w:sz w:val="22"/>
                <w:szCs w:val="22"/>
                <w:lang w:val="ro-MD"/>
              </w:rPr>
              <w:t>Raport secţie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0"/>
              <w:ind w:left="0" w:right="0" w:hanging="0"/>
              <w:contextualSpacing/>
              <w:jc w:val="both"/>
              <w:textAlignment w:val="auto"/>
              <w:rPr>
                <w:lang w:val="ro-MD"/>
              </w:rPr>
            </w:pPr>
            <w:r>
              <w:rPr>
                <w:sz w:val="22"/>
                <w:szCs w:val="22"/>
                <w:lang w:val="ro-MD"/>
              </w:rPr>
              <w:t>Participarea la</w:t>
            </w:r>
            <w:r>
              <w:rPr>
                <w:b/>
                <w:sz w:val="22"/>
                <w:szCs w:val="22"/>
                <w:lang w:val="ro-MD"/>
              </w:rPr>
              <w:t xml:space="preserve"> </w:t>
            </w:r>
            <w:r>
              <w:rPr>
                <w:sz w:val="22"/>
                <w:szCs w:val="22"/>
                <w:lang w:val="it-IT"/>
              </w:rPr>
              <w:t>C</w:t>
            </w:r>
            <w:r>
              <w:rPr>
                <w:rFonts w:cs="Times New Roman CE" w:ascii="Times New Roman CE" w:hAnsi="Times New Roman CE"/>
                <w:sz w:val="22"/>
                <w:szCs w:val="22"/>
                <w:lang w:val="it-IT"/>
              </w:rPr>
              <w:t>onferinţa Ştiinţifică Internaţională a studenţilor şi masteranzilor “Viitorul ne aparţine”, Ediţia a VI-a dedicată aniversării a 70-a de la crearea primelor instituţii de cercetare şi a 55-a de la fondarea AŞ a Moldovei, Chişinău 2016</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0"/>
              <w:ind w:left="0" w:right="0" w:hanging="0"/>
              <w:contextualSpacing/>
              <w:jc w:val="both"/>
              <w:textAlignment w:val="auto"/>
              <w:rPr>
                <w:lang w:val="it-IT"/>
              </w:rPr>
            </w:pPr>
            <w:r>
              <w:rPr>
                <w:sz w:val="22"/>
                <w:szCs w:val="22"/>
                <w:lang w:val="it-IT"/>
              </w:rPr>
              <w:t>Gereg V.</w:t>
            </w:r>
          </w:p>
          <w:p>
            <w:pPr>
              <w:pStyle w:val="ListParagraph"/>
              <w:widowControl/>
              <w:bidi w:val="0"/>
              <w:spacing w:before="0" w:after="0"/>
              <w:ind w:left="0" w:right="0" w:hanging="0"/>
              <w:contextualSpacing/>
              <w:jc w:val="both"/>
              <w:textAlignment w:val="auto"/>
              <w:rPr>
                <w:lang w:val="ro-RO"/>
              </w:rPr>
            </w:pPr>
            <w:r>
              <w:rPr>
                <w:sz w:val="22"/>
                <w:szCs w:val="22"/>
                <w:lang w:val="ro-RO"/>
              </w:rPr>
              <w:t>A prezentat:</w:t>
            </w:r>
          </w:p>
          <w:p>
            <w:pPr>
              <w:pStyle w:val="ListParagraph"/>
              <w:widowControl/>
              <w:bidi w:val="0"/>
              <w:spacing w:before="0" w:after="0"/>
              <w:ind w:left="0" w:right="0" w:hanging="0"/>
              <w:contextualSpacing/>
              <w:jc w:val="both"/>
              <w:textAlignment w:val="auto"/>
              <w:rPr>
                <w:lang w:val="it-IT"/>
              </w:rPr>
            </w:pPr>
            <w:r>
              <w:rPr>
                <w:sz w:val="22"/>
                <w:szCs w:val="22"/>
                <w:lang w:val="it-IT"/>
              </w:rPr>
              <w:t>Gereg V.</w:t>
            </w:r>
          </w:p>
          <w:p>
            <w:pPr>
              <w:pStyle w:val="ListParagraph"/>
              <w:widowControl/>
              <w:bidi w:val="0"/>
              <w:spacing w:before="0" w:after="200"/>
              <w:ind w:left="0" w:right="0" w:hanging="0"/>
              <w:contextualSpacing/>
              <w:jc w:val="both"/>
              <w:textAlignment w:val="auto"/>
              <w:rPr>
                <w:rFonts w:ascii="Times New Roman" w:hAnsi="Times New Roman"/>
                <w:sz w:val="22"/>
                <w:szCs w:val="22"/>
                <w:lang w:val="ro-RO"/>
              </w:rPr>
            </w:pPr>
            <w:r>
              <w:rPr>
                <w:sz w:val="22"/>
                <w:szCs w:val="22"/>
                <w:lang w:val="ro-RO"/>
              </w:rPr>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it-IT"/>
              </w:rPr>
            </w:pPr>
            <w:r>
              <w:rPr>
                <w:sz w:val="22"/>
                <w:szCs w:val="22"/>
                <w:lang w:val="it-IT"/>
              </w:rPr>
              <w:t>Aplicarea Modelului Ramsey la evaluarea cre</w:t>
            </w:r>
            <w:r>
              <w:rPr>
                <w:rFonts w:cs="Times New Roman CE" w:ascii="Times New Roman CE" w:hAnsi="Times New Roman CE"/>
                <w:sz w:val="22"/>
                <w:szCs w:val="22"/>
                <w:lang w:val="ro-RO"/>
              </w:rPr>
              <w:t>ş</w:t>
            </w:r>
            <w:r>
              <w:rPr>
                <w:rFonts w:cs="Times New Roman CE" w:ascii="Times New Roman CE" w:hAnsi="Times New Roman CE"/>
                <w:sz w:val="22"/>
                <w:szCs w:val="22"/>
                <w:lang w:val="it-IT"/>
              </w:rPr>
              <w:t>terii economice a Republicii Moldova. Atelierul Matematică şi Ştiinţa Informaţiei</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lang w:val="ro-MD"/>
              </w:rPr>
            </w:pPr>
            <w:bookmarkStart w:id="294" w:name="_Toc469648894"/>
            <w:bookmarkStart w:id="295" w:name="_Toc469651980"/>
            <w:bookmarkEnd w:id="294"/>
            <w:bookmarkEnd w:id="295"/>
            <w:r>
              <w:rPr>
                <w:rFonts w:cs="Times New Roman CE" w:ascii="Times New Roman CE" w:hAnsi="Times New Roman CE"/>
                <w:b w:val="false"/>
                <w:bCs/>
                <w:sz w:val="22"/>
                <w:szCs w:val="22"/>
                <w:lang w:val="ro-MD"/>
              </w:rPr>
              <w:t>Raport secţie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sz w:val="22"/>
                <w:szCs w:val="22"/>
                <w:lang w:val="en-US"/>
              </w:rPr>
              <w:t>ICCSEE 2016 : 18th International Conference on Computer Science and Electrical Engineering,</w:t>
            </w:r>
          </w:p>
          <w:p>
            <w:pPr>
              <w:pStyle w:val="Normal"/>
              <w:widowControl/>
              <w:bidi w:val="0"/>
              <w:ind w:left="0" w:right="0" w:hanging="0"/>
              <w:jc w:val="left"/>
              <w:textAlignment w:val="auto"/>
              <w:rPr>
                <w:lang w:val="en-US"/>
              </w:rPr>
            </w:pPr>
            <w:r>
              <w:rPr>
                <w:sz w:val="22"/>
                <w:szCs w:val="22"/>
                <w:lang w:val="en-US"/>
              </w:rPr>
              <w:t>Praga, Repub</w:t>
            </w:r>
            <w:r>
              <w:rPr>
                <w:rFonts w:cs="Times New Roman CE" w:ascii="Times New Roman CE" w:hAnsi="Times New Roman CE"/>
                <w:sz w:val="22"/>
                <w:szCs w:val="22"/>
                <w:lang w:val="en-US"/>
              </w:rPr>
              <w:t>licaCehă,</w:t>
            </w:r>
          </w:p>
          <w:p>
            <w:pPr>
              <w:pStyle w:val="Normal"/>
              <w:widowControl/>
              <w:bidi w:val="0"/>
              <w:ind w:left="0" w:right="0" w:hanging="0"/>
              <w:jc w:val="left"/>
              <w:textAlignment w:val="auto"/>
              <w:rPr>
                <w:lang w:val="en-US"/>
              </w:rPr>
            </w:pPr>
            <w:r>
              <w:rPr>
                <w:sz w:val="22"/>
                <w:szCs w:val="22"/>
                <w:lang w:val="en-US"/>
              </w:rPr>
              <w:t>06-07 octombrie 2016</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0"/>
              <w:ind w:left="0" w:right="0" w:hanging="0"/>
              <w:contextualSpacing/>
              <w:jc w:val="both"/>
              <w:textAlignment w:val="auto"/>
              <w:rPr>
                <w:lang w:val="ro-RO"/>
              </w:rPr>
            </w:pPr>
            <w:r>
              <w:rPr>
                <w:sz w:val="22"/>
                <w:szCs w:val="22"/>
                <w:lang w:val="ro-RO"/>
              </w:rPr>
              <w:t xml:space="preserve">S.Cojocaru, </w:t>
            </w:r>
          </w:p>
          <w:p>
            <w:pPr>
              <w:pStyle w:val="ListParagraph"/>
              <w:widowControl/>
              <w:bidi w:val="0"/>
              <w:spacing w:before="0" w:after="0"/>
              <w:ind w:left="0" w:right="0" w:hanging="0"/>
              <w:contextualSpacing/>
              <w:jc w:val="both"/>
              <w:textAlignment w:val="auto"/>
              <w:rPr>
                <w:lang w:val="ro-RO"/>
              </w:rPr>
            </w:pPr>
            <w:r>
              <w:rPr>
                <w:rFonts w:cs="Times New Roman CE" w:ascii="Times New Roman CE" w:hAnsi="Times New Roman CE"/>
                <w:sz w:val="22"/>
                <w:szCs w:val="22"/>
                <w:lang w:val="ro-RO"/>
              </w:rPr>
              <w:t>M.Petic, I.Ţiţchiev, Gr.Horoş</w:t>
            </w:r>
          </w:p>
          <w:p>
            <w:pPr>
              <w:pStyle w:val="ListParagraph"/>
              <w:widowControl/>
              <w:bidi w:val="0"/>
              <w:spacing w:before="0" w:after="0"/>
              <w:ind w:left="0" w:right="0" w:hanging="0"/>
              <w:contextualSpacing/>
              <w:jc w:val="both"/>
              <w:textAlignment w:val="auto"/>
              <w:rPr/>
            </w:pPr>
            <w:r>
              <w:rPr>
                <w:sz w:val="22"/>
                <w:szCs w:val="22"/>
                <w:lang w:val="ro-RO"/>
              </w:rPr>
              <w:t>A prezentat:</w:t>
            </w:r>
          </w:p>
          <w:p>
            <w:pPr>
              <w:pStyle w:val="ListParagraph"/>
              <w:widowControl/>
              <w:bidi w:val="0"/>
              <w:spacing w:before="0" w:after="0"/>
              <w:ind w:left="0" w:right="0" w:hanging="0"/>
              <w:contextualSpacing/>
              <w:jc w:val="both"/>
              <w:textAlignment w:val="auto"/>
              <w:rPr/>
            </w:pPr>
            <w:r>
              <w:rPr>
                <w:sz w:val="22"/>
                <w:szCs w:val="22"/>
                <w:lang w:val="ro-RO"/>
              </w:rPr>
              <w:t xml:space="preserve">M.Petic, </w:t>
            </w:r>
            <w:r>
              <w:rPr>
                <w:rFonts w:cs="Times New Roman CE" w:ascii="Times New Roman CE" w:hAnsi="Times New Roman CE"/>
                <w:sz w:val="22"/>
                <w:szCs w:val="22"/>
                <w:lang w:val="ro-RO"/>
              </w:rPr>
              <w:t>I.Ţiţchiev</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en-US"/>
              </w:rPr>
            </w:pPr>
            <w:r>
              <w:rPr>
                <w:sz w:val="22"/>
                <w:szCs w:val="22"/>
                <w:lang w:val="en-US"/>
              </w:rPr>
              <w:t>Adapting Tools for Text Monitoring and for Scenario Analysis Related to the Field of Social Disasters</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ro-RO"/>
              </w:rPr>
            </w:pPr>
            <w:r>
              <w:rPr>
                <w:sz w:val="22"/>
                <w:szCs w:val="22"/>
                <w:lang w:val="ro-RO"/>
              </w:rPr>
              <w:t>Best Paper Award</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sz w:val="22"/>
                <w:szCs w:val="22"/>
                <w:lang w:val="en-US"/>
              </w:rPr>
              <w:t>Workshop Modeling and mitigat</w:t>
            </w:r>
            <w:r>
              <w:rPr>
                <w:rFonts w:cs="Times New Roman CE" w:ascii="Times New Roman CE" w:hAnsi="Times New Roman CE"/>
                <w:sz w:val="22"/>
                <w:szCs w:val="22"/>
                <w:lang w:val="en-US"/>
              </w:rPr>
              <w:t>ion the effects of the disasters, 2-4 noiembrie 2016,Iaşi, România</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0"/>
              <w:ind w:left="0" w:right="0" w:hanging="0"/>
              <w:contextualSpacing/>
              <w:jc w:val="left"/>
              <w:textAlignment w:val="auto"/>
              <w:rPr>
                <w:lang w:val="ro-RO"/>
              </w:rPr>
            </w:pPr>
            <w:r>
              <w:rPr>
                <w:sz w:val="22"/>
                <w:szCs w:val="22"/>
                <w:lang w:val="ro-RO"/>
              </w:rPr>
              <w:t xml:space="preserve">S.Cojocaru, </w:t>
            </w:r>
          </w:p>
          <w:p>
            <w:pPr>
              <w:pStyle w:val="ListParagraph"/>
              <w:widowControl/>
              <w:bidi w:val="0"/>
              <w:spacing w:before="0" w:after="0"/>
              <w:ind w:left="0" w:right="0" w:hanging="0"/>
              <w:contextualSpacing/>
              <w:jc w:val="left"/>
              <w:textAlignment w:val="auto"/>
              <w:rPr>
                <w:lang w:val="ro-RO"/>
              </w:rPr>
            </w:pPr>
            <w:r>
              <w:rPr>
                <w:rFonts w:cs="Times New Roman CE" w:ascii="Times New Roman CE" w:hAnsi="Times New Roman CE"/>
                <w:sz w:val="22"/>
                <w:szCs w:val="22"/>
                <w:lang w:val="ro-RO"/>
              </w:rPr>
              <w:t>M.Petic, G.Horoş.</w:t>
            </w:r>
          </w:p>
          <w:p>
            <w:pPr>
              <w:pStyle w:val="ListParagraph"/>
              <w:widowControl/>
              <w:bidi w:val="0"/>
              <w:spacing w:before="0" w:after="0"/>
              <w:ind w:left="0" w:right="0" w:hanging="0"/>
              <w:contextualSpacing/>
              <w:jc w:val="left"/>
              <w:textAlignment w:val="auto"/>
              <w:rPr>
                <w:lang w:val="ro-RO"/>
              </w:rPr>
            </w:pPr>
            <w:r>
              <w:rPr>
                <w:sz w:val="22"/>
                <w:szCs w:val="22"/>
                <w:lang w:val="ro-RO"/>
              </w:rPr>
              <w:t>A prezentat: S.Cojocaru</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en-US"/>
              </w:rPr>
            </w:pPr>
            <w:r>
              <w:rPr>
                <w:sz w:val="22"/>
                <w:szCs w:val="22"/>
                <w:lang w:val="en-US"/>
              </w:rPr>
              <w:t>Online media monitoring and analysis of texts related to the field of social disasters</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rFonts w:ascii="Times New Roman" w:hAnsi="Times New Roman"/>
                <w:sz w:val="22"/>
                <w:szCs w:val="22"/>
                <w:lang w:val="ro-RO"/>
              </w:rPr>
            </w:pPr>
            <w:r>
              <w:rPr>
                <w:sz w:val="22"/>
                <w:szCs w:val="22"/>
                <w:lang w:val="ro-RO"/>
              </w:rPr>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 xml:space="preserve">Sesiunile ştiinţifice ale Institutului de InformaticăTeoretică,dedicate Aniversăriia150 de ani de la Infiintarea Academiei Româneşti a 25 de ani de la înfiinţarea Secţiei de Ştiinţa şi Tehnologia Informaţiei. ”Limba Română Scrisă şi Vorbită în Contextul Noilor Tehnologii Informatice. </w:t>
            </w:r>
            <w:r>
              <w:rPr>
                <w:rFonts w:cs="Times New Roman CE" w:ascii="Times New Roman CE" w:hAnsi="Times New Roman CE"/>
                <w:sz w:val="22"/>
                <w:szCs w:val="22"/>
                <w:lang w:val="en-US"/>
              </w:rPr>
              <w:t>Realizări şi Per</w:t>
            </w:r>
            <w:r>
              <w:rPr>
                <w:sz w:val="22"/>
                <w:szCs w:val="22"/>
                <w:lang w:val="en-US"/>
              </w:rPr>
              <w:t xml:space="preserve">spective”, </w:t>
            </w:r>
            <w:r>
              <w:rPr>
                <w:sz w:val="22"/>
                <w:szCs w:val="22"/>
                <w:lang w:val="ro-RO"/>
              </w:rPr>
              <w:t xml:space="preserve">24 martie </w:t>
            </w:r>
            <w:r>
              <w:rPr>
                <w:sz w:val="22"/>
                <w:szCs w:val="22"/>
                <w:lang w:val="en-US"/>
              </w:rPr>
              <w:t>2016, Ia</w:t>
            </w:r>
            <w:r>
              <w:rPr>
                <w:rFonts w:ascii="Cambria Math" w:hAnsi="Cambria Math"/>
                <w:sz w:val="22"/>
                <w:szCs w:val="22"/>
                <w:lang w:val="en-US"/>
              </w:rPr>
              <w:t>ș</w:t>
            </w:r>
            <w:r>
              <w:rPr>
                <w:sz w:val="22"/>
                <w:szCs w:val="22"/>
                <w:lang w:val="en-US"/>
              </w:rPr>
              <w:t>i, România</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sz w:val="22"/>
                <w:szCs w:val="22"/>
                <w:lang w:val="en-US"/>
              </w:rPr>
              <w:t>A.Colesnicov, S.Cojocaru, L.Malahov</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lang w:val="ro-RO"/>
              </w:rPr>
            </w:pPr>
            <w:r>
              <w:rPr>
                <w:sz w:val="22"/>
                <w:szCs w:val="22"/>
                <w:lang w:val="ro-RO"/>
              </w:rPr>
              <w:t>A prezentat: S.Cojocaru</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Recunoaştereaoptică a caracterelor, aplicată la textetipăriteromâneşti,dinsecoleleXVIII-XX.</w:t>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rFonts w:ascii="Times New Roman" w:hAnsi="Times New Roman"/>
                <w:sz w:val="22"/>
                <w:szCs w:val="22"/>
                <w:lang w:val="ro-RO"/>
              </w:rPr>
            </w:pPr>
            <w:r>
              <w:rPr>
                <w:sz w:val="22"/>
                <w:szCs w:val="22"/>
                <w:lang w:val="ro-RO"/>
              </w:rPr>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Referat plenar</w:t>
            </w:r>
          </w:p>
          <w:p>
            <w:pPr>
              <w:pStyle w:val="ListParagraph"/>
              <w:widowControl/>
              <w:bidi w:val="0"/>
              <w:spacing w:before="0" w:after="200"/>
              <w:ind w:left="0" w:right="0" w:hanging="0"/>
              <w:contextualSpacing/>
              <w:jc w:val="left"/>
              <w:textAlignment w:val="auto"/>
              <w:rPr>
                <w:rFonts w:ascii="Times New Roman" w:hAnsi="Times New Roman"/>
                <w:sz w:val="22"/>
                <w:szCs w:val="22"/>
                <w:lang w:val="ro-RO"/>
              </w:rPr>
            </w:pPr>
            <w:r>
              <w:rPr>
                <w:sz w:val="22"/>
                <w:szCs w:val="22"/>
                <w:lang w:val="ro-RO"/>
              </w:rPr>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rStyle w:val="Hps"/>
                <w:sz w:val="22"/>
                <w:szCs w:val="22"/>
                <w:lang w:val="en-US"/>
              </w:rPr>
              <w:t>CAIM 2016</w:t>
            </w:r>
            <w:r>
              <w:rPr>
                <w:rStyle w:val="Hps"/>
                <w:sz w:val="22"/>
                <w:szCs w:val="22"/>
                <w:lang w:val="ro-RO"/>
              </w:rPr>
              <w:t>,</w:t>
            </w:r>
            <w:r>
              <w:rPr>
                <w:iCs/>
                <w:sz w:val="22"/>
                <w:szCs w:val="22"/>
                <w:lang w:val="ro-RO" w:eastAsia="ro-RO"/>
              </w:rPr>
              <w:t>15-18 September, 2016</w:t>
            </w:r>
            <w:r>
              <w:rPr>
                <w:sz w:val="22"/>
                <w:szCs w:val="22"/>
                <w:lang w:val="en-US"/>
              </w:rPr>
              <w:t>,Universitatea din CraiovaUniversitatea din Craiova</w:t>
            </w:r>
            <w:r>
              <w:rPr>
                <w:sz w:val="22"/>
                <w:szCs w:val="22"/>
                <w:lang w:val="ro-RO"/>
              </w:rPr>
              <w:t xml:space="preserve">, </w:t>
            </w:r>
            <w:r>
              <w:rPr>
                <w:sz w:val="22"/>
                <w:szCs w:val="22"/>
                <w:lang w:val="en-US"/>
              </w:rPr>
              <w:t>Craiova,România</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Cs/>
                <w:sz w:val="22"/>
                <w:szCs w:val="22"/>
                <w:lang w:val="ro-RO" w:eastAsia="ro-RO"/>
              </w:rPr>
              <w:t xml:space="preserve">R. Dumbrăveanu, M. Petic, </w:t>
            </w:r>
          </w:p>
          <w:p>
            <w:pPr>
              <w:pStyle w:val="Normal"/>
              <w:widowControl/>
              <w:bidi w:val="0"/>
              <w:ind w:left="0" w:right="0" w:hanging="0"/>
              <w:jc w:val="left"/>
              <w:textAlignment w:val="auto"/>
              <w:rPr>
                <w:lang w:val="ro-RO"/>
              </w:rPr>
            </w:pPr>
            <w:r>
              <w:rPr>
                <w:iCs/>
                <w:sz w:val="22"/>
                <w:szCs w:val="22"/>
                <w:lang w:val="ro-RO" w:eastAsia="ro-RO"/>
              </w:rPr>
              <w:t>S. Melnic</w:t>
            </w:r>
          </w:p>
          <w:p>
            <w:pPr>
              <w:pStyle w:val="ListParagraph"/>
              <w:widowControl/>
              <w:bidi w:val="0"/>
              <w:spacing w:before="0" w:after="0"/>
              <w:ind w:left="0" w:right="0" w:hanging="0"/>
              <w:contextualSpacing/>
              <w:jc w:val="left"/>
              <w:textAlignment w:val="auto"/>
              <w:rPr>
                <w:lang w:val="ro-RO"/>
              </w:rPr>
            </w:pPr>
            <w:r>
              <w:rPr>
                <w:sz w:val="22"/>
                <w:szCs w:val="22"/>
                <w:lang w:val="ro-RO"/>
              </w:rPr>
              <w:t>A prezentat: M.Petic</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Cs/>
                <w:sz w:val="22"/>
                <w:szCs w:val="22"/>
                <w:lang w:val="ro-RO" w:eastAsia="ro-RO"/>
              </w:rPr>
              <w:t>A system for processing unstructured text data by means of lexicon of keywords.</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ro-MD"/>
              </w:rPr>
            </w:pPr>
            <w:r>
              <w:rPr>
                <w:rFonts w:cs="Times New Roman CE" w:ascii="Times New Roman CE" w:hAnsi="Times New Roman CE"/>
                <w:sz w:val="22"/>
                <w:szCs w:val="22"/>
                <w:lang w:val="ro-MD"/>
              </w:rPr>
              <w:t>Raport secţie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rFonts w:cs="Times New Roman CE" w:ascii="Times New Roman CE" w:hAnsi="Times New Roman CE"/>
                <w:sz w:val="22"/>
                <w:szCs w:val="22"/>
                <w:lang w:val="fr-FR"/>
              </w:rPr>
              <w:t xml:space="preserve">Participarea cu referat la lucrările </w:t>
            </w:r>
            <w:r>
              <w:rPr>
                <w:sz w:val="22"/>
                <w:szCs w:val="22"/>
                <w:lang w:val="ro-RO"/>
              </w:rPr>
              <w:t xml:space="preserve">unei </w:t>
            </w:r>
            <w:r>
              <w:rPr>
                <w:sz w:val="22"/>
                <w:szCs w:val="22"/>
                <w:lang w:val="fr-FR"/>
              </w:rPr>
              <w:t>mese rotunde</w:t>
            </w:r>
            <w:r>
              <w:rPr>
                <w:sz w:val="22"/>
                <w:szCs w:val="22"/>
                <w:lang w:val="ro-RO"/>
              </w:rPr>
              <w:t xml:space="preserve">, </w:t>
            </w:r>
            <w:r>
              <w:rPr>
                <w:rFonts w:cs="Times New Roman CE" w:ascii="Times New Roman CE" w:hAnsi="Times New Roman CE"/>
                <w:sz w:val="22"/>
                <w:szCs w:val="22"/>
                <w:lang w:val="ro-MD"/>
              </w:rPr>
              <w:t xml:space="preserve">România, Iaşi, </w:t>
            </w:r>
            <w:r>
              <w:rPr>
                <w:rFonts w:cs="Times New Roman CE" w:ascii="Times New Roman CE" w:hAnsi="Times New Roman CE"/>
                <w:sz w:val="22"/>
                <w:szCs w:val="22"/>
                <w:lang w:val="fr-FR"/>
              </w:rPr>
              <w:t>Institutul de Informatică Teoretică al AR, filiala Iaşi</w:t>
            </w:r>
            <w:r>
              <w:rPr>
                <w:sz w:val="22"/>
                <w:szCs w:val="22"/>
                <w:lang w:val="ro-RO"/>
              </w:rPr>
              <w:t>, 01 – 05 noiembrie, 2016</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sz w:val="22"/>
                <w:szCs w:val="22"/>
                <w:lang w:val="ro-RO"/>
              </w:rPr>
              <w:t>A prezentat: S.Cojocaru</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sz w:val="22"/>
                <w:szCs w:val="22"/>
                <w:lang w:val="en-US"/>
              </w:rPr>
              <w:t>Using social networks for preventing and mitigating of the effects of the disasters</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ro-MD"/>
              </w:rPr>
            </w:pPr>
            <w:r>
              <w:rPr>
                <w:rFonts w:cs="Times New Roman CE" w:ascii="Times New Roman CE" w:hAnsi="Times New Roman CE"/>
                <w:sz w:val="22"/>
                <w:szCs w:val="22"/>
                <w:lang w:val="ro-MD"/>
              </w:rPr>
              <w:t>Raport secţie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iCs/>
                <w:sz w:val="22"/>
                <w:szCs w:val="22"/>
                <w:lang w:val="ro-RO" w:eastAsia="ro-RO"/>
              </w:rPr>
              <w:t>17 International Conference on Membrane Computing (CMC17), Milan, 25-29 July, 2016</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Cs/>
                <w:sz w:val="22"/>
                <w:szCs w:val="22"/>
                <w:lang w:val="ro-RO" w:eastAsia="ro-RO"/>
              </w:rPr>
              <w:t xml:space="preserve">Alhazov, A; </w:t>
            </w:r>
          </w:p>
          <w:p>
            <w:pPr>
              <w:pStyle w:val="Normal"/>
              <w:widowControl/>
              <w:bidi w:val="0"/>
              <w:ind w:left="0" w:right="0" w:hanging="0"/>
              <w:jc w:val="left"/>
              <w:textAlignment w:val="auto"/>
              <w:rPr>
                <w:lang w:val="ro-RO"/>
              </w:rPr>
            </w:pPr>
            <w:r>
              <w:rPr>
                <w:iCs/>
                <w:sz w:val="22"/>
                <w:szCs w:val="22"/>
                <w:lang w:val="ro-RO" w:eastAsia="ro-RO"/>
              </w:rPr>
              <w:t xml:space="preserve">Aman, B.; </w:t>
            </w:r>
          </w:p>
          <w:p>
            <w:pPr>
              <w:pStyle w:val="Normal"/>
              <w:widowControl/>
              <w:bidi w:val="0"/>
              <w:ind w:left="0" w:right="0" w:hanging="0"/>
              <w:jc w:val="left"/>
              <w:textAlignment w:val="auto"/>
              <w:rPr>
                <w:lang w:val="ro-RO"/>
              </w:rPr>
            </w:pPr>
            <w:r>
              <w:rPr>
                <w:iCs/>
                <w:sz w:val="22"/>
                <w:szCs w:val="22"/>
                <w:lang w:val="ro-RO" w:eastAsia="ro-RO"/>
              </w:rPr>
              <w:t xml:space="preserve">Freund, R.; </w:t>
            </w:r>
          </w:p>
          <w:p>
            <w:pPr>
              <w:pStyle w:val="Normal"/>
              <w:widowControl/>
              <w:bidi w:val="0"/>
              <w:ind w:left="0" w:right="0" w:hanging="0"/>
              <w:jc w:val="left"/>
              <w:textAlignment w:val="auto"/>
              <w:rPr>
                <w:lang w:val="ro-RO"/>
              </w:rPr>
            </w:pPr>
            <w:r>
              <w:rPr>
                <w:iCs/>
                <w:sz w:val="22"/>
                <w:szCs w:val="22"/>
                <w:lang w:val="ro-RO" w:eastAsia="ro-RO"/>
              </w:rPr>
              <w:t>Ivanov, S.</w:t>
            </w:r>
          </w:p>
          <w:p>
            <w:pPr>
              <w:pStyle w:val="Normal"/>
              <w:widowControl/>
              <w:bidi w:val="0"/>
              <w:ind w:left="0" w:right="0" w:hanging="0"/>
              <w:jc w:val="left"/>
              <w:textAlignment w:val="auto"/>
              <w:rPr>
                <w:rFonts w:ascii="Times New Roman" w:hAnsi="Times New Roman"/>
                <w:iCs/>
                <w:sz w:val="22"/>
                <w:szCs w:val="22"/>
                <w:lang w:val="ro-RO" w:eastAsia="ro-RO"/>
              </w:rPr>
            </w:pPr>
            <w:r>
              <w:rPr>
                <w:iCs/>
                <w:sz w:val="22"/>
                <w:szCs w:val="22"/>
                <w:lang w:val="ro-RO" w:eastAsia="ro-RO"/>
              </w:rPr>
            </w:r>
          </w:p>
          <w:p>
            <w:pPr>
              <w:pStyle w:val="Normal"/>
              <w:widowControl/>
              <w:bidi w:val="0"/>
              <w:ind w:left="0" w:right="0" w:hanging="0"/>
              <w:jc w:val="left"/>
              <w:textAlignment w:val="auto"/>
              <w:rPr>
                <w:lang w:val="ro-RO"/>
              </w:rPr>
            </w:pPr>
            <w:r>
              <w:rPr>
                <w:sz w:val="22"/>
                <w:szCs w:val="22"/>
                <w:lang w:val="ro-RO"/>
              </w:rPr>
              <w:t xml:space="preserve">A prezentat: </w:t>
            </w:r>
          </w:p>
          <w:p>
            <w:pPr>
              <w:pStyle w:val="Normal"/>
              <w:widowControl/>
              <w:bidi w:val="0"/>
              <w:ind w:left="0" w:right="0" w:hanging="0"/>
              <w:jc w:val="left"/>
              <w:textAlignment w:val="auto"/>
              <w:rPr>
                <w:lang w:val="ro-RO"/>
              </w:rPr>
            </w:pPr>
            <w:r>
              <w:rPr>
                <w:sz w:val="22"/>
                <w:szCs w:val="22"/>
                <w:lang w:val="ro-RO"/>
              </w:rPr>
              <w:t>S. Ivanov</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iCs/>
                <w:sz w:val="22"/>
                <w:szCs w:val="22"/>
                <w:lang w:val="ro-RO" w:eastAsia="ro-RO"/>
              </w:rPr>
              <w:t>Simulating R Systems by P Systems.</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ro-MD"/>
              </w:rPr>
            </w:pPr>
            <w:r>
              <w:rPr>
                <w:rFonts w:cs="Times New Roman CE" w:ascii="Times New Roman CE" w:hAnsi="Times New Roman CE"/>
                <w:sz w:val="22"/>
                <w:szCs w:val="22"/>
                <w:lang w:val="ro-MD"/>
              </w:rPr>
              <w:t>Raport secţie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iCs/>
                <w:sz w:val="22"/>
                <w:szCs w:val="22"/>
                <w:lang w:val="ro-RO" w:eastAsia="ro-RO"/>
              </w:rPr>
              <w:t>14th Brainstorming Week on Membrane Computing, Sevilla (Spain), February 1-5, 2016</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Cs/>
                <w:sz w:val="22"/>
                <w:szCs w:val="22"/>
                <w:lang w:val="ro-RO" w:eastAsia="ro-RO"/>
              </w:rPr>
              <w:t xml:space="preserve">Alhazov, A; </w:t>
            </w:r>
          </w:p>
          <w:p>
            <w:pPr>
              <w:pStyle w:val="Normal"/>
              <w:widowControl/>
              <w:bidi w:val="0"/>
              <w:ind w:left="0" w:right="0" w:hanging="0"/>
              <w:jc w:val="left"/>
              <w:textAlignment w:val="auto"/>
              <w:rPr>
                <w:lang w:val="ro-RO"/>
              </w:rPr>
            </w:pPr>
            <w:r>
              <w:rPr>
                <w:iCs/>
                <w:sz w:val="22"/>
                <w:szCs w:val="22"/>
                <w:lang w:val="ro-RO" w:eastAsia="ro-RO"/>
              </w:rPr>
              <w:t xml:space="preserve">Aman, B.; </w:t>
            </w:r>
          </w:p>
          <w:p>
            <w:pPr>
              <w:pStyle w:val="Normal"/>
              <w:widowControl/>
              <w:bidi w:val="0"/>
              <w:ind w:left="0" w:right="0" w:hanging="0"/>
              <w:jc w:val="left"/>
              <w:textAlignment w:val="auto"/>
              <w:rPr>
                <w:lang w:val="ro-RO"/>
              </w:rPr>
            </w:pPr>
            <w:r>
              <w:rPr>
                <w:iCs/>
                <w:sz w:val="22"/>
                <w:szCs w:val="22"/>
                <w:lang w:val="ro-RO" w:eastAsia="ro-RO"/>
              </w:rPr>
              <w:t xml:space="preserve">Freund, R.; </w:t>
            </w:r>
          </w:p>
          <w:p>
            <w:pPr>
              <w:pStyle w:val="Normal"/>
              <w:widowControl/>
              <w:bidi w:val="0"/>
              <w:ind w:left="0" w:right="0" w:hanging="0"/>
              <w:jc w:val="left"/>
              <w:textAlignment w:val="auto"/>
              <w:rPr>
                <w:lang w:val="ro-RO"/>
              </w:rPr>
            </w:pPr>
            <w:r>
              <w:rPr>
                <w:iCs/>
                <w:sz w:val="22"/>
                <w:szCs w:val="22"/>
                <w:lang w:val="ro-RO" w:eastAsia="ro-RO"/>
              </w:rPr>
              <w:t>Ivanov, S.</w:t>
            </w:r>
          </w:p>
          <w:p>
            <w:pPr>
              <w:pStyle w:val="Normal"/>
              <w:widowControl/>
              <w:bidi w:val="0"/>
              <w:ind w:left="0" w:right="0" w:hanging="0"/>
              <w:jc w:val="left"/>
              <w:textAlignment w:val="auto"/>
              <w:rPr>
                <w:rFonts w:ascii="Times New Roman" w:hAnsi="Times New Roman"/>
                <w:iCs/>
                <w:sz w:val="22"/>
                <w:szCs w:val="22"/>
                <w:lang w:val="ro-RO" w:eastAsia="ro-RO"/>
              </w:rPr>
            </w:pPr>
            <w:r>
              <w:rPr>
                <w:iCs/>
                <w:sz w:val="22"/>
                <w:szCs w:val="22"/>
                <w:lang w:val="ro-RO" w:eastAsia="ro-RO"/>
              </w:rPr>
            </w:r>
          </w:p>
          <w:p>
            <w:pPr>
              <w:pStyle w:val="Normal"/>
              <w:widowControl/>
              <w:bidi w:val="0"/>
              <w:ind w:left="0" w:right="0" w:hanging="0"/>
              <w:jc w:val="left"/>
              <w:textAlignment w:val="auto"/>
              <w:rPr>
                <w:lang w:val="ro-RO"/>
              </w:rPr>
            </w:pPr>
            <w:r>
              <w:rPr>
                <w:sz w:val="22"/>
                <w:szCs w:val="22"/>
                <w:lang w:val="ro-RO"/>
              </w:rPr>
              <w:t xml:space="preserve">A prezentat: </w:t>
            </w:r>
          </w:p>
          <w:p>
            <w:pPr>
              <w:pStyle w:val="Normal"/>
              <w:widowControl/>
              <w:bidi w:val="0"/>
              <w:ind w:left="0" w:right="0" w:hanging="0"/>
              <w:jc w:val="left"/>
              <w:textAlignment w:val="auto"/>
              <w:rPr>
                <w:lang w:val="ro-RO"/>
              </w:rPr>
            </w:pPr>
            <w:r>
              <w:rPr>
                <w:sz w:val="22"/>
                <w:szCs w:val="22"/>
                <w:lang w:val="ro-RO"/>
              </w:rPr>
              <w:t>S. Ivanov</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pPr>
            <w:hyperlink r:id="rId100">
              <w:r>
                <w:rPr>
                  <w:webHidden/>
                  <w:rStyle w:val="Style5"/>
                  <w:iCs/>
                  <w:sz w:val="22"/>
                  <w:szCs w:val="22"/>
                  <w:lang w:val="ro-RO" w:eastAsia="ro-RO"/>
                </w:rPr>
                <w:t>Complexity of simulating R systems by P systems</w:t>
              </w:r>
            </w:hyperlink>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ro-MD"/>
              </w:rPr>
            </w:pPr>
            <w:r>
              <w:rPr>
                <w:rFonts w:cs="Times New Roman CE" w:ascii="Times New Roman CE" w:hAnsi="Times New Roman CE"/>
                <w:sz w:val="22"/>
                <w:szCs w:val="22"/>
                <w:lang w:val="ro-MD"/>
              </w:rPr>
              <w:t>Raport secţie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iCs/>
                <w:sz w:val="22"/>
                <w:szCs w:val="22"/>
                <w:lang w:val="ro-RO" w:eastAsia="ro-RO"/>
              </w:rPr>
              <w:t>17 International Conference on Membrane Computing (CMC17), Milan, 25-29 July, 2016</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Cs/>
                <w:sz w:val="22"/>
                <w:szCs w:val="22"/>
                <w:lang w:val="ro-RO" w:eastAsia="ro-RO"/>
              </w:rPr>
              <w:t xml:space="preserve">Alhazov, A; Belingheri, O.; Freund, R.; </w:t>
            </w:r>
          </w:p>
          <w:p>
            <w:pPr>
              <w:pStyle w:val="Normal"/>
              <w:widowControl/>
              <w:bidi w:val="0"/>
              <w:ind w:left="0" w:right="0" w:hanging="0"/>
              <w:jc w:val="left"/>
              <w:textAlignment w:val="auto"/>
              <w:rPr>
                <w:lang w:val="ro-RO"/>
              </w:rPr>
            </w:pPr>
            <w:r>
              <w:rPr>
                <w:iCs/>
                <w:sz w:val="22"/>
                <w:szCs w:val="22"/>
                <w:lang w:val="ro-RO" w:eastAsia="ro-RO"/>
              </w:rPr>
              <w:t xml:space="preserve">Ivanov, S.; </w:t>
            </w:r>
          </w:p>
          <w:p>
            <w:pPr>
              <w:pStyle w:val="Normal"/>
              <w:widowControl/>
              <w:bidi w:val="0"/>
              <w:ind w:left="0" w:right="0" w:hanging="0"/>
              <w:jc w:val="left"/>
              <w:textAlignment w:val="auto"/>
              <w:rPr>
                <w:lang w:val="ro-RO"/>
              </w:rPr>
            </w:pPr>
            <w:r>
              <w:rPr>
                <w:iCs/>
                <w:sz w:val="22"/>
                <w:szCs w:val="22"/>
                <w:lang w:val="ro-RO" w:eastAsia="ro-RO"/>
              </w:rPr>
              <w:t>Porreca, A. E.; Zandron, C.</w:t>
            </w:r>
          </w:p>
          <w:p>
            <w:pPr>
              <w:pStyle w:val="Normal"/>
              <w:widowControl/>
              <w:bidi w:val="0"/>
              <w:ind w:left="0" w:right="0" w:hanging="0"/>
              <w:jc w:val="left"/>
              <w:textAlignment w:val="auto"/>
              <w:rPr>
                <w:rFonts w:ascii="Times New Roman" w:hAnsi="Times New Roman"/>
                <w:iCs/>
                <w:sz w:val="22"/>
                <w:szCs w:val="22"/>
                <w:lang w:val="ro-RO" w:eastAsia="ro-RO"/>
              </w:rPr>
            </w:pPr>
            <w:r>
              <w:rPr>
                <w:iCs/>
                <w:sz w:val="22"/>
                <w:szCs w:val="22"/>
                <w:lang w:val="ro-RO" w:eastAsia="ro-RO"/>
              </w:rPr>
            </w:r>
          </w:p>
          <w:p>
            <w:pPr>
              <w:pStyle w:val="Normal"/>
              <w:widowControl/>
              <w:bidi w:val="0"/>
              <w:ind w:left="0" w:right="0" w:hanging="0"/>
              <w:jc w:val="left"/>
              <w:textAlignment w:val="auto"/>
              <w:rPr>
                <w:lang w:val="ro-RO"/>
              </w:rPr>
            </w:pPr>
            <w:r>
              <w:rPr>
                <w:sz w:val="22"/>
                <w:szCs w:val="22"/>
                <w:lang w:val="ro-RO"/>
              </w:rPr>
              <w:t xml:space="preserve">A prezentat: </w:t>
            </w:r>
          </w:p>
          <w:p>
            <w:pPr>
              <w:pStyle w:val="Normal"/>
              <w:widowControl/>
              <w:bidi w:val="0"/>
              <w:ind w:left="0" w:right="0" w:hanging="0"/>
              <w:jc w:val="left"/>
              <w:textAlignment w:val="auto"/>
              <w:rPr>
                <w:lang w:val="ro-RO"/>
              </w:rPr>
            </w:pPr>
            <w:r>
              <w:rPr>
                <w:sz w:val="22"/>
                <w:szCs w:val="22"/>
                <w:lang w:val="ro-RO"/>
              </w:rPr>
              <w:t>S. Ivanov</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iCs/>
                <w:sz w:val="22"/>
                <w:szCs w:val="22"/>
                <w:lang w:val="ro-RO" w:eastAsia="ro-RO"/>
              </w:rPr>
              <w:t>Purely Catalytic P Systems over Integer sand Their Generative Power</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ro-MD"/>
              </w:rPr>
            </w:pPr>
            <w:r>
              <w:rPr>
                <w:rFonts w:cs="Times New Roman CE" w:ascii="Times New Roman CE" w:hAnsi="Times New Roman CE"/>
                <w:sz w:val="22"/>
                <w:szCs w:val="22"/>
                <w:lang w:val="ro-MD"/>
              </w:rPr>
              <w:t>Raport secţie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iCs/>
                <w:sz w:val="22"/>
                <w:szCs w:val="22"/>
                <w:lang w:val="ro-RO" w:eastAsia="ro-RO"/>
              </w:rPr>
              <w:t>14th Brainstorming Week on Membrane Computing, Sevilla (Spain), February 1-5, 2016</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Cs/>
                <w:sz w:val="22"/>
                <w:szCs w:val="22"/>
                <w:lang w:val="ro-RO" w:eastAsia="ro-RO"/>
              </w:rPr>
              <w:t xml:space="preserve">Alhazov, A; Belingheri, O.; Freund, R.; </w:t>
            </w:r>
          </w:p>
          <w:p>
            <w:pPr>
              <w:pStyle w:val="Normal"/>
              <w:widowControl/>
              <w:bidi w:val="0"/>
              <w:ind w:left="0" w:right="0" w:hanging="0"/>
              <w:jc w:val="left"/>
              <w:textAlignment w:val="auto"/>
              <w:rPr>
                <w:lang w:val="ro-RO"/>
              </w:rPr>
            </w:pPr>
            <w:r>
              <w:rPr>
                <w:iCs/>
                <w:sz w:val="22"/>
                <w:szCs w:val="22"/>
                <w:lang w:val="ro-RO" w:eastAsia="ro-RO"/>
              </w:rPr>
              <w:t xml:space="preserve">Ivanov, S.; </w:t>
            </w:r>
          </w:p>
          <w:p>
            <w:pPr>
              <w:pStyle w:val="Normal"/>
              <w:widowControl/>
              <w:bidi w:val="0"/>
              <w:ind w:left="0" w:right="0" w:hanging="0"/>
              <w:jc w:val="left"/>
              <w:textAlignment w:val="auto"/>
              <w:rPr>
                <w:lang w:val="ro-RO"/>
              </w:rPr>
            </w:pPr>
            <w:r>
              <w:rPr>
                <w:iCs/>
                <w:sz w:val="22"/>
                <w:szCs w:val="22"/>
                <w:lang w:val="ro-RO" w:eastAsia="ro-RO"/>
              </w:rPr>
              <w:t>Porreca, A. E.; Zandron, C.</w:t>
            </w:r>
          </w:p>
          <w:p>
            <w:pPr>
              <w:pStyle w:val="Normal"/>
              <w:widowControl/>
              <w:bidi w:val="0"/>
              <w:ind w:left="0" w:right="0" w:hanging="0"/>
              <w:jc w:val="left"/>
              <w:textAlignment w:val="auto"/>
              <w:rPr>
                <w:rFonts w:ascii="Times New Roman" w:hAnsi="Times New Roman"/>
                <w:iCs/>
                <w:sz w:val="22"/>
                <w:szCs w:val="22"/>
                <w:lang w:val="ro-RO" w:eastAsia="ro-RO"/>
              </w:rPr>
            </w:pPr>
            <w:r>
              <w:rPr>
                <w:iCs/>
                <w:sz w:val="22"/>
                <w:szCs w:val="22"/>
                <w:lang w:val="ro-RO" w:eastAsia="ro-RO"/>
              </w:rPr>
            </w:r>
          </w:p>
          <w:p>
            <w:pPr>
              <w:pStyle w:val="Normal"/>
              <w:widowControl/>
              <w:bidi w:val="0"/>
              <w:ind w:left="0" w:right="0" w:hanging="0"/>
              <w:jc w:val="left"/>
              <w:textAlignment w:val="auto"/>
              <w:rPr>
                <w:lang w:val="ro-RO"/>
              </w:rPr>
            </w:pPr>
            <w:r>
              <w:rPr>
                <w:sz w:val="22"/>
                <w:szCs w:val="22"/>
                <w:lang w:val="ro-RO"/>
              </w:rPr>
              <w:t xml:space="preserve">A prezentat: </w:t>
            </w:r>
          </w:p>
          <w:p>
            <w:pPr>
              <w:pStyle w:val="Normal"/>
              <w:widowControl/>
              <w:bidi w:val="0"/>
              <w:ind w:left="0" w:right="0" w:hanging="0"/>
              <w:jc w:val="left"/>
              <w:textAlignment w:val="auto"/>
              <w:rPr>
                <w:lang w:val="ro-RO"/>
              </w:rPr>
            </w:pPr>
            <w:r>
              <w:rPr>
                <w:sz w:val="22"/>
                <w:szCs w:val="22"/>
                <w:lang w:val="ro-RO"/>
              </w:rPr>
              <w:t>S. Ivanov</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iCs/>
                <w:sz w:val="22"/>
                <w:szCs w:val="22"/>
                <w:lang w:val="ro-RO" w:eastAsia="ro-RO"/>
              </w:rPr>
              <w:t>Purely catalytic P systems over integer sand their generative power</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ro-MD"/>
              </w:rPr>
            </w:pPr>
            <w:r>
              <w:rPr>
                <w:rFonts w:cs="Times New Roman CE" w:ascii="Times New Roman CE" w:hAnsi="Times New Roman CE"/>
                <w:sz w:val="22"/>
                <w:szCs w:val="22"/>
                <w:lang w:val="ro-MD"/>
              </w:rPr>
              <w:t>Raport secţie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iCs/>
                <w:sz w:val="22"/>
                <w:szCs w:val="22"/>
                <w:lang w:val="ro-RO" w:eastAsia="ro-RO"/>
              </w:rPr>
              <w:t>17 International Conference on Membrane Computing (CMC17), Milan, 25-29 July, 2016</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Cs/>
                <w:sz w:val="22"/>
                <w:szCs w:val="22"/>
                <w:lang w:val="ro-RO" w:eastAsia="ro-RO"/>
              </w:rPr>
              <w:t xml:space="preserve">Alhazov, A; Belingheri, O.; Freund, R.; </w:t>
            </w:r>
          </w:p>
          <w:p>
            <w:pPr>
              <w:pStyle w:val="Normal"/>
              <w:widowControl/>
              <w:bidi w:val="0"/>
              <w:ind w:left="0" w:right="0" w:hanging="0"/>
              <w:jc w:val="left"/>
              <w:textAlignment w:val="auto"/>
              <w:rPr>
                <w:lang w:val="ro-RO"/>
              </w:rPr>
            </w:pPr>
            <w:r>
              <w:rPr>
                <w:iCs/>
                <w:sz w:val="22"/>
                <w:szCs w:val="22"/>
                <w:lang w:val="ro-RO" w:eastAsia="ro-RO"/>
              </w:rPr>
              <w:t xml:space="preserve">Ivanov, S.; </w:t>
            </w:r>
          </w:p>
          <w:p>
            <w:pPr>
              <w:pStyle w:val="Normal"/>
              <w:widowControl/>
              <w:bidi w:val="0"/>
              <w:ind w:left="0" w:right="0" w:hanging="0"/>
              <w:jc w:val="left"/>
              <w:textAlignment w:val="auto"/>
              <w:rPr>
                <w:lang w:val="ro-RO"/>
              </w:rPr>
            </w:pPr>
            <w:r>
              <w:rPr>
                <w:iCs/>
                <w:sz w:val="22"/>
                <w:szCs w:val="22"/>
                <w:lang w:val="ro-RO" w:eastAsia="ro-RO"/>
              </w:rPr>
              <w:t>Porreca, A. E.; Zandron, C.</w:t>
            </w:r>
          </w:p>
          <w:p>
            <w:pPr>
              <w:pStyle w:val="Normal"/>
              <w:widowControl/>
              <w:bidi w:val="0"/>
              <w:ind w:left="0" w:right="0" w:hanging="0"/>
              <w:jc w:val="left"/>
              <w:textAlignment w:val="auto"/>
              <w:rPr>
                <w:rFonts w:ascii="Times New Roman" w:hAnsi="Times New Roman"/>
                <w:iCs/>
                <w:sz w:val="22"/>
                <w:szCs w:val="22"/>
                <w:lang w:val="ro-RO" w:eastAsia="ro-RO"/>
              </w:rPr>
            </w:pPr>
            <w:r>
              <w:rPr>
                <w:iCs/>
                <w:sz w:val="22"/>
                <w:szCs w:val="22"/>
                <w:lang w:val="ro-RO" w:eastAsia="ro-RO"/>
              </w:rPr>
            </w:r>
          </w:p>
          <w:p>
            <w:pPr>
              <w:pStyle w:val="Normal"/>
              <w:widowControl/>
              <w:bidi w:val="0"/>
              <w:ind w:left="0" w:right="0" w:hanging="0"/>
              <w:jc w:val="left"/>
              <w:textAlignment w:val="auto"/>
              <w:rPr>
                <w:lang w:val="ro-RO"/>
              </w:rPr>
            </w:pPr>
            <w:r>
              <w:rPr>
                <w:sz w:val="22"/>
                <w:szCs w:val="22"/>
                <w:lang w:val="ro-RO"/>
              </w:rPr>
              <w:t xml:space="preserve">A prezentat: </w:t>
            </w:r>
          </w:p>
          <w:p>
            <w:pPr>
              <w:pStyle w:val="Normal"/>
              <w:widowControl/>
              <w:bidi w:val="0"/>
              <w:ind w:left="0" w:right="0" w:hanging="0"/>
              <w:jc w:val="left"/>
              <w:textAlignment w:val="auto"/>
              <w:rPr>
                <w:lang w:val="ro-RO"/>
              </w:rPr>
            </w:pPr>
            <w:r>
              <w:rPr>
                <w:sz w:val="22"/>
                <w:szCs w:val="22"/>
                <w:lang w:val="ro-RO"/>
              </w:rPr>
              <w:t>S. Ivanov</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iCs/>
                <w:sz w:val="22"/>
                <w:szCs w:val="22"/>
                <w:lang w:val="ro-RO" w:eastAsia="ro-RO"/>
              </w:rPr>
              <w:t>Semilinear Sets, Register Machines, and Integer Vector Addition (P) Systems</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ro-MD"/>
              </w:rPr>
            </w:pPr>
            <w:r>
              <w:rPr>
                <w:rFonts w:cs="Times New Roman CE" w:ascii="Times New Roman CE" w:hAnsi="Times New Roman CE"/>
                <w:sz w:val="22"/>
                <w:szCs w:val="22"/>
                <w:lang w:val="ro-MD"/>
              </w:rPr>
              <w:t>Raport secţie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iCs/>
                <w:sz w:val="22"/>
                <w:szCs w:val="22"/>
                <w:lang w:val="ro-RO" w:eastAsia="ro-RO"/>
              </w:rPr>
              <w:t>14th Brainstorming Week on Membrane Computing, Sevilla (Spain), February 1-5, 2016</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Cs/>
                <w:sz w:val="22"/>
                <w:szCs w:val="22"/>
                <w:lang w:val="ro-RO" w:eastAsia="ro-RO"/>
              </w:rPr>
              <w:t xml:space="preserve">Alhazov, A; Belingheri, O.; Freund, R.; </w:t>
            </w:r>
          </w:p>
          <w:p>
            <w:pPr>
              <w:pStyle w:val="Normal"/>
              <w:widowControl/>
              <w:bidi w:val="0"/>
              <w:ind w:left="0" w:right="0" w:hanging="0"/>
              <w:jc w:val="left"/>
              <w:textAlignment w:val="auto"/>
              <w:rPr>
                <w:lang w:val="ro-RO"/>
              </w:rPr>
            </w:pPr>
            <w:r>
              <w:rPr>
                <w:iCs/>
                <w:sz w:val="22"/>
                <w:szCs w:val="22"/>
                <w:lang w:val="ro-RO" w:eastAsia="ro-RO"/>
              </w:rPr>
              <w:t xml:space="preserve">Ivanov, S.; </w:t>
            </w:r>
          </w:p>
          <w:p>
            <w:pPr>
              <w:pStyle w:val="Normal"/>
              <w:widowControl/>
              <w:bidi w:val="0"/>
              <w:ind w:left="0" w:right="0" w:hanging="0"/>
              <w:jc w:val="left"/>
              <w:textAlignment w:val="auto"/>
              <w:rPr>
                <w:lang w:val="ro-RO"/>
              </w:rPr>
            </w:pPr>
            <w:r>
              <w:rPr>
                <w:iCs/>
                <w:sz w:val="22"/>
                <w:szCs w:val="22"/>
                <w:lang w:val="ro-RO" w:eastAsia="ro-RO"/>
              </w:rPr>
              <w:t>Porreca, A. E.; Zandron, C.</w:t>
            </w:r>
          </w:p>
          <w:p>
            <w:pPr>
              <w:pStyle w:val="Normal"/>
              <w:widowControl/>
              <w:bidi w:val="0"/>
              <w:ind w:left="0" w:right="0" w:hanging="0"/>
              <w:jc w:val="left"/>
              <w:textAlignment w:val="auto"/>
              <w:rPr>
                <w:rFonts w:ascii="Times New Roman" w:hAnsi="Times New Roman"/>
                <w:iCs/>
                <w:sz w:val="22"/>
                <w:szCs w:val="22"/>
                <w:lang w:val="ro-RO" w:eastAsia="ro-RO"/>
              </w:rPr>
            </w:pPr>
            <w:r>
              <w:rPr>
                <w:iCs/>
                <w:sz w:val="22"/>
                <w:szCs w:val="22"/>
                <w:lang w:val="ro-RO" w:eastAsia="ro-RO"/>
              </w:rPr>
            </w:r>
          </w:p>
          <w:p>
            <w:pPr>
              <w:pStyle w:val="Normal"/>
              <w:widowControl/>
              <w:bidi w:val="0"/>
              <w:ind w:left="0" w:right="0" w:hanging="0"/>
              <w:jc w:val="left"/>
              <w:textAlignment w:val="auto"/>
              <w:rPr>
                <w:lang w:val="ro-RO"/>
              </w:rPr>
            </w:pPr>
            <w:r>
              <w:rPr>
                <w:sz w:val="22"/>
                <w:szCs w:val="22"/>
                <w:lang w:val="ro-RO"/>
              </w:rPr>
              <w:t xml:space="preserve">A prezentat: </w:t>
            </w:r>
          </w:p>
          <w:p>
            <w:pPr>
              <w:pStyle w:val="Normal"/>
              <w:widowControl/>
              <w:bidi w:val="0"/>
              <w:ind w:left="0" w:right="0" w:hanging="0"/>
              <w:jc w:val="left"/>
              <w:textAlignment w:val="auto"/>
              <w:rPr>
                <w:lang w:val="ro-RO"/>
              </w:rPr>
            </w:pPr>
            <w:r>
              <w:rPr>
                <w:sz w:val="22"/>
                <w:szCs w:val="22"/>
                <w:lang w:val="ro-RO"/>
              </w:rPr>
              <w:t>S. Ivanov</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iCs/>
                <w:sz w:val="22"/>
                <w:szCs w:val="22"/>
                <w:lang w:val="ro-RO" w:eastAsia="ro-RO"/>
              </w:rPr>
              <w:t>Semilinear Sets, Register Machines, and Integer Vector Addition (P) Systems</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ro-MD"/>
              </w:rPr>
            </w:pPr>
            <w:r>
              <w:rPr>
                <w:rFonts w:cs="Times New Roman CE" w:ascii="Times New Roman CE" w:hAnsi="Times New Roman CE"/>
                <w:sz w:val="22"/>
                <w:szCs w:val="22"/>
                <w:lang w:val="ro-MD"/>
              </w:rPr>
              <w:t>Raport secţie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iCs/>
                <w:sz w:val="22"/>
                <w:szCs w:val="22"/>
                <w:lang w:val="ro-RO" w:eastAsia="ro-RO"/>
              </w:rPr>
              <w:t>14th Brainstorming Week on Membrane Computing, Sevilla (Spain), February 1-5, 2016</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Cs/>
                <w:sz w:val="22"/>
                <w:szCs w:val="22"/>
                <w:lang w:val="ro-RO" w:eastAsia="ro-RO"/>
              </w:rPr>
              <w:t xml:space="preserve">Alhazov, A; Freund, R.; </w:t>
            </w:r>
          </w:p>
          <w:p>
            <w:pPr>
              <w:pStyle w:val="Normal"/>
              <w:widowControl/>
              <w:bidi w:val="0"/>
              <w:ind w:left="0" w:right="0" w:hanging="0"/>
              <w:jc w:val="left"/>
              <w:textAlignment w:val="auto"/>
              <w:rPr>
                <w:lang w:val="ro-RO"/>
              </w:rPr>
            </w:pPr>
            <w:r>
              <w:rPr>
                <w:iCs/>
                <w:sz w:val="22"/>
                <w:szCs w:val="22"/>
                <w:lang w:val="ro-RO" w:eastAsia="ro-RO"/>
              </w:rPr>
              <w:t>Ivanov, S.</w:t>
            </w:r>
          </w:p>
          <w:p>
            <w:pPr>
              <w:pStyle w:val="Normal"/>
              <w:widowControl/>
              <w:bidi w:val="0"/>
              <w:ind w:left="0" w:right="0" w:hanging="0"/>
              <w:jc w:val="left"/>
              <w:textAlignment w:val="auto"/>
              <w:rPr>
                <w:rFonts w:ascii="Times New Roman" w:hAnsi="Times New Roman"/>
                <w:iCs/>
                <w:sz w:val="22"/>
                <w:szCs w:val="22"/>
                <w:lang w:val="ro-RO" w:eastAsia="ro-RO"/>
              </w:rPr>
            </w:pPr>
            <w:r>
              <w:rPr>
                <w:iCs/>
                <w:sz w:val="22"/>
                <w:szCs w:val="22"/>
                <w:lang w:val="ro-RO" w:eastAsia="ro-RO"/>
              </w:rPr>
            </w:r>
          </w:p>
          <w:p>
            <w:pPr>
              <w:pStyle w:val="Normal"/>
              <w:widowControl/>
              <w:bidi w:val="0"/>
              <w:ind w:left="0" w:right="0" w:hanging="0"/>
              <w:jc w:val="left"/>
              <w:textAlignment w:val="auto"/>
              <w:rPr>
                <w:lang w:val="ro-RO"/>
              </w:rPr>
            </w:pPr>
            <w:r>
              <w:rPr>
                <w:sz w:val="22"/>
                <w:szCs w:val="22"/>
                <w:lang w:val="ro-RO"/>
              </w:rPr>
              <w:t xml:space="preserve">A prezentat: </w:t>
            </w:r>
          </w:p>
          <w:p>
            <w:pPr>
              <w:pStyle w:val="Normal"/>
              <w:widowControl/>
              <w:bidi w:val="0"/>
              <w:ind w:left="0" w:right="0" w:hanging="0"/>
              <w:jc w:val="left"/>
              <w:textAlignment w:val="auto"/>
              <w:rPr>
                <w:lang w:val="ro-RO"/>
              </w:rPr>
            </w:pPr>
            <w:r>
              <w:rPr>
                <w:sz w:val="22"/>
                <w:szCs w:val="22"/>
                <w:lang w:val="ro-RO"/>
              </w:rPr>
              <w:t>S. Ivanov</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en-US"/>
              </w:rPr>
            </w:pPr>
            <w:r>
              <w:rPr>
                <w:sz w:val="22"/>
                <w:szCs w:val="22"/>
                <w:lang w:val="en-US"/>
              </w:rPr>
              <w:t>Extended SNP systems with states</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ro-MD"/>
              </w:rPr>
            </w:pPr>
            <w:r>
              <w:rPr>
                <w:rFonts w:cs="Times New Roman CE" w:ascii="Times New Roman CE" w:hAnsi="Times New Roman CE"/>
                <w:sz w:val="22"/>
                <w:szCs w:val="22"/>
                <w:lang w:val="ro-MD"/>
              </w:rPr>
              <w:t>Raport secţie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iCs/>
                <w:sz w:val="22"/>
                <w:szCs w:val="22"/>
                <w:lang w:val="ro-RO" w:eastAsia="ro-RO"/>
              </w:rPr>
              <w:t>17 International Conference on Membrane Computing (CMC17), Milan, 25-29 July, 2016</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Cs/>
                <w:sz w:val="22"/>
                <w:szCs w:val="22"/>
                <w:lang w:val="ro-RO" w:eastAsia="ro-RO"/>
              </w:rPr>
              <w:t xml:space="preserve">Alhazov, A; Freund, R.; </w:t>
            </w:r>
          </w:p>
          <w:p>
            <w:pPr>
              <w:pStyle w:val="Normal"/>
              <w:widowControl/>
              <w:bidi w:val="0"/>
              <w:ind w:left="0" w:right="0" w:hanging="0"/>
              <w:jc w:val="left"/>
              <w:textAlignment w:val="auto"/>
              <w:rPr>
                <w:lang w:val="ro-RO"/>
              </w:rPr>
            </w:pPr>
            <w:r>
              <w:rPr>
                <w:iCs/>
                <w:sz w:val="22"/>
                <w:szCs w:val="22"/>
                <w:lang w:val="ro-RO" w:eastAsia="ro-RO"/>
              </w:rPr>
              <w:t>Verlan, S.</w:t>
            </w:r>
          </w:p>
          <w:p>
            <w:pPr>
              <w:pStyle w:val="Normal"/>
              <w:widowControl/>
              <w:bidi w:val="0"/>
              <w:ind w:left="0" w:right="0" w:hanging="0"/>
              <w:jc w:val="left"/>
              <w:textAlignment w:val="auto"/>
              <w:rPr>
                <w:rFonts w:ascii="Times New Roman" w:hAnsi="Times New Roman"/>
                <w:iCs/>
                <w:sz w:val="22"/>
                <w:szCs w:val="22"/>
                <w:lang w:val="ro-RO" w:eastAsia="ro-RO"/>
              </w:rPr>
            </w:pPr>
            <w:r>
              <w:rPr>
                <w:iCs/>
                <w:sz w:val="22"/>
                <w:szCs w:val="22"/>
                <w:lang w:val="ro-RO" w:eastAsia="ro-RO"/>
              </w:rPr>
            </w:r>
          </w:p>
          <w:p>
            <w:pPr>
              <w:pStyle w:val="Normal"/>
              <w:widowControl/>
              <w:bidi w:val="0"/>
              <w:ind w:left="0" w:right="0" w:hanging="0"/>
              <w:jc w:val="left"/>
              <w:textAlignment w:val="auto"/>
              <w:rPr>
                <w:lang w:val="ro-RO"/>
              </w:rPr>
            </w:pPr>
            <w:r>
              <w:rPr>
                <w:sz w:val="22"/>
                <w:szCs w:val="22"/>
                <w:lang w:val="ro-RO"/>
              </w:rPr>
              <w:t xml:space="preserve">A prezentat: </w:t>
            </w:r>
          </w:p>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A. Alhazov (teleconferinţă)</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iCs/>
                <w:sz w:val="22"/>
                <w:szCs w:val="22"/>
                <w:lang w:val="ro-RO" w:eastAsia="ro-RO"/>
              </w:rPr>
              <w:t>Maximal Variants of the Set Derivation Mode</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ro-MD"/>
              </w:rPr>
            </w:pPr>
            <w:r>
              <w:rPr>
                <w:rFonts w:cs="Times New Roman CE" w:ascii="Times New Roman CE" w:hAnsi="Times New Roman CE"/>
                <w:sz w:val="22"/>
                <w:szCs w:val="22"/>
                <w:lang w:val="ro-MD"/>
              </w:rPr>
              <w:t>Raport secţie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iCs/>
                <w:sz w:val="22"/>
                <w:szCs w:val="22"/>
                <w:lang w:val="ro-RO" w:eastAsia="ro-RO"/>
              </w:rPr>
              <w:t>14th Brainstorming Week on Membrane Computing, Sevilla (Spain), February 1-5, 2016</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Cs/>
                <w:sz w:val="22"/>
                <w:szCs w:val="22"/>
                <w:lang w:val="ro-RO" w:eastAsia="ro-RO"/>
              </w:rPr>
              <w:t xml:space="preserve">Alhazov, A; Freund, R.; </w:t>
            </w:r>
          </w:p>
          <w:p>
            <w:pPr>
              <w:pStyle w:val="Normal"/>
              <w:widowControl/>
              <w:bidi w:val="0"/>
              <w:ind w:left="0" w:right="0" w:hanging="0"/>
              <w:jc w:val="left"/>
              <w:textAlignment w:val="auto"/>
              <w:rPr>
                <w:lang w:val="ro-RO"/>
              </w:rPr>
            </w:pPr>
            <w:r>
              <w:rPr>
                <w:iCs/>
                <w:sz w:val="22"/>
                <w:szCs w:val="22"/>
                <w:lang w:val="ro-RO" w:eastAsia="ro-RO"/>
              </w:rPr>
              <w:t>Verlan, S.</w:t>
            </w:r>
          </w:p>
          <w:p>
            <w:pPr>
              <w:pStyle w:val="Normal"/>
              <w:widowControl/>
              <w:bidi w:val="0"/>
              <w:ind w:left="0" w:right="0" w:hanging="0"/>
              <w:jc w:val="left"/>
              <w:textAlignment w:val="auto"/>
              <w:rPr>
                <w:rFonts w:ascii="Times New Roman" w:hAnsi="Times New Roman"/>
                <w:iCs/>
                <w:sz w:val="22"/>
                <w:szCs w:val="22"/>
                <w:lang w:val="ro-RO" w:eastAsia="ro-RO"/>
              </w:rPr>
            </w:pPr>
            <w:r>
              <w:rPr>
                <w:iCs/>
                <w:sz w:val="22"/>
                <w:szCs w:val="22"/>
                <w:lang w:val="ro-RO" w:eastAsia="ro-RO"/>
              </w:rPr>
            </w:r>
          </w:p>
          <w:p>
            <w:pPr>
              <w:pStyle w:val="Normal"/>
              <w:widowControl/>
              <w:bidi w:val="0"/>
              <w:ind w:left="0" w:right="0" w:hanging="0"/>
              <w:jc w:val="left"/>
              <w:textAlignment w:val="auto"/>
              <w:rPr>
                <w:lang w:val="ro-RO"/>
              </w:rPr>
            </w:pPr>
            <w:r>
              <w:rPr>
                <w:sz w:val="22"/>
                <w:szCs w:val="22"/>
                <w:lang w:val="ro-RO"/>
              </w:rPr>
              <w:t xml:space="preserve">A prezentat: </w:t>
            </w:r>
          </w:p>
          <w:p>
            <w:pPr>
              <w:pStyle w:val="Normal"/>
              <w:widowControl/>
              <w:bidi w:val="0"/>
              <w:ind w:left="0" w:right="0" w:hanging="0"/>
              <w:jc w:val="left"/>
              <w:textAlignment w:val="auto"/>
              <w:rPr>
                <w:lang w:val="ro-RO"/>
              </w:rPr>
            </w:pPr>
            <w:r>
              <w:rPr>
                <w:rFonts w:cs="Times New Roman CE" w:ascii="Times New Roman CE" w:hAnsi="Times New Roman CE"/>
                <w:sz w:val="22"/>
                <w:szCs w:val="22"/>
                <w:lang w:val="ro-RO"/>
              </w:rPr>
              <w:t>A. Alhazov (teleconferinţă)</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iCs/>
                <w:sz w:val="22"/>
                <w:szCs w:val="22"/>
                <w:lang w:val="ro-RO" w:eastAsia="ro-RO"/>
              </w:rPr>
              <w:t>Computational completeness of P systemsusing maximal variants of the Set derivation mode</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ro-MD"/>
              </w:rPr>
            </w:pPr>
            <w:r>
              <w:rPr>
                <w:rFonts w:cs="Times New Roman CE" w:ascii="Times New Roman CE" w:hAnsi="Times New Roman CE"/>
                <w:sz w:val="22"/>
                <w:szCs w:val="22"/>
                <w:lang w:val="ro-MD"/>
              </w:rPr>
              <w:t>Raport secţie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iCs/>
                <w:sz w:val="22"/>
                <w:szCs w:val="22"/>
                <w:lang w:val="ro-RO" w:eastAsia="ro-RO"/>
              </w:rPr>
              <w:t>Workshop on Membrane Computing, WMC 2016, Manchester (UK), 11-15 July 2016</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Cs/>
                <w:sz w:val="22"/>
                <w:szCs w:val="22"/>
                <w:lang w:val="ro-RO" w:eastAsia="ro-RO"/>
              </w:rPr>
              <w:t>Alhazov, A; Freund, R.;</w:t>
            </w:r>
          </w:p>
          <w:p>
            <w:pPr>
              <w:pStyle w:val="Normal"/>
              <w:widowControl/>
              <w:bidi w:val="0"/>
              <w:ind w:left="0" w:right="0" w:hanging="0"/>
              <w:jc w:val="left"/>
              <w:textAlignment w:val="auto"/>
              <w:rPr>
                <w:lang w:val="ro-RO"/>
              </w:rPr>
            </w:pPr>
            <w:r>
              <w:rPr>
                <w:iCs/>
                <w:sz w:val="22"/>
                <w:szCs w:val="22"/>
                <w:lang w:val="ro-RO" w:eastAsia="ro-RO"/>
              </w:rPr>
              <w:t>Ivanov, S.</w:t>
            </w:r>
          </w:p>
          <w:p>
            <w:pPr>
              <w:pStyle w:val="Normal"/>
              <w:widowControl/>
              <w:bidi w:val="0"/>
              <w:ind w:left="0" w:right="0" w:hanging="0"/>
              <w:jc w:val="left"/>
              <w:textAlignment w:val="auto"/>
              <w:rPr>
                <w:rFonts w:ascii="Times New Roman" w:hAnsi="Times New Roman"/>
                <w:iCs/>
                <w:sz w:val="22"/>
                <w:szCs w:val="22"/>
                <w:lang w:val="ro-RO" w:eastAsia="ro-RO"/>
              </w:rPr>
            </w:pPr>
            <w:r>
              <w:rPr>
                <w:iCs/>
                <w:sz w:val="22"/>
                <w:szCs w:val="22"/>
                <w:lang w:val="ro-RO" w:eastAsia="ro-RO"/>
              </w:rPr>
            </w:r>
          </w:p>
          <w:p>
            <w:pPr>
              <w:pStyle w:val="Normal"/>
              <w:widowControl/>
              <w:bidi w:val="0"/>
              <w:ind w:left="0" w:right="0" w:hanging="0"/>
              <w:jc w:val="left"/>
              <w:textAlignment w:val="auto"/>
              <w:rPr>
                <w:lang w:val="ro-RO"/>
              </w:rPr>
            </w:pPr>
            <w:r>
              <w:rPr>
                <w:sz w:val="22"/>
                <w:szCs w:val="22"/>
                <w:lang w:val="ro-RO"/>
              </w:rPr>
              <w:t>A prezentat: S. Ivanov</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iCs/>
                <w:sz w:val="22"/>
                <w:szCs w:val="22"/>
                <w:lang w:val="ro-RO" w:eastAsia="ro-RO"/>
              </w:rPr>
              <w:t>Extended Spiking Neural P Systems with States</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ro-MD"/>
              </w:rPr>
            </w:pPr>
            <w:r>
              <w:rPr>
                <w:rFonts w:cs="Times New Roman CE" w:ascii="Times New Roman CE" w:hAnsi="Times New Roman CE"/>
                <w:sz w:val="22"/>
                <w:szCs w:val="22"/>
                <w:lang w:val="ro-MD"/>
              </w:rPr>
              <w:t>Raport secţie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iCs/>
                <w:sz w:val="22"/>
                <w:szCs w:val="22"/>
                <w:lang w:val="ro-RO" w:eastAsia="ro-RO"/>
              </w:rPr>
              <w:t>Workshop on Membrane Computing, WMC 2016, Manchester (UK), 11-15 July 2016</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Cs/>
                <w:sz w:val="22"/>
                <w:szCs w:val="22"/>
                <w:lang w:val="ro-RO" w:eastAsia="ro-RO"/>
              </w:rPr>
              <w:t xml:space="preserve">Alhazov, A; Freund, R.; </w:t>
            </w:r>
          </w:p>
          <w:p>
            <w:pPr>
              <w:pStyle w:val="Normal"/>
              <w:widowControl/>
              <w:bidi w:val="0"/>
              <w:ind w:left="0" w:right="0" w:hanging="0"/>
              <w:jc w:val="left"/>
              <w:textAlignment w:val="auto"/>
              <w:rPr>
                <w:lang w:val="ro-RO"/>
              </w:rPr>
            </w:pPr>
            <w:r>
              <w:rPr>
                <w:iCs/>
                <w:sz w:val="22"/>
                <w:szCs w:val="22"/>
                <w:lang w:val="ro-RO" w:eastAsia="ro-RO"/>
              </w:rPr>
              <w:t>Ivanov, S.</w:t>
            </w:r>
          </w:p>
          <w:p>
            <w:pPr>
              <w:pStyle w:val="Normal"/>
              <w:widowControl/>
              <w:bidi w:val="0"/>
              <w:ind w:left="0" w:right="0" w:hanging="0"/>
              <w:jc w:val="left"/>
              <w:textAlignment w:val="auto"/>
              <w:rPr>
                <w:rFonts w:ascii="Times New Roman" w:hAnsi="Times New Roman"/>
                <w:iCs/>
                <w:sz w:val="22"/>
                <w:szCs w:val="22"/>
                <w:lang w:val="ro-RO" w:eastAsia="ro-RO"/>
              </w:rPr>
            </w:pPr>
            <w:r>
              <w:rPr>
                <w:iCs/>
                <w:sz w:val="22"/>
                <w:szCs w:val="22"/>
                <w:lang w:val="ro-RO" w:eastAsia="ro-RO"/>
              </w:rPr>
            </w:r>
          </w:p>
          <w:p>
            <w:pPr>
              <w:pStyle w:val="Normal"/>
              <w:widowControl/>
              <w:bidi w:val="0"/>
              <w:ind w:left="0" w:right="0" w:hanging="0"/>
              <w:jc w:val="left"/>
              <w:textAlignment w:val="auto"/>
              <w:rPr>
                <w:lang w:val="ro-RO"/>
              </w:rPr>
            </w:pPr>
            <w:r>
              <w:rPr>
                <w:sz w:val="22"/>
                <w:szCs w:val="22"/>
                <w:lang w:val="ro-RO"/>
              </w:rPr>
              <w:t>A prezentat: S. Ivanov</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iCs/>
                <w:sz w:val="22"/>
                <w:szCs w:val="22"/>
                <w:lang w:val="ro-RO" w:eastAsia="ro-RO"/>
              </w:rPr>
              <w:t>P SystemsWorking in Set Modes</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ro-RO"/>
              </w:rPr>
            </w:pPr>
            <w:r>
              <w:rPr>
                <w:iCs/>
                <w:sz w:val="22"/>
                <w:szCs w:val="22"/>
                <w:lang w:val="ro-RO" w:eastAsia="ro-RO"/>
              </w:rPr>
              <w:t>Invited Paper</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pPr>
            <w:r>
              <w:rPr>
                <w:iCs/>
                <w:sz w:val="22"/>
                <w:szCs w:val="22"/>
                <w:lang w:val="ro-RO" w:eastAsia="ro-RO"/>
              </w:rPr>
              <w:t xml:space="preserve">12th International Conference Linguistic Resource sand Tools for Processing The Romanian Language, </w:t>
            </w:r>
            <w:hyperlink r:id="rId101">
              <w:r>
                <w:rPr>
                  <w:webHidden/>
                  <w:rStyle w:val="Style5"/>
                  <w:iCs/>
                  <w:sz w:val="22"/>
                  <w:szCs w:val="22"/>
                  <w:lang w:val="ro-RO" w:eastAsia="ro-RO"/>
                </w:rPr>
                <w:t>ConsILR-2016</w:t>
              </w:r>
            </w:hyperlink>
            <w:r>
              <w:rPr>
                <w:sz w:val="22"/>
                <w:szCs w:val="22"/>
                <w:lang w:val="en-US"/>
              </w:rPr>
              <w:t>,</w:t>
            </w:r>
            <w:r>
              <w:rPr>
                <w:rFonts w:cs="Times New Roman CE" w:ascii="Times New Roman CE" w:hAnsi="Times New Roman CE"/>
                <w:iCs/>
                <w:sz w:val="22"/>
                <w:szCs w:val="22"/>
                <w:lang w:val="ro-RO" w:eastAsia="ro-RO"/>
              </w:rPr>
              <w:t xml:space="preserve"> 27-29 Oct. 2016, Mălini, România</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Cs/>
                <w:sz w:val="22"/>
                <w:szCs w:val="22"/>
                <w:lang w:val="ro-RO" w:eastAsia="ro-RO"/>
              </w:rPr>
              <w:t xml:space="preserve">Bobicev ,V.; Bumbu, T.; </w:t>
            </w:r>
          </w:p>
          <w:p>
            <w:pPr>
              <w:pStyle w:val="Normal"/>
              <w:widowControl/>
              <w:bidi w:val="0"/>
              <w:ind w:left="0" w:right="0" w:hanging="0"/>
              <w:jc w:val="left"/>
              <w:textAlignment w:val="auto"/>
              <w:rPr>
                <w:lang w:val="ro-RO"/>
              </w:rPr>
            </w:pPr>
            <w:r>
              <w:rPr>
                <w:iCs/>
                <w:sz w:val="22"/>
                <w:szCs w:val="22"/>
                <w:lang w:val="ro-RO" w:eastAsia="ro-RO"/>
              </w:rPr>
              <w:t xml:space="preserve">Lazu, V.; </w:t>
            </w:r>
          </w:p>
          <w:p>
            <w:pPr>
              <w:pStyle w:val="Normal"/>
              <w:widowControl/>
              <w:bidi w:val="0"/>
              <w:ind w:left="0" w:right="0" w:hanging="0"/>
              <w:jc w:val="left"/>
              <w:textAlignment w:val="auto"/>
              <w:rPr>
                <w:lang w:val="ro-RO"/>
              </w:rPr>
            </w:pPr>
            <w:r>
              <w:rPr>
                <w:iCs/>
                <w:sz w:val="22"/>
                <w:szCs w:val="22"/>
                <w:lang w:val="ro-RO" w:eastAsia="ro-RO"/>
              </w:rPr>
              <w:t xml:space="preserve">Maxim, V.; </w:t>
            </w:r>
          </w:p>
          <w:p>
            <w:pPr>
              <w:pStyle w:val="Normal"/>
              <w:widowControl/>
              <w:bidi w:val="0"/>
              <w:ind w:left="0" w:right="0" w:hanging="0"/>
              <w:jc w:val="left"/>
              <w:textAlignment w:val="auto"/>
              <w:rPr>
                <w:lang w:val="ro-RO"/>
              </w:rPr>
            </w:pPr>
            <w:r>
              <w:rPr>
                <w:iCs/>
                <w:sz w:val="22"/>
                <w:szCs w:val="22"/>
                <w:lang w:val="ro-RO" w:eastAsia="ro-RO"/>
              </w:rPr>
              <w:t>Istrati, D.</w:t>
            </w:r>
          </w:p>
          <w:p>
            <w:pPr>
              <w:pStyle w:val="Normal"/>
              <w:widowControl/>
              <w:bidi w:val="0"/>
              <w:ind w:left="0" w:right="0" w:hanging="0"/>
              <w:jc w:val="left"/>
              <w:textAlignment w:val="auto"/>
              <w:rPr>
                <w:rFonts w:ascii="Times New Roman" w:hAnsi="Times New Roman"/>
                <w:iCs/>
                <w:sz w:val="22"/>
                <w:szCs w:val="22"/>
                <w:lang w:val="ro-RO" w:eastAsia="ro-RO"/>
              </w:rPr>
            </w:pPr>
            <w:r>
              <w:rPr>
                <w:iCs/>
                <w:sz w:val="22"/>
                <w:szCs w:val="22"/>
                <w:lang w:val="ro-RO" w:eastAsia="ro-RO"/>
              </w:rPr>
            </w:r>
          </w:p>
          <w:p>
            <w:pPr>
              <w:pStyle w:val="Normal"/>
              <w:widowControl/>
              <w:bidi w:val="0"/>
              <w:ind w:left="0" w:right="0" w:hanging="0"/>
              <w:jc w:val="left"/>
              <w:textAlignment w:val="auto"/>
              <w:rPr>
                <w:lang w:val="ro-RO"/>
              </w:rPr>
            </w:pPr>
            <w:r>
              <w:rPr>
                <w:sz w:val="22"/>
                <w:szCs w:val="22"/>
                <w:lang w:val="ro-RO"/>
              </w:rPr>
              <w:t xml:space="preserve">A prezentat: </w:t>
            </w:r>
          </w:p>
          <w:p>
            <w:pPr>
              <w:pStyle w:val="Normal"/>
              <w:widowControl/>
              <w:bidi w:val="0"/>
              <w:ind w:left="0" w:right="0" w:hanging="0"/>
              <w:jc w:val="left"/>
              <w:textAlignment w:val="auto"/>
              <w:rPr>
                <w:lang w:val="ro-RO"/>
              </w:rPr>
            </w:pPr>
            <w:r>
              <w:rPr>
                <w:sz w:val="22"/>
                <w:szCs w:val="22"/>
                <w:lang w:val="ro-RO"/>
              </w:rPr>
              <w:t>T. Bumbu</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iCs/>
                <w:sz w:val="22"/>
                <w:szCs w:val="22"/>
                <w:lang w:val="ro-RO" w:eastAsia="ro-RO"/>
              </w:rPr>
              <w:t>Folk poetry for computers: moldovan codri’s ballads parsing.</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ro-MD"/>
              </w:rPr>
            </w:pPr>
            <w:r>
              <w:rPr>
                <w:rFonts w:cs="Times New Roman CE" w:ascii="Times New Roman CE" w:hAnsi="Times New Roman CE"/>
                <w:sz w:val="22"/>
                <w:szCs w:val="22"/>
                <w:lang w:val="ro-MD"/>
              </w:rPr>
              <w:t>Raport secţie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pPr>
            <w:r>
              <w:rPr>
                <w:iCs/>
                <w:sz w:val="22"/>
                <w:szCs w:val="22"/>
                <w:lang w:val="ro-RO" w:eastAsia="ro-RO"/>
              </w:rPr>
              <w:t xml:space="preserve">12th International Conference Linguistic Resources and Tools for Processing The Romanian Language, </w:t>
            </w:r>
            <w:hyperlink r:id="rId102">
              <w:r>
                <w:rPr>
                  <w:webHidden/>
                  <w:rStyle w:val="Style5"/>
                  <w:iCs/>
                  <w:sz w:val="22"/>
                  <w:szCs w:val="22"/>
                  <w:lang w:val="ro-RO" w:eastAsia="ro-RO"/>
                </w:rPr>
                <w:t>ConsILR-2016</w:t>
              </w:r>
            </w:hyperlink>
            <w:r>
              <w:rPr>
                <w:sz w:val="22"/>
                <w:szCs w:val="22"/>
                <w:lang w:val="en-US"/>
              </w:rPr>
              <w:t>,</w:t>
            </w:r>
            <w:r>
              <w:rPr>
                <w:rFonts w:cs="Times New Roman CE" w:ascii="Times New Roman CE" w:hAnsi="Times New Roman CE"/>
                <w:iCs/>
                <w:sz w:val="22"/>
                <w:szCs w:val="22"/>
                <w:lang w:val="ro-RO" w:eastAsia="ro-RO"/>
              </w:rPr>
              <w:t xml:space="preserve"> 27-29 Oct. 2016, Mălini, România</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Cs/>
                <w:sz w:val="22"/>
                <w:szCs w:val="22"/>
                <w:lang w:val="ro-RO" w:eastAsia="ro-RO"/>
              </w:rPr>
              <w:t>Malahov, L.; Ciubotaru, C.; Cojocaru, S.; Colesnicov, A.; Demidov, V.</w:t>
            </w:r>
          </w:p>
          <w:p>
            <w:pPr>
              <w:pStyle w:val="Normal"/>
              <w:widowControl/>
              <w:bidi w:val="0"/>
              <w:ind w:left="0" w:right="0" w:hanging="0"/>
              <w:jc w:val="left"/>
              <w:textAlignment w:val="auto"/>
              <w:rPr>
                <w:rFonts w:ascii="Times New Roman" w:hAnsi="Times New Roman"/>
                <w:iCs/>
                <w:sz w:val="22"/>
                <w:szCs w:val="22"/>
                <w:lang w:val="ro-RO" w:eastAsia="ro-RO"/>
              </w:rPr>
            </w:pPr>
            <w:r>
              <w:rPr>
                <w:iCs/>
                <w:sz w:val="22"/>
                <w:szCs w:val="22"/>
                <w:lang w:val="ro-RO" w:eastAsia="ro-RO"/>
              </w:rPr>
            </w:r>
          </w:p>
          <w:p>
            <w:pPr>
              <w:pStyle w:val="Normal"/>
              <w:widowControl/>
              <w:bidi w:val="0"/>
              <w:ind w:left="0" w:right="0" w:hanging="0"/>
              <w:jc w:val="left"/>
              <w:textAlignment w:val="auto"/>
              <w:rPr>
                <w:lang w:val="ro-RO"/>
              </w:rPr>
            </w:pPr>
            <w:r>
              <w:rPr>
                <w:sz w:val="22"/>
                <w:szCs w:val="22"/>
                <w:lang w:val="ro-RO"/>
              </w:rPr>
              <w:t>A prezentat: A. Colesnicov</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Cs/>
                <w:sz w:val="22"/>
                <w:szCs w:val="22"/>
                <w:lang w:val="ro-RO" w:eastAsia="ro-RO"/>
              </w:rPr>
              <w:t>Regeneration of cultural Heritage: Problems Related to Moldavian Cyrillic Alphabet</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ro-MD"/>
              </w:rPr>
            </w:pPr>
            <w:r>
              <w:rPr>
                <w:rFonts w:cs="Times New Roman CE" w:ascii="Times New Roman CE" w:hAnsi="Times New Roman CE"/>
                <w:sz w:val="22"/>
                <w:szCs w:val="22"/>
                <w:lang w:val="ro-MD"/>
              </w:rPr>
              <w:t>Raport secţie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iCs/>
                <w:sz w:val="22"/>
                <w:szCs w:val="22"/>
                <w:lang w:val="ro-RO" w:eastAsia="ro-RO"/>
              </w:rPr>
              <w:t xml:space="preserve">12th International Conference Linguistic Resources and Tools for Processing The Romanian Language, </w:t>
            </w:r>
            <w:hyperlink r:id="rId103">
              <w:r>
                <w:rPr>
                  <w:webHidden/>
                  <w:rStyle w:val="Style5"/>
                  <w:iCs/>
                  <w:sz w:val="22"/>
                  <w:szCs w:val="22"/>
                  <w:lang w:val="ro-RO" w:eastAsia="ro-RO"/>
                </w:rPr>
                <w:t>ConsILR-2016</w:t>
              </w:r>
            </w:hyperlink>
            <w:r>
              <w:rPr>
                <w:sz w:val="22"/>
                <w:szCs w:val="22"/>
                <w:lang w:val="en-US"/>
              </w:rPr>
              <w:t>,</w:t>
            </w:r>
            <w:r>
              <w:rPr>
                <w:rFonts w:cs="Times New Roman CE" w:ascii="Times New Roman CE" w:hAnsi="Times New Roman CE"/>
                <w:iCs/>
                <w:sz w:val="22"/>
                <w:szCs w:val="22"/>
                <w:lang w:val="ro-RO" w:eastAsia="ro-RO"/>
              </w:rPr>
              <w:t xml:space="preserve"> 27-29 Oct. 2016, Mălini, România</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Cs/>
                <w:sz w:val="22"/>
                <w:szCs w:val="22"/>
                <w:lang w:val="ro-RO" w:eastAsia="ro-RO"/>
              </w:rPr>
              <w:t>Malahov, L.; Colesnicov, A.; Bumbu, T.</w:t>
            </w:r>
          </w:p>
          <w:p>
            <w:pPr>
              <w:pStyle w:val="Normal"/>
              <w:widowControl/>
              <w:bidi w:val="0"/>
              <w:ind w:left="0" w:right="0" w:hanging="0"/>
              <w:jc w:val="left"/>
              <w:textAlignment w:val="auto"/>
              <w:rPr>
                <w:rFonts w:ascii="Times New Roman" w:hAnsi="Times New Roman"/>
                <w:iCs/>
                <w:sz w:val="22"/>
                <w:szCs w:val="22"/>
                <w:lang w:val="ro-RO" w:eastAsia="ro-RO"/>
              </w:rPr>
            </w:pPr>
            <w:r>
              <w:rPr>
                <w:iCs/>
                <w:sz w:val="22"/>
                <w:szCs w:val="22"/>
                <w:lang w:val="ro-RO" w:eastAsia="ro-RO"/>
              </w:rPr>
            </w:r>
          </w:p>
          <w:p>
            <w:pPr>
              <w:pStyle w:val="Normal"/>
              <w:widowControl/>
              <w:bidi w:val="0"/>
              <w:ind w:left="0" w:right="0" w:hanging="0"/>
              <w:jc w:val="left"/>
              <w:textAlignment w:val="auto"/>
              <w:rPr>
                <w:lang w:val="ro-RO"/>
              </w:rPr>
            </w:pPr>
            <w:r>
              <w:rPr>
                <w:sz w:val="22"/>
                <w:szCs w:val="22"/>
                <w:lang w:val="ro-RO"/>
              </w:rPr>
              <w:t>A prezentat: A. Colesnicov</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Cs/>
                <w:sz w:val="22"/>
                <w:szCs w:val="22"/>
                <w:lang w:val="ro-RO" w:eastAsia="ro-RO"/>
              </w:rPr>
              <w:t>. Digitization of the Romanian PrintedTexts of the 17th Century</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ro-MD"/>
              </w:rPr>
            </w:pPr>
            <w:r>
              <w:rPr>
                <w:rFonts w:cs="Times New Roman CE" w:ascii="Times New Roman CE" w:hAnsi="Times New Roman CE"/>
                <w:sz w:val="22"/>
                <w:szCs w:val="22"/>
                <w:lang w:val="ro-MD"/>
              </w:rPr>
              <w:t>Raport secţie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iCs/>
                <w:sz w:val="22"/>
                <w:szCs w:val="22"/>
                <w:lang w:val="ro-RO" w:eastAsia="ro-RO"/>
              </w:rPr>
              <w:t>MFOI2016 - Conferenc</w:t>
            </w:r>
            <w:r>
              <w:rPr>
                <w:rFonts w:cs="Times New Roman CE" w:ascii="Times New Roman CE" w:hAnsi="Times New Roman CE"/>
                <w:iCs/>
                <w:sz w:val="22"/>
                <w:szCs w:val="22"/>
                <w:lang w:val="ro-RO" w:eastAsia="ro-RO"/>
              </w:rPr>
              <w:t>e on Mathematical Foundations of Informatics, July 25-31, 2016, Chişinău, Republic of Moldova</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Cs/>
                <w:sz w:val="22"/>
                <w:szCs w:val="22"/>
                <w:lang w:val="ro-RO" w:eastAsia="ro-RO"/>
              </w:rPr>
              <w:t>Cojocaru, S.; Burtseva, L.; Ciubotaru, C., Colesnicov, A., Demidova, V., Malahov, L.; Petic, M.; Bumbu, T.; Ungur, Ş.</w:t>
            </w:r>
          </w:p>
          <w:p>
            <w:pPr>
              <w:pStyle w:val="Normal"/>
              <w:widowControl/>
              <w:bidi w:val="0"/>
              <w:ind w:left="0" w:right="0" w:hanging="0"/>
              <w:jc w:val="left"/>
              <w:textAlignment w:val="auto"/>
              <w:rPr>
                <w:rFonts w:ascii="Times New Roman" w:hAnsi="Times New Roman"/>
                <w:iCs/>
                <w:sz w:val="22"/>
                <w:szCs w:val="22"/>
                <w:lang w:val="ro-RO" w:eastAsia="ro-RO"/>
              </w:rPr>
            </w:pPr>
            <w:r>
              <w:rPr>
                <w:iCs/>
                <w:sz w:val="22"/>
                <w:szCs w:val="22"/>
                <w:lang w:val="ro-RO" w:eastAsia="ro-RO"/>
              </w:rPr>
            </w:r>
          </w:p>
          <w:p>
            <w:pPr>
              <w:pStyle w:val="Normal"/>
              <w:widowControl/>
              <w:bidi w:val="0"/>
              <w:ind w:left="0" w:right="0" w:hanging="0"/>
              <w:jc w:val="left"/>
              <w:textAlignment w:val="auto"/>
              <w:rPr>
                <w:lang w:val="ro-RO"/>
              </w:rPr>
            </w:pPr>
            <w:r>
              <w:rPr>
                <w:sz w:val="22"/>
                <w:szCs w:val="22"/>
                <w:lang w:val="ro-RO"/>
              </w:rPr>
              <w:t>A prezentat: M. Petic</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iCs/>
                <w:sz w:val="22"/>
                <w:szCs w:val="22"/>
                <w:lang w:val="ro-RO" w:eastAsia="ro-RO"/>
              </w:rPr>
              <w:t>On Technology for Digitization of Romanian Historical Heritage Printed in the Cyrillic Script</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ro-MD"/>
              </w:rPr>
            </w:pPr>
            <w:r>
              <w:rPr>
                <w:rFonts w:cs="Times New Roman CE" w:ascii="Times New Roman CE" w:hAnsi="Times New Roman CE"/>
                <w:sz w:val="22"/>
                <w:szCs w:val="22"/>
                <w:lang w:val="ro-MD"/>
              </w:rPr>
              <w:t>Raport secţie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rFonts w:cs="Times New Roman CE" w:ascii="Times New Roman CE" w:hAnsi="Times New Roman CE"/>
                <w:iCs/>
                <w:sz w:val="22"/>
                <w:szCs w:val="22"/>
                <w:lang w:val="ro-RO" w:eastAsia="ro-RO"/>
              </w:rPr>
              <w:t>MFOI2016 - Conference on Mathematical Foundations of Informatics, July 25-31, 2016, Chişinău, Republic of Moldova</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iCs/>
                <w:sz w:val="22"/>
                <w:szCs w:val="22"/>
                <w:lang w:val="ro-RO" w:eastAsia="ro-RO"/>
              </w:rPr>
              <w:t xml:space="preserve">Cojocaru, S.; </w:t>
            </w:r>
            <w:r>
              <w:rPr>
                <w:sz w:val="22"/>
                <w:szCs w:val="22"/>
                <w:lang w:val="ro-RO"/>
              </w:rPr>
              <w:t>Gaindric, C.; Secrieru, Iu.; Puiu,S.; Popcova, O.</w:t>
            </w:r>
          </w:p>
          <w:p>
            <w:pPr>
              <w:pStyle w:val="Normal"/>
              <w:widowControl/>
              <w:bidi w:val="0"/>
              <w:ind w:left="0" w:right="0" w:hanging="0"/>
              <w:jc w:val="both"/>
              <w:textAlignment w:val="auto"/>
              <w:rPr>
                <w:rFonts w:ascii="Times New Roman" w:hAnsi="Times New Roman"/>
                <w:sz w:val="22"/>
                <w:szCs w:val="22"/>
                <w:lang w:val="ro-RO"/>
              </w:rPr>
            </w:pPr>
            <w:r>
              <w:rPr>
                <w:sz w:val="22"/>
                <w:szCs w:val="22"/>
                <w:lang w:val="ro-RO"/>
              </w:rPr>
            </w:r>
          </w:p>
          <w:p>
            <w:pPr>
              <w:pStyle w:val="Normal"/>
              <w:widowControl/>
              <w:bidi w:val="0"/>
              <w:ind w:left="0" w:right="0" w:hanging="0"/>
              <w:jc w:val="left"/>
              <w:textAlignment w:val="auto"/>
              <w:rPr>
                <w:lang w:val="ro-RO"/>
              </w:rPr>
            </w:pPr>
            <w:r>
              <w:rPr>
                <w:sz w:val="22"/>
                <w:szCs w:val="22"/>
                <w:lang w:val="ro-RO"/>
              </w:rPr>
              <w:t>A prezentat: O. Popcova</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Re-engineering of SonaRes Knowledge Base for On-Site Triage Task in Mass Casualty Situations.</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ro-MD"/>
              </w:rPr>
            </w:pPr>
            <w:r>
              <w:rPr>
                <w:rFonts w:cs="Times New Roman CE" w:ascii="Times New Roman CE" w:hAnsi="Times New Roman CE"/>
                <w:sz w:val="22"/>
                <w:szCs w:val="22"/>
                <w:lang w:val="ro-MD"/>
              </w:rPr>
              <w:t>Raport secţie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rFonts w:cs="Times New Roman CE" w:ascii="Times New Roman CE" w:hAnsi="Times New Roman CE"/>
                <w:iCs/>
                <w:sz w:val="22"/>
                <w:szCs w:val="22"/>
                <w:lang w:val="ro-RO" w:eastAsia="ro-RO"/>
              </w:rPr>
              <w:t>MFOI2016 - Conference on Mathematical Foundations of Informatics, July 25-31, 2016, Chişinău, Republic of Moldov</w:t>
            </w:r>
            <w:r>
              <w:rPr>
                <w:iCs/>
                <w:sz w:val="22"/>
                <w:szCs w:val="22"/>
                <w:lang w:val="ro-RO" w:eastAsia="ro-RO"/>
              </w:rPr>
              <w:t>a</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Cs/>
                <w:sz w:val="22"/>
                <w:szCs w:val="22"/>
                <w:lang w:val="ro-RO" w:eastAsia="ro-RO"/>
              </w:rPr>
              <w:t>Malahov, L.; Maranduc, C.; Perez, C-A.; Colesnicov, A.</w:t>
            </w:r>
          </w:p>
          <w:p>
            <w:pPr>
              <w:pStyle w:val="Normal"/>
              <w:widowControl/>
              <w:bidi w:val="0"/>
              <w:ind w:left="0" w:right="0" w:hanging="0"/>
              <w:jc w:val="left"/>
              <w:textAlignment w:val="auto"/>
              <w:rPr>
                <w:rFonts w:ascii="Times New Roman" w:hAnsi="Times New Roman"/>
                <w:iCs/>
                <w:sz w:val="22"/>
                <w:szCs w:val="22"/>
                <w:lang w:val="ro-RO" w:eastAsia="ro-RO"/>
              </w:rPr>
            </w:pPr>
            <w:r>
              <w:rPr>
                <w:iCs/>
                <w:sz w:val="22"/>
                <w:szCs w:val="22"/>
                <w:lang w:val="ro-RO" w:eastAsia="ro-RO"/>
              </w:rPr>
            </w:r>
          </w:p>
          <w:p>
            <w:pPr>
              <w:pStyle w:val="Normal"/>
              <w:widowControl/>
              <w:bidi w:val="0"/>
              <w:ind w:left="0" w:right="0" w:hanging="0"/>
              <w:jc w:val="left"/>
              <w:textAlignment w:val="auto"/>
              <w:rPr>
                <w:lang w:val="ro-RO"/>
              </w:rPr>
            </w:pPr>
            <w:r>
              <w:rPr>
                <w:sz w:val="22"/>
                <w:szCs w:val="22"/>
                <w:lang w:val="ro-RO"/>
              </w:rPr>
              <w:t>A Prezentat: A. Colesnicov</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iCs/>
                <w:sz w:val="22"/>
                <w:szCs w:val="22"/>
                <w:lang w:val="ro-RO" w:eastAsia="ro-RO"/>
              </w:rPr>
              <w:t>RoDiaproject of a regional and historical corpus for Romanian</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ro-MD"/>
              </w:rPr>
            </w:pPr>
            <w:r>
              <w:rPr>
                <w:rFonts w:cs="Times New Roman CE" w:ascii="Times New Roman CE" w:hAnsi="Times New Roman CE"/>
                <w:sz w:val="22"/>
                <w:szCs w:val="22"/>
                <w:lang w:val="ro-MD"/>
              </w:rPr>
              <w:t>Raport secţie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iCs/>
                <w:sz w:val="22"/>
                <w:szCs w:val="22"/>
                <w:lang w:val="ro-RO" w:eastAsia="ro-RO"/>
              </w:rPr>
              <w:t xml:space="preserve">CATALOGUE BringITon 2016, Workshop de promovare </w:t>
            </w:r>
            <w:r>
              <w:rPr>
                <w:rFonts w:ascii="Cambria Math" w:hAnsi="Cambria Math"/>
                <w:iCs/>
                <w:sz w:val="22"/>
                <w:szCs w:val="22"/>
                <w:lang w:val="ro-RO" w:eastAsia="ro-RO"/>
              </w:rPr>
              <w:t>ș</w:t>
            </w:r>
            <w:r>
              <w:rPr>
                <w:iCs/>
                <w:sz w:val="22"/>
                <w:szCs w:val="22"/>
                <w:lang w:val="ro-RO" w:eastAsia="ro-RO"/>
              </w:rPr>
              <w:t>i valorificare a interac</w:t>
            </w:r>
            <w:r>
              <w:rPr>
                <w:rFonts w:ascii="Cambria Math" w:hAnsi="Cambria Math"/>
                <w:iCs/>
                <w:sz w:val="22"/>
                <w:szCs w:val="22"/>
                <w:lang w:val="ro-RO" w:eastAsia="ro-RO"/>
              </w:rPr>
              <w:t>ț</w:t>
            </w:r>
            <w:r>
              <w:rPr>
                <w:rFonts w:cs="Times New Roman CE" w:ascii="Times New Roman CE" w:hAnsi="Times New Roman CE"/>
                <w:iCs/>
                <w:sz w:val="22"/>
                <w:szCs w:val="22"/>
                <w:lang w:val="ro-RO" w:eastAsia="ro-RO"/>
              </w:rPr>
              <w:t xml:space="preserve">iunii între cercetarea informatică universitară </w:t>
            </w:r>
            <w:r>
              <w:rPr>
                <w:rFonts w:ascii="Cambria Math" w:hAnsi="Cambria Math"/>
                <w:iCs/>
                <w:sz w:val="22"/>
                <w:szCs w:val="22"/>
                <w:lang w:val="ro-RO" w:eastAsia="ro-RO"/>
              </w:rPr>
              <w:t>ș</w:t>
            </w:r>
            <w:r>
              <w:rPr>
                <w:rFonts w:cs="Times New Roman CE" w:ascii="Times New Roman CE" w:hAnsi="Times New Roman CE"/>
                <w:iCs/>
                <w:sz w:val="22"/>
                <w:szCs w:val="22"/>
                <w:lang w:val="ro-RO" w:eastAsia="ro-RO"/>
              </w:rPr>
              <w:t>i mediul de afaceri, 18-19 november 2016, 30-31, Iaşi, România</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Cs/>
                <w:sz w:val="22"/>
                <w:szCs w:val="22"/>
                <w:lang w:val="ro-RO" w:eastAsia="ro-RO"/>
              </w:rPr>
              <w:t>Malahov, L.; Cojocaru, S.; Colesnicov, A.;  Bumbu, T.; Ungur, Ş.</w:t>
            </w:r>
          </w:p>
          <w:p>
            <w:pPr>
              <w:pStyle w:val="Normal"/>
              <w:widowControl/>
              <w:bidi w:val="0"/>
              <w:ind w:left="0" w:right="0" w:hanging="0"/>
              <w:jc w:val="left"/>
              <w:textAlignment w:val="auto"/>
              <w:rPr>
                <w:rFonts w:ascii="Times New Roman" w:hAnsi="Times New Roman"/>
                <w:iCs/>
                <w:sz w:val="22"/>
                <w:szCs w:val="22"/>
                <w:lang w:val="ro-RO" w:eastAsia="ro-RO"/>
              </w:rPr>
            </w:pPr>
            <w:r>
              <w:rPr>
                <w:iCs/>
                <w:sz w:val="22"/>
                <w:szCs w:val="22"/>
                <w:lang w:val="ro-RO" w:eastAsia="ro-RO"/>
              </w:rPr>
            </w:r>
          </w:p>
          <w:p>
            <w:pPr>
              <w:pStyle w:val="Normal"/>
              <w:widowControl/>
              <w:bidi w:val="0"/>
              <w:ind w:left="0" w:right="0" w:hanging="0"/>
              <w:jc w:val="left"/>
              <w:textAlignment w:val="auto"/>
              <w:rPr>
                <w:lang w:val="ro-RO"/>
              </w:rPr>
            </w:pPr>
            <w:r>
              <w:rPr>
                <w:iCs/>
                <w:sz w:val="22"/>
                <w:szCs w:val="22"/>
                <w:lang w:val="ro-RO" w:eastAsia="ro-RO"/>
              </w:rPr>
              <w:t>Au prezentat:</w:t>
            </w:r>
          </w:p>
          <w:p>
            <w:pPr>
              <w:pStyle w:val="Normal"/>
              <w:widowControl/>
              <w:bidi w:val="0"/>
              <w:ind w:left="0" w:right="0" w:hanging="0"/>
              <w:jc w:val="left"/>
              <w:textAlignment w:val="auto"/>
              <w:rPr>
                <w:lang w:val="ro-RO"/>
              </w:rPr>
            </w:pPr>
            <w:r>
              <w:rPr>
                <w:rFonts w:cs="Times New Roman CE" w:ascii="Times New Roman CE" w:hAnsi="Times New Roman CE"/>
                <w:iCs/>
                <w:sz w:val="22"/>
                <w:szCs w:val="22"/>
                <w:lang w:val="ro-RO" w:eastAsia="ro-RO"/>
              </w:rPr>
              <w:t>T. Bumbu, Ş. Ungur</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iCs/>
                <w:sz w:val="22"/>
                <w:szCs w:val="22"/>
                <w:lang w:val="ro-RO" w:eastAsia="ro-RO"/>
              </w:rPr>
              <w:t>Tools for free access to the old Romanian printed texts</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ro-MD"/>
              </w:rPr>
            </w:pPr>
            <w:r>
              <w:rPr>
                <w:sz w:val="22"/>
                <w:szCs w:val="22"/>
                <w:lang w:val="ro-MD"/>
              </w:rPr>
              <w:t>Raport se</w:t>
            </w:r>
            <w:r>
              <w:rPr>
                <w:rFonts w:cs="Times New Roman CE" w:ascii="Times New Roman CE" w:hAnsi="Times New Roman CE"/>
                <w:sz w:val="22"/>
                <w:szCs w:val="22"/>
                <w:lang w:val="ro-MD"/>
              </w:rPr>
              <w:t>cţie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Cs/>
                <w:sz w:val="22"/>
                <w:szCs w:val="22"/>
                <w:lang w:val="ro-RO" w:eastAsia="ro-RO"/>
              </w:rPr>
              <w:t>International Scientific Conference Mathematics &amp; IT: Research and Education MITRE-2016, Chişinău, 24-25 June 2016</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Cs/>
                <w:sz w:val="22"/>
                <w:szCs w:val="22"/>
                <w:lang w:val="ro-RO" w:eastAsia="ro-RO"/>
              </w:rPr>
              <w:t>Ciubotaru, C.; Cojocaru, S.; Demidova, V.; Colesnicov, A.; Malahov, L.; Ungur, Ş.</w:t>
            </w:r>
          </w:p>
          <w:p>
            <w:pPr>
              <w:pStyle w:val="Normal"/>
              <w:widowControl/>
              <w:bidi w:val="0"/>
              <w:ind w:left="0" w:right="0" w:hanging="0"/>
              <w:jc w:val="left"/>
              <w:textAlignment w:val="auto"/>
              <w:rPr>
                <w:rFonts w:ascii="Times New Roman" w:hAnsi="Times New Roman"/>
                <w:iCs/>
                <w:sz w:val="22"/>
                <w:szCs w:val="22"/>
                <w:lang w:val="ro-RO" w:eastAsia="ro-RO"/>
              </w:rPr>
            </w:pPr>
            <w:r>
              <w:rPr>
                <w:iCs/>
                <w:sz w:val="22"/>
                <w:szCs w:val="22"/>
                <w:lang w:val="ro-RO" w:eastAsia="ro-RO"/>
              </w:rPr>
            </w:r>
          </w:p>
          <w:p>
            <w:pPr>
              <w:pStyle w:val="Normal"/>
              <w:widowControl/>
              <w:bidi w:val="0"/>
              <w:ind w:left="0" w:right="0" w:hanging="0"/>
              <w:jc w:val="left"/>
              <w:textAlignment w:val="auto"/>
              <w:rPr>
                <w:lang w:val="en-US"/>
              </w:rPr>
            </w:pPr>
            <w:r>
              <w:rPr>
                <w:sz w:val="22"/>
                <w:szCs w:val="22"/>
                <w:lang w:val="en-US"/>
              </w:rPr>
              <w:t>A prezentat:</w:t>
            </w:r>
          </w:p>
          <w:p>
            <w:pPr>
              <w:pStyle w:val="Normal"/>
              <w:widowControl/>
              <w:bidi w:val="0"/>
              <w:ind w:left="0" w:right="0" w:hanging="0"/>
              <w:jc w:val="left"/>
              <w:textAlignment w:val="auto"/>
              <w:rPr>
                <w:lang w:val="en-US"/>
              </w:rPr>
            </w:pPr>
            <w:r>
              <w:rPr>
                <w:rFonts w:cs="Times New Roman CE" w:ascii="Times New Roman CE" w:hAnsi="Times New Roman CE"/>
                <w:sz w:val="22"/>
                <w:szCs w:val="22"/>
                <w:lang w:val="en-US"/>
              </w:rPr>
              <w:t>Ş. Ungur</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Cs/>
                <w:sz w:val="22"/>
                <w:szCs w:val="22"/>
                <w:lang w:val="ro-RO" w:eastAsia="ro-RO"/>
              </w:rPr>
              <w:t>Converter for Romanian printed texts of the 18th-20th centuries</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ro-MD"/>
              </w:rPr>
            </w:pPr>
            <w:r>
              <w:rPr>
                <w:rFonts w:cs="Times New Roman CE" w:ascii="Times New Roman CE" w:hAnsi="Times New Roman CE"/>
                <w:sz w:val="22"/>
                <w:szCs w:val="22"/>
                <w:lang w:val="ro-MD"/>
              </w:rPr>
              <w:t>Raport secţie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Cs/>
                <w:sz w:val="22"/>
                <w:szCs w:val="22"/>
                <w:lang w:val="ro-RO" w:eastAsia="ro-RO"/>
              </w:rPr>
              <w:t>International Scientific Conference Mathematics &amp; IT: Research and Education MITRE-2016, Chişinău, 24-25 June 2016</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Cs/>
                <w:sz w:val="22"/>
                <w:szCs w:val="22"/>
                <w:lang w:val="ro-RO" w:eastAsia="ro-RO"/>
              </w:rPr>
              <w:t>Demidova, V.; Burtseva, L.</w:t>
            </w:r>
          </w:p>
          <w:p>
            <w:pPr>
              <w:pStyle w:val="Normal"/>
              <w:widowControl/>
              <w:bidi w:val="0"/>
              <w:ind w:left="0" w:right="0" w:hanging="0"/>
              <w:jc w:val="left"/>
              <w:textAlignment w:val="auto"/>
              <w:rPr>
                <w:rFonts w:ascii="Times New Roman" w:hAnsi="Times New Roman"/>
                <w:iCs/>
                <w:sz w:val="22"/>
                <w:szCs w:val="22"/>
                <w:lang w:val="ro-RO" w:eastAsia="ro-RO"/>
              </w:rPr>
            </w:pPr>
            <w:r>
              <w:rPr>
                <w:iCs/>
                <w:sz w:val="22"/>
                <w:szCs w:val="22"/>
                <w:lang w:val="ro-RO" w:eastAsia="ro-RO"/>
              </w:rPr>
            </w:r>
          </w:p>
          <w:p>
            <w:pPr>
              <w:pStyle w:val="Normal"/>
              <w:widowControl/>
              <w:bidi w:val="0"/>
              <w:ind w:left="0" w:right="0" w:hanging="0"/>
              <w:jc w:val="left"/>
              <w:textAlignment w:val="auto"/>
              <w:rPr>
                <w:lang w:val="ro-RO"/>
              </w:rPr>
            </w:pPr>
            <w:r>
              <w:rPr>
                <w:iCs/>
                <w:sz w:val="22"/>
                <w:szCs w:val="22"/>
                <w:lang w:val="ro-RO" w:eastAsia="ro-RO"/>
              </w:rPr>
              <w:t>A prezentat: L. Burtseva</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Cs/>
                <w:sz w:val="22"/>
                <w:szCs w:val="22"/>
                <w:lang w:val="ro-RO" w:eastAsia="ro-RO"/>
              </w:rPr>
              <w:t>On digitalization of cultural heritage of historical Romanian Cyrillictexts</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ro-MD"/>
              </w:rPr>
            </w:pPr>
            <w:r>
              <w:rPr>
                <w:rFonts w:cs="Times New Roman CE" w:ascii="Times New Roman CE" w:hAnsi="Times New Roman CE"/>
                <w:sz w:val="22"/>
                <w:szCs w:val="22"/>
                <w:lang w:val="ro-MD"/>
              </w:rPr>
              <w:t>Raport secţie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Cs/>
                <w:sz w:val="22"/>
                <w:szCs w:val="22"/>
                <w:lang w:val="ro-RO" w:eastAsia="ro-RO"/>
              </w:rPr>
              <w:t>International Scientific Conference Mathematics &amp; IT: Research and Education MITRE-2016, Chişinău, 24-25 June 2016</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Cs/>
                <w:sz w:val="22"/>
                <w:szCs w:val="22"/>
                <w:lang w:val="ro-RO" w:eastAsia="ro-RO"/>
              </w:rPr>
              <w:t>Dumbraveanu, R.; Petic, M.</w:t>
            </w:r>
          </w:p>
          <w:p>
            <w:pPr>
              <w:pStyle w:val="Normal"/>
              <w:widowControl/>
              <w:bidi w:val="0"/>
              <w:ind w:left="0" w:right="0" w:hanging="0"/>
              <w:jc w:val="left"/>
              <w:textAlignment w:val="auto"/>
              <w:rPr>
                <w:rFonts w:ascii="Times New Roman" w:hAnsi="Times New Roman"/>
                <w:iCs/>
                <w:sz w:val="22"/>
                <w:szCs w:val="22"/>
                <w:lang w:val="ro-RO" w:eastAsia="ro-RO"/>
              </w:rPr>
            </w:pPr>
            <w:r>
              <w:rPr>
                <w:iCs/>
                <w:sz w:val="22"/>
                <w:szCs w:val="22"/>
                <w:lang w:val="ro-RO" w:eastAsia="ro-RO"/>
              </w:rPr>
            </w:r>
          </w:p>
          <w:p>
            <w:pPr>
              <w:pStyle w:val="Normal"/>
              <w:widowControl/>
              <w:bidi w:val="0"/>
              <w:ind w:left="0" w:right="0" w:hanging="0"/>
              <w:jc w:val="left"/>
              <w:textAlignment w:val="auto"/>
              <w:rPr>
                <w:lang w:val="ro-RO"/>
              </w:rPr>
            </w:pPr>
            <w:r>
              <w:rPr>
                <w:iCs/>
                <w:sz w:val="22"/>
                <w:szCs w:val="22"/>
                <w:lang w:val="ro-RO" w:eastAsia="ro-RO"/>
              </w:rPr>
              <w:t>A prezentat: M. Petic</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Cs/>
                <w:sz w:val="22"/>
                <w:szCs w:val="22"/>
                <w:lang w:val="ro-RO" w:eastAsia="ro-RO"/>
              </w:rPr>
              <w:t>Soft crates application an dits mathematical aspects</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ro-MD"/>
              </w:rPr>
            </w:pPr>
            <w:r>
              <w:rPr>
                <w:rFonts w:cs="Times New Roman CE" w:ascii="Times New Roman CE" w:hAnsi="Times New Roman CE"/>
                <w:sz w:val="22"/>
                <w:szCs w:val="22"/>
                <w:lang w:val="ro-MD"/>
              </w:rPr>
              <w:t>Raport secţie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Cs/>
                <w:sz w:val="22"/>
                <w:szCs w:val="22"/>
                <w:lang w:val="ro-RO" w:eastAsia="ro-RO"/>
              </w:rPr>
              <w:t>International Scientific Conference Mathematics &amp; IT: Research and Education MITRE-2016, Chişinău, 24-25 June 2016</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Cs/>
                <w:sz w:val="22"/>
                <w:szCs w:val="22"/>
                <w:lang w:val="ro-RO" w:eastAsia="ro-RO"/>
              </w:rPr>
              <w:t>Magariu, G.; Verlan, T.</w:t>
            </w:r>
          </w:p>
          <w:p>
            <w:pPr>
              <w:pStyle w:val="Normal"/>
              <w:widowControl/>
              <w:bidi w:val="0"/>
              <w:ind w:left="0" w:right="0" w:hanging="0"/>
              <w:jc w:val="left"/>
              <w:textAlignment w:val="auto"/>
              <w:rPr>
                <w:rFonts w:ascii="Times New Roman" w:hAnsi="Times New Roman"/>
                <w:iCs/>
                <w:sz w:val="22"/>
                <w:szCs w:val="22"/>
                <w:lang w:val="ro-RO" w:eastAsia="ro-RO"/>
              </w:rPr>
            </w:pPr>
            <w:r>
              <w:rPr>
                <w:iCs/>
                <w:sz w:val="22"/>
                <w:szCs w:val="22"/>
                <w:lang w:val="ro-RO" w:eastAsia="ro-RO"/>
              </w:rPr>
            </w:r>
          </w:p>
          <w:p>
            <w:pPr>
              <w:pStyle w:val="Normal"/>
              <w:widowControl/>
              <w:bidi w:val="0"/>
              <w:ind w:left="0" w:right="0" w:hanging="0"/>
              <w:jc w:val="left"/>
              <w:textAlignment w:val="auto"/>
              <w:rPr>
                <w:lang w:val="ro-RO"/>
              </w:rPr>
            </w:pPr>
            <w:r>
              <w:rPr>
                <w:iCs/>
                <w:sz w:val="22"/>
                <w:szCs w:val="22"/>
                <w:lang w:val="ro-RO" w:eastAsia="ro-RO"/>
              </w:rPr>
              <w:t>Au prezentat: Magariu, G.; Verlan, T.</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Cs/>
                <w:sz w:val="22"/>
                <w:szCs w:val="22"/>
                <w:lang w:val="ro-RO" w:eastAsia="ro-RO"/>
              </w:rPr>
              <w:t>Stroke predictive models overview: input and output parameters, underlying dataset  and predictive value</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ro-MD"/>
              </w:rPr>
            </w:pPr>
            <w:r>
              <w:rPr>
                <w:rFonts w:cs="Times New Roman CE" w:ascii="Times New Roman CE" w:hAnsi="Times New Roman CE"/>
                <w:sz w:val="22"/>
                <w:szCs w:val="22"/>
                <w:lang w:val="ro-MD"/>
              </w:rPr>
              <w:t>Raport secţie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Cs/>
                <w:sz w:val="22"/>
                <w:szCs w:val="22"/>
                <w:lang w:val="ro-RO" w:eastAsia="ro-RO"/>
              </w:rPr>
              <w:t>International Scientific Conference Mathematics &amp; IT: Research and Education MITRE-2016, Chişinău, 24-25 June 2016</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Cs/>
                <w:sz w:val="22"/>
                <w:szCs w:val="22"/>
                <w:lang w:val="ro-RO" w:eastAsia="ro-RO"/>
              </w:rPr>
              <w:t>Malahov, L.</w:t>
            </w:r>
          </w:p>
          <w:p>
            <w:pPr>
              <w:pStyle w:val="Normal"/>
              <w:widowControl/>
              <w:bidi w:val="0"/>
              <w:ind w:left="0" w:right="0" w:hanging="0"/>
              <w:jc w:val="left"/>
              <w:textAlignment w:val="auto"/>
              <w:rPr>
                <w:rFonts w:ascii="Times New Roman" w:hAnsi="Times New Roman"/>
                <w:iCs/>
                <w:sz w:val="22"/>
                <w:szCs w:val="22"/>
                <w:lang w:val="ro-RO" w:eastAsia="ro-RO"/>
              </w:rPr>
            </w:pPr>
            <w:r>
              <w:rPr>
                <w:iCs/>
                <w:sz w:val="22"/>
                <w:szCs w:val="22"/>
                <w:lang w:val="ro-RO" w:eastAsia="ro-RO"/>
              </w:rPr>
            </w:r>
          </w:p>
          <w:p>
            <w:pPr>
              <w:pStyle w:val="Normal"/>
              <w:widowControl/>
              <w:bidi w:val="0"/>
              <w:ind w:left="0" w:right="0" w:hanging="0"/>
              <w:jc w:val="left"/>
              <w:textAlignment w:val="auto"/>
              <w:rPr>
                <w:lang w:val="fr-FR"/>
              </w:rPr>
            </w:pPr>
            <w:r>
              <w:rPr>
                <w:sz w:val="22"/>
                <w:szCs w:val="22"/>
                <w:lang w:val="fr-FR"/>
              </w:rPr>
              <w:t>A prezentat:</w:t>
            </w:r>
          </w:p>
          <w:p>
            <w:pPr>
              <w:pStyle w:val="Normal"/>
              <w:widowControl/>
              <w:bidi w:val="0"/>
              <w:ind w:left="0" w:right="0" w:hanging="0"/>
              <w:jc w:val="left"/>
              <w:textAlignment w:val="auto"/>
              <w:rPr>
                <w:lang w:val="ro-RO"/>
              </w:rPr>
            </w:pPr>
            <w:r>
              <w:rPr>
                <w:iCs/>
                <w:sz w:val="22"/>
                <w:szCs w:val="22"/>
                <w:lang w:val="ro-RO" w:eastAsia="ro-RO"/>
              </w:rPr>
              <w:t>Malahov, L.</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Cs/>
                <w:sz w:val="22"/>
                <w:szCs w:val="22"/>
                <w:lang w:val="ro-RO" w:eastAsia="ro-RO"/>
              </w:rPr>
              <w:t>În memoria dr. A.F.Danilcenco</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ro-MD"/>
              </w:rPr>
            </w:pPr>
            <w:r>
              <w:rPr>
                <w:sz w:val="22"/>
                <w:szCs w:val="22"/>
                <w:lang w:val="ro-MD"/>
              </w:rPr>
              <w:t>Ra</w:t>
            </w:r>
            <w:r>
              <w:rPr>
                <w:rFonts w:cs="Times New Roman CE" w:ascii="Times New Roman CE" w:hAnsi="Times New Roman CE"/>
                <w:sz w:val="22"/>
                <w:szCs w:val="22"/>
                <w:lang w:val="ro-MD"/>
              </w:rPr>
              <w:t>port secţie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Cs/>
                <w:sz w:val="22"/>
                <w:szCs w:val="22"/>
                <w:lang w:val="ro-RO" w:eastAsia="ro-RO"/>
              </w:rPr>
              <w:t>Festivitate consacrată aniversarii 70 de ani ai AŞM, complexul Vatra, mun. Chi</w:t>
            </w:r>
            <w:r>
              <w:rPr>
                <w:rFonts w:ascii="Cambria Math" w:hAnsi="Cambria Math"/>
                <w:iCs/>
                <w:sz w:val="22"/>
                <w:szCs w:val="22"/>
                <w:lang w:val="ro-RO" w:eastAsia="ro-RO"/>
              </w:rPr>
              <w:t>ș</w:t>
            </w:r>
            <w:r>
              <w:rPr>
                <w:rFonts w:cs="Times New Roman CE" w:ascii="Times New Roman CE" w:hAnsi="Times New Roman CE"/>
                <w:iCs/>
                <w:sz w:val="22"/>
                <w:szCs w:val="22"/>
                <w:lang w:val="ro-RO" w:eastAsia="ro-RO"/>
              </w:rPr>
              <w:t>inău</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Cs/>
                <w:sz w:val="22"/>
                <w:szCs w:val="22"/>
                <w:lang w:val="ro-RO" w:eastAsia="ro-RO"/>
              </w:rPr>
              <w:t xml:space="preserve">A.Colesnicov, </w:t>
            </w:r>
          </w:p>
          <w:p>
            <w:pPr>
              <w:pStyle w:val="Normal"/>
              <w:widowControl/>
              <w:bidi w:val="0"/>
              <w:ind w:left="0" w:right="0" w:hanging="0"/>
              <w:jc w:val="left"/>
              <w:textAlignment w:val="auto"/>
              <w:rPr>
                <w:lang w:val="ro-RO"/>
              </w:rPr>
            </w:pPr>
            <w:r>
              <w:rPr>
                <w:iCs/>
                <w:sz w:val="22"/>
                <w:szCs w:val="22"/>
                <w:lang w:val="ro-RO" w:eastAsia="ro-RO"/>
              </w:rPr>
              <w:t xml:space="preserve">L. Malahov, </w:t>
            </w:r>
          </w:p>
          <w:p>
            <w:pPr>
              <w:pStyle w:val="Normal"/>
              <w:widowControl/>
              <w:bidi w:val="0"/>
              <w:ind w:left="0" w:right="0" w:hanging="0"/>
              <w:jc w:val="left"/>
              <w:textAlignment w:val="auto"/>
              <w:rPr>
                <w:lang w:val="ro-RO"/>
              </w:rPr>
            </w:pPr>
            <w:r>
              <w:rPr>
                <w:iCs/>
                <w:sz w:val="22"/>
                <w:szCs w:val="22"/>
                <w:lang w:val="ro-RO" w:eastAsia="ro-RO"/>
              </w:rPr>
              <w:t xml:space="preserve">T. Bumbu, </w:t>
            </w:r>
          </w:p>
          <w:p>
            <w:pPr>
              <w:pStyle w:val="Normal"/>
              <w:widowControl/>
              <w:bidi w:val="0"/>
              <w:ind w:left="0" w:right="0" w:hanging="0"/>
              <w:jc w:val="left"/>
              <w:textAlignment w:val="auto"/>
              <w:rPr>
                <w:lang w:val="ro-RO"/>
              </w:rPr>
            </w:pPr>
            <w:r>
              <w:rPr>
                <w:rFonts w:cs="Times New Roman CE" w:ascii="Times New Roman CE" w:hAnsi="Times New Roman CE"/>
                <w:iCs/>
                <w:sz w:val="22"/>
                <w:szCs w:val="22"/>
                <w:lang w:val="ro-RO" w:eastAsia="ro-RO"/>
              </w:rPr>
              <w:t xml:space="preserve">Ş. Ungur </w:t>
            </w:r>
          </w:p>
          <w:p>
            <w:pPr>
              <w:pStyle w:val="Normal"/>
              <w:widowControl/>
              <w:bidi w:val="0"/>
              <w:ind w:left="0" w:right="0" w:hanging="0"/>
              <w:jc w:val="left"/>
              <w:textAlignment w:val="auto"/>
              <w:rPr>
                <w:rFonts w:ascii="Times New Roman" w:hAnsi="Times New Roman"/>
                <w:iCs/>
                <w:sz w:val="22"/>
                <w:szCs w:val="22"/>
                <w:lang w:val="ro-RO" w:eastAsia="ro-RO"/>
              </w:rPr>
            </w:pPr>
            <w:r>
              <w:rPr>
                <w:iCs/>
                <w:sz w:val="22"/>
                <w:szCs w:val="22"/>
                <w:lang w:val="ro-RO" w:eastAsia="ro-RO"/>
              </w:rPr>
            </w:r>
          </w:p>
          <w:p>
            <w:pPr>
              <w:pStyle w:val="Normal"/>
              <w:widowControl/>
              <w:bidi w:val="0"/>
              <w:ind w:left="0" w:right="0" w:hanging="0"/>
              <w:jc w:val="left"/>
              <w:textAlignment w:val="auto"/>
              <w:rPr>
                <w:lang w:val="ro-RO"/>
              </w:rPr>
            </w:pPr>
            <w:r>
              <w:rPr>
                <w:iCs/>
                <w:sz w:val="22"/>
                <w:szCs w:val="22"/>
                <w:lang w:val="ro-RO" w:eastAsia="ro-RO"/>
              </w:rPr>
              <w:t>Demonstrarea produsului program</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iCs/>
                <w:sz w:val="22"/>
                <w:szCs w:val="22"/>
                <w:lang w:val="en-US" w:eastAsia="ro-RO"/>
              </w:rPr>
              <w:t>Convertor for Romanian Printed Texts of the 18th–20th Centuries</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ro-MD"/>
              </w:rPr>
            </w:pPr>
            <w:r>
              <w:rPr>
                <w:rFonts w:cs="Times New Roman CE" w:ascii="Times New Roman CE" w:hAnsi="Times New Roman CE"/>
                <w:sz w:val="22"/>
                <w:szCs w:val="22"/>
                <w:lang w:val="ro-MD"/>
              </w:rPr>
              <w:t>Raport secţie</w:t>
            </w:r>
          </w:p>
        </w:tc>
      </w:tr>
      <w:tr>
        <w:trPr/>
        <w:tc>
          <w:tcPr>
            <w:tcW w:w="35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iCs/>
                <w:sz w:val="22"/>
                <w:szCs w:val="22"/>
                <w:lang w:val="ro-RO" w:eastAsia="ro-RO"/>
              </w:rPr>
              <w:t>Noaptea Cercetătorilor Europeni, 24 septembrie, 2016, Chişinău.</w:t>
            </w:r>
          </w:p>
        </w:tc>
        <w:tc>
          <w:tcPr>
            <w:tcW w:w="205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iCs/>
                <w:sz w:val="22"/>
                <w:szCs w:val="22"/>
                <w:lang w:val="ro-RO" w:eastAsia="ro-RO"/>
              </w:rPr>
              <w:t xml:space="preserve">A.Colesnicov, </w:t>
            </w:r>
          </w:p>
          <w:p>
            <w:pPr>
              <w:pStyle w:val="Normal"/>
              <w:widowControl/>
              <w:bidi w:val="0"/>
              <w:ind w:left="0" w:right="0" w:hanging="0"/>
              <w:jc w:val="left"/>
              <w:textAlignment w:val="auto"/>
              <w:rPr>
                <w:lang w:val="ro-RO"/>
              </w:rPr>
            </w:pPr>
            <w:r>
              <w:rPr>
                <w:iCs/>
                <w:sz w:val="22"/>
                <w:szCs w:val="22"/>
                <w:lang w:val="ro-RO" w:eastAsia="ro-RO"/>
              </w:rPr>
              <w:t xml:space="preserve">L. Malahov, </w:t>
            </w:r>
          </w:p>
          <w:p>
            <w:pPr>
              <w:pStyle w:val="Normal"/>
              <w:widowControl/>
              <w:bidi w:val="0"/>
              <w:ind w:left="0" w:right="0" w:hanging="0"/>
              <w:jc w:val="left"/>
              <w:textAlignment w:val="auto"/>
              <w:rPr>
                <w:lang w:val="ro-RO"/>
              </w:rPr>
            </w:pPr>
            <w:r>
              <w:rPr>
                <w:iCs/>
                <w:sz w:val="22"/>
                <w:szCs w:val="22"/>
                <w:lang w:val="ro-RO" w:eastAsia="ro-RO"/>
              </w:rPr>
              <w:t xml:space="preserve">T. Bumbu, </w:t>
            </w:r>
          </w:p>
          <w:p>
            <w:pPr>
              <w:pStyle w:val="Normal"/>
              <w:widowControl/>
              <w:bidi w:val="0"/>
              <w:ind w:left="0" w:right="0" w:hanging="0"/>
              <w:jc w:val="left"/>
              <w:textAlignment w:val="auto"/>
              <w:rPr>
                <w:lang w:val="ro-RO"/>
              </w:rPr>
            </w:pPr>
            <w:r>
              <w:rPr>
                <w:rFonts w:cs="Times New Roman CE" w:ascii="Times New Roman CE" w:hAnsi="Times New Roman CE"/>
                <w:iCs/>
                <w:sz w:val="22"/>
                <w:szCs w:val="22"/>
                <w:lang w:val="ro-RO" w:eastAsia="ro-RO"/>
              </w:rPr>
              <w:t xml:space="preserve">Ş. Ungur </w:t>
            </w:r>
          </w:p>
          <w:p>
            <w:pPr>
              <w:pStyle w:val="Normal"/>
              <w:widowControl/>
              <w:bidi w:val="0"/>
              <w:ind w:left="0" w:right="0" w:hanging="0"/>
              <w:jc w:val="left"/>
              <w:textAlignment w:val="auto"/>
              <w:rPr>
                <w:rFonts w:ascii="Times New Roman" w:hAnsi="Times New Roman"/>
                <w:iCs/>
                <w:sz w:val="22"/>
                <w:szCs w:val="22"/>
                <w:lang w:val="ro-RO" w:eastAsia="ro-RO"/>
              </w:rPr>
            </w:pPr>
            <w:r>
              <w:rPr>
                <w:iCs/>
                <w:sz w:val="22"/>
                <w:szCs w:val="22"/>
                <w:lang w:val="ro-RO" w:eastAsia="ro-RO"/>
              </w:rPr>
            </w:r>
          </w:p>
          <w:p>
            <w:pPr>
              <w:pStyle w:val="Normal"/>
              <w:widowControl/>
              <w:bidi w:val="0"/>
              <w:ind w:left="0" w:right="0" w:hanging="0"/>
              <w:jc w:val="left"/>
              <w:textAlignment w:val="auto"/>
              <w:rPr>
                <w:lang w:val="ro-RO"/>
              </w:rPr>
            </w:pPr>
            <w:r>
              <w:rPr>
                <w:iCs/>
                <w:sz w:val="22"/>
                <w:szCs w:val="22"/>
                <w:lang w:val="ro-RO" w:eastAsia="ro-RO"/>
              </w:rPr>
              <w:t>Demonstrarea produsului program</w:t>
            </w:r>
          </w:p>
        </w:tc>
        <w:tc>
          <w:tcPr>
            <w:tcW w:w="371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iCs/>
                <w:sz w:val="22"/>
                <w:szCs w:val="22"/>
                <w:lang w:val="en-US" w:eastAsia="ro-RO"/>
              </w:rPr>
              <w:t>Convertor for Romanian Printed Texts of the 18th–20th Centuries</w:t>
            </w:r>
          </w:p>
        </w:tc>
        <w:tc>
          <w:tcPr>
            <w:tcW w:w="127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ro-MD"/>
              </w:rPr>
            </w:pPr>
            <w:r>
              <w:rPr>
                <w:rFonts w:cs="Times New Roman CE" w:ascii="Times New Roman CE" w:hAnsi="Times New Roman CE"/>
                <w:sz w:val="22"/>
                <w:szCs w:val="22"/>
                <w:lang w:val="ro-MD"/>
              </w:rPr>
              <w:t>Raport secţie</w:t>
            </w:r>
          </w:p>
        </w:tc>
      </w:tr>
    </w:tbl>
    <w:p>
      <w:pPr>
        <w:pStyle w:val="Normal"/>
        <w:widowControl/>
        <w:bidi w:val="0"/>
        <w:ind w:left="0" w:right="0" w:hanging="0"/>
        <w:jc w:val="left"/>
        <w:textAlignment w:val="auto"/>
        <w:rPr>
          <w:rFonts w:ascii="Times New Roman" w:hAnsi="Times New Roman"/>
          <w:lang w:val="ro-RO"/>
        </w:rPr>
      </w:pPr>
      <w:r>
        <w:rPr>
          <w:lang w:val="ro-RO"/>
        </w:rPr>
      </w:r>
    </w:p>
    <w:tbl>
      <w:tblPr>
        <w:tblW w:w="10140" w:type="dxa"/>
        <w:jc w:val="left"/>
        <w:tblInd w:w="-28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3" w:type="dxa"/>
          <w:bottom w:w="0" w:type="dxa"/>
          <w:right w:w="108" w:type="dxa"/>
        </w:tblCellMar>
      </w:tblPr>
      <w:tblGrid>
        <w:gridCol w:w="3379"/>
        <w:gridCol w:w="2824"/>
        <w:gridCol w:w="2268"/>
        <w:gridCol w:w="1668"/>
      </w:tblGrid>
      <w:tr>
        <w:trPr/>
        <w:tc>
          <w:tcPr>
            <w:tcW w:w="10139"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1"/>
              <w:widowControl/>
              <w:bidi w:val="0"/>
              <w:spacing w:lineRule="auto" w:line="276" w:before="0" w:after="200"/>
              <w:ind w:left="0" w:right="0" w:hanging="0"/>
              <w:contextualSpacing/>
              <w:jc w:val="both"/>
              <w:textAlignment w:val="auto"/>
              <w:rPr>
                <w:lang w:val="ro-RO"/>
              </w:rPr>
            </w:pPr>
            <w:r>
              <w:rPr>
                <w:rFonts w:cs="Times New Roman CE" w:ascii="Times New Roman CE" w:hAnsi="Times New Roman CE"/>
                <w:b/>
                <w:lang w:val="ro-RO"/>
              </w:rPr>
              <w:t>Participări în activitatea g</w:t>
            </w:r>
            <w:r>
              <w:rPr>
                <w:b/>
                <w:lang w:val="ro-RO"/>
              </w:rPr>
              <w:t>rupurilor de lucru instituite de ministere, departamente</w:t>
            </w:r>
          </w:p>
        </w:tc>
      </w:tr>
      <w:tr>
        <w:trPr/>
        <w:tc>
          <w:tcPr>
            <w:tcW w:w="33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1"/>
              <w:widowControl/>
              <w:bidi w:val="0"/>
              <w:spacing w:lineRule="auto" w:line="276" w:before="0" w:after="200"/>
              <w:ind w:left="0" w:right="0" w:hanging="0"/>
              <w:contextualSpacing/>
              <w:jc w:val="left"/>
              <w:textAlignment w:val="auto"/>
              <w:rPr>
                <w:lang w:val="ro-RO"/>
              </w:rPr>
            </w:pPr>
            <w:r>
              <w:rPr>
                <w:rFonts w:cs="Times New Roman CE" w:ascii="Times New Roman CE" w:hAnsi="Times New Roman CE"/>
                <w:lang w:val="ro-RO"/>
              </w:rPr>
              <w:t>Denumirea manifestări ştiinţifice, expoziţii, work-shopu-uir, tîrguri, mese rotunde</w:t>
            </w:r>
          </w:p>
        </w:tc>
        <w:tc>
          <w:tcPr>
            <w:tcW w:w="282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1"/>
              <w:widowControl/>
              <w:bidi w:val="0"/>
              <w:spacing w:lineRule="auto" w:line="276" w:before="0" w:after="200"/>
              <w:ind w:left="0" w:right="0" w:hanging="0"/>
              <w:contextualSpacing/>
              <w:jc w:val="both"/>
              <w:textAlignment w:val="auto"/>
              <w:rPr>
                <w:lang w:val="ro-RO"/>
              </w:rPr>
            </w:pPr>
            <w:r>
              <w:rPr>
                <w:rFonts w:cs="Times New Roman CE" w:ascii="Times New Roman CE" w:hAnsi="Times New Roman CE"/>
                <w:lang w:val="ro-RO"/>
              </w:rPr>
              <w:t xml:space="preserve"> </w:t>
            </w:r>
            <w:r>
              <w:rPr>
                <w:rFonts w:cs="Times New Roman CE" w:ascii="Times New Roman CE" w:hAnsi="Times New Roman CE"/>
                <w:lang w:val="ro-RO"/>
              </w:rPr>
              <w:t xml:space="preserve">Participanţii </w:t>
            </w:r>
          </w:p>
        </w:tc>
        <w:tc>
          <w:tcPr>
            <w:tcW w:w="22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1"/>
              <w:widowControl/>
              <w:bidi w:val="0"/>
              <w:spacing w:lineRule="auto" w:line="276" w:before="0" w:after="200"/>
              <w:ind w:left="0" w:right="0" w:hanging="0"/>
              <w:contextualSpacing/>
              <w:jc w:val="both"/>
              <w:textAlignment w:val="auto"/>
              <w:rPr>
                <w:lang w:val="ro-RO"/>
              </w:rPr>
            </w:pPr>
            <w:r>
              <w:rPr>
                <w:rFonts w:cs="Times New Roman CE" w:ascii="Times New Roman CE" w:hAnsi="Times New Roman CE"/>
                <w:lang w:val="ro-RO"/>
              </w:rPr>
              <w:t>Tematica prezentărilor</w:t>
            </w:r>
          </w:p>
        </w:tc>
        <w:tc>
          <w:tcPr>
            <w:tcW w:w="16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1"/>
              <w:widowControl/>
              <w:bidi w:val="0"/>
              <w:spacing w:lineRule="auto" w:line="276" w:before="0" w:after="200"/>
              <w:ind w:left="0" w:right="0" w:hanging="0"/>
              <w:contextualSpacing/>
              <w:jc w:val="both"/>
              <w:textAlignment w:val="auto"/>
              <w:rPr>
                <w:lang w:val="ro-RO"/>
              </w:rPr>
            </w:pPr>
            <w:r>
              <w:rPr>
                <w:rFonts w:cs="Times New Roman CE" w:ascii="Times New Roman CE" w:hAnsi="Times New Roman CE"/>
                <w:lang w:val="ro-RO"/>
              </w:rPr>
              <w:t>Distincţii obţinute</w:t>
            </w:r>
          </w:p>
        </w:tc>
      </w:tr>
      <w:tr>
        <w:trPr/>
        <w:tc>
          <w:tcPr>
            <w:tcW w:w="33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rFonts w:cs="Times New Roman CE" w:ascii="Times New Roman CE" w:hAnsi="Times New Roman CE"/>
                <w:lang w:val="ro-RO"/>
              </w:rPr>
              <w:t xml:space="preserve">Comitetul Olimpic Republican de Matematică </w:t>
            </w:r>
            <w:r>
              <w:rPr>
                <w:lang w:val="ro-RO"/>
              </w:rPr>
              <w:t> (Ministeru</w:t>
            </w:r>
            <w:r>
              <w:rPr>
                <w:rFonts w:cs="Times New Roman CE" w:ascii="Times New Roman CE" w:hAnsi="Times New Roman CE"/>
                <w:lang w:val="ro-RO"/>
              </w:rPr>
              <w:t>l Educaţiei)</w:t>
            </w:r>
          </w:p>
          <w:p>
            <w:pPr>
              <w:pStyle w:val="Normal"/>
              <w:widowControl/>
              <w:bidi w:val="0"/>
              <w:ind w:left="0" w:right="0" w:hanging="0"/>
              <w:jc w:val="both"/>
              <w:textAlignment w:val="auto"/>
              <w:rPr>
                <w:rFonts w:ascii="Times New Roman" w:hAnsi="Times New Roman"/>
                <w:lang w:val="ro-RO"/>
              </w:rPr>
            </w:pPr>
            <w:r>
              <w:rPr>
                <w:lang w:val="ro-RO"/>
              </w:rPr>
            </w:r>
          </w:p>
          <w:p>
            <w:pPr>
              <w:pStyle w:val="Normal"/>
              <w:widowControl/>
              <w:bidi w:val="0"/>
              <w:ind w:left="0" w:right="0" w:hanging="0"/>
              <w:jc w:val="both"/>
              <w:textAlignment w:val="auto"/>
              <w:rPr>
                <w:rFonts w:ascii="Times New Roman" w:hAnsi="Times New Roman"/>
                <w:lang w:val="ro-RO"/>
              </w:rPr>
            </w:pPr>
            <w:r>
              <w:rPr>
                <w:lang w:val="ro-RO"/>
              </w:rPr>
            </w:r>
          </w:p>
          <w:p>
            <w:pPr>
              <w:pStyle w:val="Normal"/>
              <w:widowControl/>
              <w:bidi w:val="0"/>
              <w:ind w:left="0" w:right="0" w:hanging="0"/>
              <w:jc w:val="both"/>
              <w:textAlignment w:val="auto"/>
              <w:rPr>
                <w:rFonts w:ascii="Times New Roman" w:hAnsi="Times New Roman"/>
                <w:lang w:val="ro-RO"/>
              </w:rPr>
            </w:pPr>
            <w:r>
              <w:rPr>
                <w:lang w:val="ro-RO"/>
              </w:rPr>
            </w:r>
          </w:p>
          <w:p>
            <w:pPr>
              <w:pStyle w:val="Normal"/>
              <w:widowControl/>
              <w:bidi w:val="0"/>
              <w:ind w:left="0" w:right="0" w:hanging="0"/>
              <w:jc w:val="both"/>
              <w:textAlignment w:val="auto"/>
              <w:rPr>
                <w:rFonts w:ascii="Times New Roman" w:hAnsi="Times New Roman"/>
                <w:lang w:val="ro-RO"/>
              </w:rPr>
            </w:pPr>
            <w:r>
              <w:rPr>
                <w:lang w:val="ro-RO"/>
              </w:rPr>
            </w:r>
          </w:p>
          <w:p>
            <w:pPr>
              <w:pStyle w:val="Normal"/>
              <w:widowControl/>
              <w:bidi w:val="0"/>
              <w:ind w:left="0" w:right="0" w:hanging="0"/>
              <w:jc w:val="both"/>
              <w:textAlignment w:val="auto"/>
              <w:rPr>
                <w:rFonts w:ascii="Times New Roman" w:hAnsi="Times New Roman"/>
                <w:lang w:val="ro-RO"/>
              </w:rPr>
            </w:pPr>
            <w:r>
              <w:rPr>
                <w:lang w:val="ro-RO"/>
              </w:rPr>
            </w:r>
          </w:p>
          <w:p>
            <w:pPr>
              <w:pStyle w:val="Normal"/>
              <w:widowControl/>
              <w:bidi w:val="0"/>
              <w:ind w:left="0" w:right="0" w:hanging="0"/>
              <w:jc w:val="both"/>
              <w:textAlignment w:val="auto"/>
              <w:rPr>
                <w:rFonts w:ascii="Times New Roman" w:hAnsi="Times New Roman"/>
                <w:lang w:val="ro-RO"/>
              </w:rPr>
            </w:pPr>
            <w:r>
              <w:rPr>
                <w:lang w:val="ro-RO"/>
              </w:rPr>
            </w:r>
          </w:p>
          <w:p>
            <w:pPr>
              <w:pStyle w:val="Normal"/>
              <w:widowControl/>
              <w:bidi w:val="0"/>
              <w:ind w:left="0" w:right="0" w:hanging="0"/>
              <w:jc w:val="both"/>
              <w:textAlignment w:val="auto"/>
              <w:rPr>
                <w:rFonts w:ascii="Times New Roman" w:hAnsi="Times New Roman"/>
                <w:lang w:val="ro-RO"/>
              </w:rPr>
            </w:pPr>
            <w:r>
              <w:rPr>
                <w:lang w:val="ro-RO"/>
              </w:rPr>
            </w:r>
          </w:p>
          <w:p>
            <w:pPr>
              <w:pStyle w:val="Normal"/>
              <w:widowControl/>
              <w:bidi w:val="0"/>
              <w:ind w:left="0" w:right="0" w:hanging="0"/>
              <w:jc w:val="both"/>
              <w:textAlignment w:val="auto"/>
              <w:rPr>
                <w:rFonts w:ascii="Times New Roman" w:hAnsi="Times New Roman"/>
                <w:lang w:val="ro-RO"/>
              </w:rPr>
            </w:pPr>
            <w:r>
              <w:rPr>
                <w:lang w:val="ro-RO"/>
              </w:rPr>
            </w:r>
          </w:p>
          <w:p>
            <w:pPr>
              <w:pStyle w:val="Normal"/>
              <w:widowControl/>
              <w:bidi w:val="0"/>
              <w:ind w:left="0" w:right="0" w:hanging="0"/>
              <w:jc w:val="both"/>
              <w:textAlignment w:val="auto"/>
              <w:rPr>
                <w:rFonts w:ascii="Times New Roman" w:hAnsi="Times New Roman"/>
                <w:lang w:val="ro-RO"/>
              </w:rPr>
            </w:pPr>
            <w:r>
              <w:rPr>
                <w:lang w:val="ro-RO"/>
              </w:rPr>
            </w:r>
          </w:p>
          <w:p>
            <w:pPr>
              <w:pStyle w:val="Normal"/>
              <w:widowControl/>
              <w:bidi w:val="0"/>
              <w:ind w:left="0" w:right="0" w:hanging="0"/>
              <w:jc w:val="both"/>
              <w:textAlignment w:val="auto"/>
              <w:rPr>
                <w:rFonts w:ascii="Times New Roman" w:hAnsi="Times New Roman"/>
                <w:lang w:val="ro-RO"/>
              </w:rPr>
            </w:pPr>
            <w:r>
              <w:rPr>
                <w:lang w:val="ro-RO"/>
              </w:rPr>
            </w:r>
          </w:p>
          <w:p>
            <w:pPr>
              <w:pStyle w:val="Normal"/>
              <w:widowControl/>
              <w:bidi w:val="0"/>
              <w:ind w:left="0" w:right="0" w:hanging="0"/>
              <w:jc w:val="both"/>
              <w:textAlignment w:val="auto"/>
              <w:rPr>
                <w:rFonts w:ascii="Times New Roman" w:hAnsi="Times New Roman"/>
                <w:lang w:val="ro-RO"/>
              </w:rPr>
            </w:pPr>
            <w:r>
              <w:rPr>
                <w:lang w:val="ro-RO"/>
              </w:rPr>
            </w:r>
          </w:p>
          <w:p>
            <w:pPr>
              <w:pStyle w:val="Normal"/>
              <w:widowControl/>
              <w:bidi w:val="0"/>
              <w:ind w:left="0" w:right="0" w:hanging="0"/>
              <w:jc w:val="both"/>
              <w:textAlignment w:val="auto"/>
              <w:rPr>
                <w:rFonts w:ascii="Times New Roman" w:hAnsi="Times New Roman"/>
                <w:lang w:val="ro-RO"/>
              </w:rPr>
            </w:pPr>
            <w:r>
              <w:rPr>
                <w:lang w:val="ro-RO"/>
              </w:rPr>
            </w:r>
          </w:p>
          <w:p>
            <w:pPr>
              <w:pStyle w:val="Normal"/>
              <w:widowControl/>
              <w:bidi w:val="0"/>
              <w:ind w:left="0" w:right="0" w:hanging="0"/>
              <w:jc w:val="both"/>
              <w:textAlignment w:val="auto"/>
              <w:rPr>
                <w:rFonts w:ascii="Times New Roman" w:hAnsi="Times New Roman"/>
                <w:lang w:val="ro-RO"/>
              </w:rPr>
            </w:pPr>
            <w:r>
              <w:rPr>
                <w:lang w:val="ro-RO"/>
              </w:rPr>
            </w:r>
          </w:p>
          <w:p>
            <w:pPr>
              <w:pStyle w:val="Normal"/>
              <w:widowControl/>
              <w:bidi w:val="0"/>
              <w:ind w:left="0" w:right="0" w:hanging="0"/>
              <w:jc w:val="both"/>
              <w:textAlignment w:val="auto"/>
              <w:rPr>
                <w:rFonts w:ascii="Times New Roman" w:hAnsi="Times New Roman"/>
                <w:lang w:val="ro-RO"/>
              </w:rPr>
            </w:pPr>
            <w:r>
              <w:rPr>
                <w:lang w:val="ro-RO"/>
              </w:rPr>
            </w:r>
          </w:p>
          <w:p>
            <w:pPr>
              <w:pStyle w:val="Normal"/>
              <w:widowControl/>
              <w:bidi w:val="0"/>
              <w:ind w:left="0" w:right="0" w:hanging="0"/>
              <w:jc w:val="both"/>
              <w:textAlignment w:val="auto"/>
              <w:rPr>
                <w:rFonts w:ascii="Times New Roman" w:hAnsi="Times New Roman"/>
                <w:lang w:val="ro-RO"/>
              </w:rPr>
            </w:pPr>
            <w:r>
              <w:rPr>
                <w:lang w:val="ro-RO"/>
              </w:rPr>
            </w:r>
          </w:p>
          <w:p>
            <w:pPr>
              <w:pStyle w:val="Normal"/>
              <w:widowControl/>
              <w:bidi w:val="0"/>
              <w:ind w:left="0" w:right="0" w:hanging="0"/>
              <w:jc w:val="both"/>
              <w:textAlignment w:val="auto"/>
              <w:rPr>
                <w:rFonts w:ascii="Times New Roman" w:hAnsi="Times New Roman"/>
                <w:lang w:val="ro-RO"/>
              </w:rPr>
            </w:pPr>
            <w:r>
              <w:rPr>
                <w:lang w:val="ro-RO"/>
              </w:rPr>
            </w:r>
          </w:p>
          <w:p>
            <w:pPr>
              <w:pStyle w:val="Normal"/>
              <w:widowControl/>
              <w:bidi w:val="0"/>
              <w:ind w:left="0" w:right="0" w:hanging="0"/>
              <w:jc w:val="both"/>
              <w:textAlignment w:val="auto"/>
              <w:rPr>
                <w:rFonts w:ascii="Times New Roman" w:hAnsi="Times New Roman"/>
                <w:lang w:val="ro-RO"/>
              </w:rPr>
            </w:pPr>
            <w:r>
              <w:rPr>
                <w:lang w:val="ro-RO"/>
              </w:rPr>
            </w:r>
          </w:p>
          <w:p>
            <w:pPr>
              <w:pStyle w:val="Normal"/>
              <w:widowControl/>
              <w:bidi w:val="0"/>
              <w:ind w:left="0" w:right="0" w:hanging="0"/>
              <w:jc w:val="both"/>
              <w:textAlignment w:val="auto"/>
              <w:rPr>
                <w:lang w:val="ro-RO"/>
              </w:rPr>
            </w:pPr>
            <w:r>
              <w:rPr>
                <w:rFonts w:cs="Times New Roman CE" w:ascii="Times New Roman CE" w:hAnsi="Times New Roman CE"/>
                <w:lang w:val="ro-RO"/>
              </w:rPr>
              <w:t>Olimpiada Internaţională de Matematică, Hon-Kong</w:t>
            </w:r>
          </w:p>
          <w:p>
            <w:pPr>
              <w:pStyle w:val="Normal"/>
              <w:widowControl/>
              <w:bidi w:val="0"/>
              <w:ind w:left="0" w:right="0" w:hanging="0"/>
              <w:jc w:val="both"/>
              <w:textAlignment w:val="auto"/>
              <w:rPr>
                <w:rFonts w:ascii="Times New Roman" w:hAnsi="Times New Roman"/>
                <w:lang w:val="ro-RO"/>
              </w:rPr>
            </w:pPr>
            <w:r>
              <w:rPr>
                <w:lang w:val="ro-RO"/>
              </w:rPr>
            </w:r>
          </w:p>
          <w:p>
            <w:pPr>
              <w:pStyle w:val="Normal"/>
              <w:widowControl/>
              <w:bidi w:val="0"/>
              <w:ind w:left="0" w:right="0" w:hanging="0"/>
              <w:jc w:val="both"/>
              <w:textAlignment w:val="auto"/>
              <w:rPr>
                <w:rFonts w:ascii="Times New Roman" w:hAnsi="Times New Roman"/>
                <w:lang w:val="ro-RO"/>
              </w:rPr>
            </w:pPr>
            <w:r>
              <w:rPr>
                <w:lang w:val="ro-RO"/>
              </w:rPr>
            </w:r>
          </w:p>
          <w:p>
            <w:pPr>
              <w:pStyle w:val="Normal"/>
              <w:widowControl/>
              <w:bidi w:val="0"/>
              <w:ind w:left="0" w:right="0" w:hanging="0"/>
              <w:jc w:val="both"/>
              <w:textAlignment w:val="auto"/>
              <w:rPr>
                <w:lang w:val="ro-RO"/>
              </w:rPr>
            </w:pPr>
            <w:r>
              <w:rPr>
                <w:rFonts w:cs="Times New Roman CE" w:ascii="Times New Roman CE" w:hAnsi="Times New Roman CE"/>
                <w:lang w:val="ro-RO"/>
              </w:rPr>
              <w:t>Comisia Republicană de Examinare a Contestaţiilor, Sesiunea de Bacalaureat 2016 (Matematica)  (Ministerul Educaţiei)</w:t>
            </w:r>
          </w:p>
          <w:p>
            <w:pPr>
              <w:pStyle w:val="Normal"/>
              <w:widowControl/>
              <w:bidi w:val="0"/>
              <w:ind w:left="0" w:right="0" w:hanging="0"/>
              <w:jc w:val="both"/>
              <w:textAlignment w:val="auto"/>
              <w:rPr>
                <w:rFonts w:ascii="Times New Roman" w:hAnsi="Times New Roman"/>
                <w:lang w:val="ro-RO"/>
              </w:rPr>
            </w:pPr>
            <w:r>
              <w:rPr>
                <w:lang w:val="ro-RO"/>
              </w:rPr>
            </w:r>
          </w:p>
          <w:p>
            <w:pPr>
              <w:pStyle w:val="Normal"/>
              <w:widowControl/>
              <w:bidi w:val="0"/>
              <w:spacing w:lineRule="auto" w:line="276"/>
              <w:ind w:left="0" w:right="0" w:hanging="0"/>
              <w:jc w:val="both"/>
              <w:textAlignment w:val="auto"/>
              <w:rPr>
                <w:lang w:val="ro-RO"/>
              </w:rPr>
            </w:pPr>
            <w:r>
              <w:rPr>
                <w:lang w:val="ro-RO"/>
              </w:rPr>
              <w:t>Comisia pentru examenul de licen</w:t>
            </w:r>
            <w:r>
              <w:rPr>
                <w:rFonts w:cs="Times New Roman CE" w:ascii="Times New Roman CE" w:hAnsi="Times New Roman CE"/>
                <w:lang w:val="ro-RO"/>
              </w:rPr>
              <w:t>ţă Specialităţ</w:t>
            </w:r>
            <w:r>
              <w:rPr>
                <w:lang w:val="ro-RO"/>
              </w:rPr>
              <w:t>ile Matemat</w:t>
            </w:r>
            <w:r>
              <w:rPr>
                <w:rFonts w:cs="Times New Roman CE" w:ascii="Times New Roman CE" w:hAnsi="Times New Roman CE"/>
                <w:lang w:val="ro-RO"/>
              </w:rPr>
              <w:t>ică şi Matematică aplicată , USM, 2016, extras din ordin nr. 70 din 29.04.2016 al Ministerului Educaţ</w:t>
            </w:r>
            <w:r>
              <w:rPr>
                <w:lang w:val="ro-RO"/>
              </w:rPr>
              <w:t xml:space="preserve">iei al Republicii Moldova. </w:t>
            </w:r>
          </w:p>
          <w:p>
            <w:pPr>
              <w:pStyle w:val="Normal"/>
              <w:widowControl/>
              <w:bidi w:val="0"/>
              <w:ind w:left="0" w:right="0" w:hanging="0"/>
              <w:jc w:val="left"/>
              <w:textAlignment w:val="auto"/>
              <w:rPr>
                <w:lang w:val="ro-RO"/>
              </w:rPr>
            </w:pPr>
            <w:r>
              <w:rPr>
                <w:lang w:val="ro-RO"/>
              </w:rPr>
              <w:t>Comisia</w:t>
            </w:r>
            <w:r>
              <w:rPr>
                <w:rFonts w:cs="Times New Roman CE" w:ascii="Times New Roman CE" w:hAnsi="Times New Roman CE"/>
                <w:lang w:val="ro-RO"/>
              </w:rPr>
              <w:t xml:space="preserve"> pentru evaluarea tezelor de master Specialităţile Matematică şi Matematică aplicată , USM, 2016, extras din ordin nr. 7</w:t>
            </w:r>
            <w:r>
              <w:rPr>
                <w:lang w:val="ro-RO"/>
              </w:rPr>
              <w:t>1 din 29.04.2016 al Ministerului Educa</w:t>
            </w:r>
            <w:r>
              <w:rPr>
                <w:rFonts w:cs="Times New Roman CE" w:ascii="Times New Roman CE" w:hAnsi="Times New Roman CE"/>
                <w:lang w:val="ro-RO"/>
              </w:rPr>
              <w:t>ţ</w:t>
            </w:r>
            <w:r>
              <w:rPr>
                <w:lang w:val="ro-RO"/>
              </w:rPr>
              <w:t>iei al Republicii Moldova.</w:t>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lang w:val="fr-FR"/>
              </w:rPr>
            </w:pPr>
            <w:r>
              <w:rPr>
                <w:lang w:val="fr-FR"/>
              </w:rPr>
              <w:t xml:space="preserve">Comisia pentru examenul Minimum de specialitate  (D. Ceban, I. Grecu),-  USM,  2016 </w:t>
            </w:r>
          </w:p>
        </w:tc>
        <w:tc>
          <w:tcPr>
            <w:tcW w:w="282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lang w:val="ro-RO"/>
              </w:rPr>
              <w:t>Izbaş V., dr.  în şt.f.- m.</w:t>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lang w:val="ro-RO"/>
              </w:rPr>
            </w:pPr>
            <w:r>
              <w:rPr>
                <w:rFonts w:cs="Times New Roman CE" w:ascii="Times New Roman CE" w:hAnsi="Times New Roman CE"/>
                <w:lang w:val="ro-RO"/>
              </w:rPr>
              <w:t>Cuzneţov E.</w:t>
            </w:r>
            <w:r>
              <w:rPr>
                <w:lang w:val="ro-RO"/>
              </w:rPr>
              <w:t xml:space="preserve">, </w:t>
            </w:r>
            <w:r>
              <w:rPr>
                <w:rFonts w:cs="Times New Roman CE" w:ascii="Times New Roman CE" w:hAnsi="Times New Roman CE"/>
                <w:lang w:val="ro-RO"/>
              </w:rPr>
              <w:t>dr.  în şt.f.- m.</w:t>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pPr>
            <w:r>
              <w:rPr>
                <w:lang w:val="ro-RO"/>
              </w:rPr>
              <w:t xml:space="preserve">Damian F., </w:t>
            </w:r>
            <w:r>
              <w:rPr>
                <w:rFonts w:cs="Times New Roman CE" w:ascii="Times New Roman CE" w:hAnsi="Times New Roman CE"/>
                <w:lang w:val="ro-RO"/>
              </w:rPr>
              <w:t>dr.  în şt.f.- m.</w:t>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pPr>
            <w:r>
              <w:rPr>
                <w:lang w:val="ro-RO"/>
              </w:rPr>
              <w:t>Jardan I.</w:t>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lang w:val="ro-RO"/>
              </w:rPr>
            </w:pPr>
            <w:r>
              <w:rPr>
                <w:rFonts w:cs="Times New Roman CE" w:ascii="Times New Roman CE" w:hAnsi="Times New Roman CE"/>
                <w:lang w:val="ro-RO"/>
              </w:rPr>
              <w:t>Izbaş V., dr.  în şt.f.- m.</w:t>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lang w:val="ro-RO"/>
              </w:rPr>
            </w:pPr>
            <w:r>
              <w:rPr>
                <w:rFonts w:cs="Times New Roman CE" w:ascii="Times New Roman CE" w:hAnsi="Times New Roman CE"/>
                <w:lang w:val="ro-RO"/>
              </w:rPr>
              <w:t>Izbaş V., dr.  în şt.f.- m.</w:t>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lang w:val="ro-RO"/>
              </w:rPr>
            </w:pPr>
            <w:r>
              <w:rPr>
                <w:rFonts w:cs="Times New Roman CE" w:ascii="Times New Roman CE" w:hAnsi="Times New Roman CE"/>
                <w:lang w:val="ro-RO"/>
              </w:rPr>
              <w:t>Izbaş V., dr.  în şt.f.- m.</w:t>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lang w:val="ro-RO"/>
              </w:rPr>
            </w:pPr>
            <w:r>
              <w:rPr>
                <w:rFonts w:cs="Times New Roman CE" w:ascii="Times New Roman CE" w:hAnsi="Times New Roman CE"/>
                <w:lang w:val="ro-RO"/>
              </w:rPr>
              <w:t>Izbaş V., dr.  în şt.f.- m.</w:t>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lang w:val="ro-RO"/>
              </w:rPr>
            </w:pPr>
            <w:r>
              <w:rPr>
                <w:rFonts w:cs="Times New Roman CE" w:ascii="Times New Roman CE" w:hAnsi="Times New Roman CE"/>
                <w:lang w:val="ro-RO"/>
              </w:rPr>
              <w:t>Caşu A.,  dr. hab. în şt.f.-m.</w:t>
            </w:r>
          </w:p>
          <w:p>
            <w:pPr>
              <w:pStyle w:val="Normal"/>
              <w:widowControl/>
              <w:bidi w:val="0"/>
              <w:ind w:left="0" w:right="0" w:hanging="0"/>
              <w:jc w:val="left"/>
              <w:textAlignment w:val="auto"/>
              <w:rPr>
                <w:rFonts w:ascii="Times New Roman" w:hAnsi="Times New Roman"/>
                <w:lang w:val="ro-RO"/>
              </w:rPr>
            </w:pPr>
            <w:r>
              <w:rPr>
                <w:lang w:val="ro-RO"/>
              </w:rPr>
            </w:r>
          </w:p>
        </w:tc>
        <w:tc>
          <w:tcPr>
            <w:tcW w:w="22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rFonts w:cs="Times New Roman CE" w:ascii="Times New Roman CE" w:hAnsi="Times New Roman CE"/>
                <w:lang w:val="ro-RO"/>
              </w:rPr>
              <w:t>Organizarea Olimpiadei Republicane la Matematică</w:t>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lang w:val="ro-RO"/>
              </w:rPr>
            </w:pPr>
            <w:r>
              <w:rPr>
                <w:lang w:val="ro-RO"/>
              </w:rPr>
              <w:t>Organizarea Olimpiadei Republic</w:t>
            </w:r>
            <w:r>
              <w:rPr>
                <w:rFonts w:cs="Times New Roman CE" w:ascii="Times New Roman CE" w:hAnsi="Times New Roman CE"/>
                <w:lang w:val="ro-RO"/>
              </w:rPr>
              <w:t>ane la Matematică</w:t>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lang w:val="ro-RO"/>
              </w:rPr>
            </w:pPr>
            <w:r>
              <w:rPr>
                <w:rFonts w:cs="Times New Roman CE" w:ascii="Times New Roman CE" w:hAnsi="Times New Roman CE"/>
                <w:lang w:val="ro-RO"/>
              </w:rPr>
              <w:t>Organizarea Olimpiadei Republicane la Matematică</w:t>
            </w:r>
          </w:p>
          <w:p>
            <w:pPr>
              <w:pStyle w:val="2"/>
              <w:keepNext/>
              <w:widowControl/>
              <w:numPr>
                <w:ilvl w:val="0"/>
                <w:numId w:val="0"/>
              </w:numPr>
              <w:shd w:fill="FFFFFF"/>
              <w:bidi w:val="0"/>
              <w:ind w:left="0" w:right="0" w:hanging="0"/>
              <w:jc w:val="left"/>
              <w:textAlignment w:val="auto"/>
              <w:outlineLvl w:val="1"/>
              <w:rPr>
                <w:rFonts w:ascii="Times New Roman" w:hAnsi="Times New Roman"/>
                <w:b/>
                <w:b/>
                <w:bCs/>
                <w:lang w:val="ro-RO" w:eastAsia="en-US"/>
              </w:rPr>
            </w:pPr>
            <w:r>
              <w:rPr>
                <w:b/>
                <w:bCs/>
                <w:lang w:val="ro-RO" w:eastAsia="en-US"/>
              </w:rPr>
            </w:r>
          </w:p>
          <w:p>
            <w:pPr>
              <w:pStyle w:val="Normal"/>
              <w:widowControl/>
              <w:bidi w:val="0"/>
              <w:ind w:left="0" w:right="0" w:hanging="0"/>
              <w:jc w:val="left"/>
              <w:textAlignment w:val="auto"/>
              <w:rPr>
                <w:lang w:val="ro-RO"/>
              </w:rPr>
            </w:pPr>
            <w:r>
              <w:rPr>
                <w:rFonts w:cs="Times New Roman CE" w:ascii="Times New Roman CE" w:hAnsi="Times New Roman CE"/>
                <w:lang w:val="ro-RO"/>
              </w:rPr>
              <w:t>Organizarea Olimpiadei Republicane la Matematică</w:t>
            </w:r>
          </w:p>
          <w:p>
            <w:pPr>
              <w:pStyle w:val="2"/>
              <w:keepNext/>
              <w:widowControl/>
              <w:numPr>
                <w:ilvl w:val="0"/>
                <w:numId w:val="0"/>
              </w:numPr>
              <w:shd w:fill="FFFFFF"/>
              <w:bidi w:val="0"/>
              <w:ind w:left="0" w:right="0" w:hanging="0"/>
              <w:jc w:val="left"/>
              <w:textAlignment w:val="auto"/>
              <w:outlineLvl w:val="1"/>
              <w:rPr>
                <w:rFonts w:ascii="Times New Roman" w:hAnsi="Times New Roman"/>
                <w:b/>
                <w:b/>
                <w:bCs/>
                <w:lang w:val="ro-RO" w:eastAsia="en-US"/>
              </w:rPr>
            </w:pPr>
            <w:r>
              <w:rPr>
                <w:b/>
                <w:bCs/>
                <w:lang w:val="ro-RO" w:eastAsia="en-US"/>
              </w:rPr>
            </w:r>
          </w:p>
          <w:p>
            <w:pPr>
              <w:pStyle w:val="2"/>
              <w:keepNext/>
              <w:widowControl/>
              <w:numPr>
                <w:ilvl w:val="0"/>
                <w:numId w:val="0"/>
              </w:numPr>
              <w:shd w:fill="FFFFFF"/>
              <w:bidi w:val="0"/>
              <w:ind w:left="0" w:right="0" w:hanging="0"/>
              <w:jc w:val="left"/>
              <w:textAlignment w:val="auto"/>
              <w:outlineLvl w:val="1"/>
              <w:rPr>
                <w:lang w:val="ro-RO"/>
              </w:rPr>
            </w:pPr>
            <w:bookmarkStart w:id="296" w:name="_Toc469648895"/>
            <w:bookmarkStart w:id="297" w:name="_Toc469651981"/>
            <w:bookmarkEnd w:id="296"/>
            <w:bookmarkEnd w:id="297"/>
            <w:r>
              <w:rPr>
                <w:b/>
                <w:bCs/>
                <w:lang w:val="ro-RO" w:eastAsia="en-US"/>
              </w:rPr>
              <w:t>Jurizare</w:t>
            </w:r>
          </w:p>
          <w:p>
            <w:pPr>
              <w:pStyle w:val="2"/>
              <w:keepNext/>
              <w:widowControl/>
              <w:numPr>
                <w:ilvl w:val="0"/>
                <w:numId w:val="0"/>
              </w:numPr>
              <w:shd w:fill="FFFFFF"/>
              <w:bidi w:val="0"/>
              <w:ind w:left="0" w:right="0" w:hanging="0"/>
              <w:jc w:val="left"/>
              <w:textAlignment w:val="auto"/>
              <w:outlineLvl w:val="1"/>
              <w:rPr>
                <w:rFonts w:ascii="Times New Roman" w:hAnsi="Times New Roman"/>
                <w:b/>
                <w:b/>
                <w:bCs/>
                <w:lang w:val="ro-RO" w:eastAsia="en-US"/>
              </w:rPr>
            </w:pPr>
            <w:r>
              <w:rPr>
                <w:b/>
                <w:bCs/>
                <w:lang w:val="ro-RO" w:eastAsia="en-US"/>
              </w:rPr>
            </w:r>
          </w:p>
          <w:p>
            <w:pPr>
              <w:pStyle w:val="2"/>
              <w:keepNext/>
              <w:widowControl/>
              <w:numPr>
                <w:ilvl w:val="0"/>
                <w:numId w:val="0"/>
              </w:numPr>
              <w:shd w:fill="FFFFFF"/>
              <w:bidi w:val="0"/>
              <w:ind w:left="0" w:right="0" w:hanging="0"/>
              <w:jc w:val="left"/>
              <w:textAlignment w:val="auto"/>
              <w:outlineLvl w:val="1"/>
              <w:rPr>
                <w:rFonts w:ascii="Times New Roman" w:hAnsi="Times New Roman"/>
                <w:b/>
                <w:b/>
                <w:bCs/>
                <w:lang w:val="ro-RO" w:eastAsia="en-US"/>
              </w:rPr>
            </w:pPr>
            <w:r>
              <w:rPr>
                <w:b/>
                <w:bCs/>
                <w:lang w:val="ro-RO" w:eastAsia="en-US"/>
              </w:rPr>
            </w:r>
          </w:p>
          <w:p>
            <w:pPr>
              <w:pStyle w:val="2"/>
              <w:keepNext/>
              <w:widowControl/>
              <w:numPr>
                <w:ilvl w:val="0"/>
                <w:numId w:val="0"/>
              </w:numPr>
              <w:shd w:fill="FFFFFF"/>
              <w:bidi w:val="0"/>
              <w:ind w:left="0" w:right="0" w:hanging="0"/>
              <w:jc w:val="left"/>
              <w:textAlignment w:val="auto"/>
              <w:outlineLvl w:val="1"/>
              <w:rPr>
                <w:rFonts w:ascii="Times New Roman" w:hAnsi="Times New Roman"/>
                <w:b/>
                <w:b/>
                <w:bCs/>
                <w:lang w:val="ro-RO" w:eastAsia="en-US"/>
              </w:rPr>
            </w:pPr>
            <w:r>
              <w:rPr>
                <w:b/>
                <w:bCs/>
                <w:lang w:val="ro-RO" w:eastAsia="en-US"/>
              </w:rPr>
            </w:r>
          </w:p>
          <w:p>
            <w:pPr>
              <w:pStyle w:val="2"/>
              <w:keepNext/>
              <w:widowControl/>
              <w:numPr>
                <w:ilvl w:val="0"/>
                <w:numId w:val="0"/>
              </w:numPr>
              <w:shd w:fill="FFFFFF"/>
              <w:bidi w:val="0"/>
              <w:ind w:left="0" w:right="0" w:hanging="0"/>
              <w:jc w:val="left"/>
              <w:textAlignment w:val="auto"/>
              <w:outlineLvl w:val="1"/>
              <w:rPr>
                <w:lang w:val="ro-RO"/>
              </w:rPr>
            </w:pPr>
            <w:bookmarkStart w:id="298" w:name="_Toc469648896"/>
            <w:bookmarkStart w:id="299" w:name="_Toc469651982"/>
            <w:bookmarkEnd w:id="298"/>
            <w:bookmarkEnd w:id="299"/>
            <w:r>
              <w:rPr>
                <w:rFonts w:cs="Times New Roman CE" w:ascii="Times New Roman CE" w:hAnsi="Times New Roman CE"/>
                <w:b/>
                <w:bCs/>
                <w:lang w:val="ro-RO" w:eastAsia="en-US"/>
              </w:rPr>
              <w:t>Examinarea contestaţiilor</w:t>
            </w:r>
          </w:p>
          <w:p>
            <w:pPr>
              <w:pStyle w:val="2"/>
              <w:keepNext/>
              <w:widowControl/>
              <w:numPr>
                <w:ilvl w:val="0"/>
                <w:numId w:val="0"/>
              </w:numPr>
              <w:shd w:fill="FFFFFF"/>
              <w:bidi w:val="0"/>
              <w:ind w:left="0" w:right="0" w:hanging="0"/>
              <w:jc w:val="left"/>
              <w:textAlignment w:val="auto"/>
              <w:outlineLvl w:val="1"/>
              <w:rPr>
                <w:rFonts w:ascii="Times New Roman" w:hAnsi="Times New Roman"/>
                <w:b/>
                <w:b/>
                <w:bCs/>
                <w:lang w:val="ro-RO" w:eastAsia="en-US"/>
              </w:rPr>
            </w:pPr>
            <w:r>
              <w:rPr>
                <w:b/>
                <w:bCs/>
                <w:lang w:val="ro-RO" w:eastAsia="en-US"/>
              </w:rPr>
            </w:r>
          </w:p>
          <w:p>
            <w:pPr>
              <w:pStyle w:val="2"/>
              <w:keepNext/>
              <w:widowControl/>
              <w:numPr>
                <w:ilvl w:val="0"/>
                <w:numId w:val="0"/>
              </w:numPr>
              <w:shd w:fill="FFFFFF"/>
              <w:bidi w:val="0"/>
              <w:ind w:left="0" w:right="0" w:hanging="0"/>
              <w:jc w:val="left"/>
              <w:textAlignment w:val="auto"/>
              <w:outlineLvl w:val="1"/>
              <w:rPr>
                <w:rFonts w:ascii="Times New Roman" w:hAnsi="Times New Roman"/>
                <w:b/>
                <w:b/>
                <w:bCs/>
                <w:lang w:val="ro-RO" w:eastAsia="en-US"/>
              </w:rPr>
            </w:pPr>
            <w:r>
              <w:rPr>
                <w:b/>
                <w:bCs/>
                <w:lang w:val="ro-RO" w:eastAsia="en-US"/>
              </w:rPr>
            </w:r>
          </w:p>
          <w:p>
            <w:pPr>
              <w:pStyle w:val="2"/>
              <w:keepNext/>
              <w:widowControl/>
              <w:numPr>
                <w:ilvl w:val="0"/>
                <w:numId w:val="0"/>
              </w:numPr>
              <w:shd w:fill="FFFFFF"/>
              <w:bidi w:val="0"/>
              <w:ind w:left="0" w:right="0" w:hanging="0"/>
              <w:jc w:val="left"/>
              <w:textAlignment w:val="auto"/>
              <w:outlineLvl w:val="1"/>
              <w:rPr>
                <w:rFonts w:ascii="Times New Roman" w:hAnsi="Times New Roman"/>
                <w:b/>
                <w:b/>
                <w:bCs/>
                <w:lang w:val="ro-RO" w:eastAsia="en-US"/>
              </w:rPr>
            </w:pPr>
            <w:r>
              <w:rPr>
                <w:b/>
                <w:bCs/>
                <w:lang w:val="ro-RO" w:eastAsia="en-US"/>
              </w:rPr>
            </w:r>
          </w:p>
          <w:p>
            <w:pPr>
              <w:pStyle w:val="2"/>
              <w:keepNext/>
              <w:widowControl/>
              <w:numPr>
                <w:ilvl w:val="0"/>
                <w:numId w:val="0"/>
              </w:numPr>
              <w:shd w:fill="FFFFFF"/>
              <w:bidi w:val="0"/>
              <w:ind w:left="0" w:right="0" w:hanging="0"/>
              <w:jc w:val="left"/>
              <w:textAlignment w:val="auto"/>
              <w:outlineLvl w:val="1"/>
              <w:rPr>
                <w:rFonts w:ascii="Times New Roman" w:hAnsi="Times New Roman"/>
                <w:b/>
                <w:b/>
                <w:bCs/>
                <w:lang w:val="ro-RO" w:eastAsia="en-US"/>
              </w:rPr>
            </w:pPr>
            <w:r>
              <w:rPr>
                <w:b/>
                <w:bCs/>
                <w:lang w:val="ro-RO" w:eastAsia="en-US"/>
              </w:rPr>
            </w:r>
          </w:p>
          <w:p>
            <w:pPr>
              <w:pStyle w:val="2"/>
              <w:keepNext/>
              <w:widowControl/>
              <w:numPr>
                <w:ilvl w:val="0"/>
                <w:numId w:val="0"/>
              </w:numPr>
              <w:shd w:fill="FFFFFF"/>
              <w:bidi w:val="0"/>
              <w:ind w:left="0" w:right="0" w:hanging="0"/>
              <w:jc w:val="left"/>
              <w:textAlignment w:val="auto"/>
              <w:outlineLvl w:val="1"/>
              <w:rPr>
                <w:rFonts w:ascii="Times New Roman" w:hAnsi="Times New Roman"/>
                <w:b/>
                <w:b/>
                <w:bCs/>
                <w:lang w:val="ro-RO" w:eastAsia="en-US"/>
              </w:rPr>
            </w:pPr>
            <w:r>
              <w:rPr>
                <w:b/>
                <w:bCs/>
                <w:lang w:val="ro-RO" w:eastAsia="en-US"/>
              </w:rPr>
            </w:r>
          </w:p>
          <w:p>
            <w:pPr>
              <w:pStyle w:val="2"/>
              <w:keepNext/>
              <w:widowControl/>
              <w:numPr>
                <w:ilvl w:val="0"/>
                <w:numId w:val="0"/>
              </w:numPr>
              <w:shd w:fill="FFFFFF"/>
              <w:bidi w:val="0"/>
              <w:ind w:left="0" w:right="0" w:hanging="0"/>
              <w:jc w:val="left"/>
              <w:textAlignment w:val="auto"/>
              <w:outlineLvl w:val="1"/>
              <w:rPr>
                <w:lang w:val="ro-RO"/>
              </w:rPr>
            </w:pPr>
            <w:bookmarkStart w:id="300" w:name="_Toc469648897"/>
            <w:bookmarkStart w:id="301" w:name="_Toc469651983"/>
            <w:bookmarkEnd w:id="300"/>
            <w:bookmarkEnd w:id="301"/>
            <w:r>
              <w:rPr>
                <w:rFonts w:cs="Times New Roman CE" w:ascii="Times New Roman CE" w:hAnsi="Times New Roman CE"/>
                <w:b/>
                <w:bCs/>
                <w:lang w:val="ro-RO" w:eastAsia="en-US"/>
              </w:rPr>
              <w:t>Evaluarea lucrărilor</w:t>
            </w:r>
          </w:p>
          <w:p>
            <w:pPr>
              <w:pStyle w:val="2"/>
              <w:keepNext/>
              <w:widowControl/>
              <w:numPr>
                <w:ilvl w:val="0"/>
                <w:numId w:val="0"/>
              </w:numPr>
              <w:shd w:fill="FFFFFF"/>
              <w:bidi w:val="0"/>
              <w:ind w:left="0" w:right="0" w:hanging="0"/>
              <w:jc w:val="left"/>
              <w:textAlignment w:val="auto"/>
              <w:outlineLvl w:val="1"/>
              <w:rPr>
                <w:rFonts w:ascii="Times New Roman" w:hAnsi="Times New Roman"/>
                <w:b/>
                <w:b/>
                <w:bCs/>
                <w:lang w:val="ro-RO" w:eastAsia="en-US"/>
              </w:rPr>
            </w:pPr>
            <w:r>
              <w:rPr>
                <w:b/>
                <w:bCs/>
                <w:lang w:val="ro-RO" w:eastAsia="en-US"/>
              </w:rPr>
            </w:r>
          </w:p>
          <w:p>
            <w:pPr>
              <w:pStyle w:val="2"/>
              <w:keepNext/>
              <w:widowControl/>
              <w:numPr>
                <w:ilvl w:val="0"/>
                <w:numId w:val="0"/>
              </w:numPr>
              <w:shd w:fill="FFFFFF"/>
              <w:bidi w:val="0"/>
              <w:ind w:left="0" w:right="0" w:hanging="0"/>
              <w:jc w:val="left"/>
              <w:textAlignment w:val="auto"/>
              <w:outlineLvl w:val="1"/>
              <w:rPr>
                <w:rFonts w:ascii="Times New Roman" w:hAnsi="Times New Roman"/>
                <w:b/>
                <w:b/>
                <w:bCs/>
                <w:lang w:val="ro-RO" w:eastAsia="en-US"/>
              </w:rPr>
            </w:pPr>
            <w:r>
              <w:rPr>
                <w:b/>
                <w:bCs/>
                <w:lang w:val="ro-RO" w:eastAsia="en-US"/>
              </w:rPr>
            </w:r>
          </w:p>
          <w:p>
            <w:pPr>
              <w:pStyle w:val="2"/>
              <w:keepNext/>
              <w:widowControl/>
              <w:numPr>
                <w:ilvl w:val="0"/>
                <w:numId w:val="0"/>
              </w:numPr>
              <w:shd w:fill="FFFFFF"/>
              <w:bidi w:val="0"/>
              <w:ind w:left="0" w:right="0" w:hanging="0"/>
              <w:jc w:val="left"/>
              <w:textAlignment w:val="auto"/>
              <w:outlineLvl w:val="1"/>
              <w:rPr>
                <w:rFonts w:ascii="Times New Roman" w:hAnsi="Times New Roman"/>
                <w:b/>
                <w:b/>
                <w:bCs/>
                <w:lang w:val="ro-RO" w:eastAsia="en-US"/>
              </w:rPr>
            </w:pPr>
            <w:r>
              <w:rPr>
                <w:b/>
                <w:bCs/>
                <w:lang w:val="ro-RO" w:eastAsia="en-US"/>
              </w:rPr>
            </w:r>
          </w:p>
          <w:p>
            <w:pPr>
              <w:pStyle w:val="Normal"/>
              <w:widowControl/>
              <w:bidi w:val="0"/>
              <w:ind w:left="0" w:right="0" w:hanging="0"/>
              <w:jc w:val="left"/>
              <w:textAlignment w:val="auto"/>
              <w:rPr>
                <w:rFonts w:ascii="Times New Roman" w:hAnsi="Times New Roman"/>
                <w:lang w:val="ro-RO"/>
              </w:rPr>
            </w:pPr>
            <w:r>
              <w:rPr>
                <w:lang w:val="ro-RO"/>
              </w:rPr>
            </w:r>
          </w:p>
          <w:p>
            <w:pPr>
              <w:pStyle w:val="2"/>
              <w:keepNext/>
              <w:widowControl/>
              <w:numPr>
                <w:ilvl w:val="0"/>
                <w:numId w:val="0"/>
              </w:numPr>
              <w:shd w:fill="FFFFFF"/>
              <w:bidi w:val="0"/>
              <w:ind w:left="0" w:right="0" w:hanging="0"/>
              <w:jc w:val="left"/>
              <w:textAlignment w:val="auto"/>
              <w:outlineLvl w:val="1"/>
              <w:rPr>
                <w:rFonts w:ascii="Times New Roman" w:hAnsi="Times New Roman"/>
                <w:b/>
                <w:b/>
                <w:bCs/>
                <w:lang w:val="ro-RO" w:eastAsia="en-US"/>
              </w:rPr>
            </w:pPr>
            <w:r>
              <w:rPr>
                <w:b/>
                <w:bCs/>
                <w:lang w:val="ro-RO" w:eastAsia="en-US"/>
              </w:rPr>
            </w:r>
          </w:p>
          <w:p>
            <w:pPr>
              <w:pStyle w:val="2"/>
              <w:keepNext/>
              <w:widowControl/>
              <w:numPr>
                <w:ilvl w:val="0"/>
                <w:numId w:val="0"/>
              </w:numPr>
              <w:shd w:fill="FFFFFF"/>
              <w:bidi w:val="0"/>
              <w:ind w:left="0" w:right="0" w:hanging="0"/>
              <w:jc w:val="left"/>
              <w:textAlignment w:val="auto"/>
              <w:outlineLvl w:val="1"/>
              <w:rPr>
                <w:lang w:val="ro-RO"/>
              </w:rPr>
            </w:pPr>
            <w:bookmarkStart w:id="302" w:name="_Toc469648898"/>
            <w:bookmarkStart w:id="303" w:name="_Toc469651984"/>
            <w:bookmarkEnd w:id="302"/>
            <w:bookmarkEnd w:id="303"/>
            <w:r>
              <w:rPr>
                <w:rFonts w:cs="Times New Roman CE" w:ascii="Times New Roman CE" w:hAnsi="Times New Roman CE"/>
                <w:b/>
                <w:bCs/>
                <w:lang w:val="ro-RO" w:eastAsia="en-US"/>
              </w:rPr>
              <w:t>Evaluarea lucrărilor</w:t>
            </w:r>
          </w:p>
          <w:p>
            <w:pPr>
              <w:pStyle w:val="2"/>
              <w:keepNext/>
              <w:widowControl/>
              <w:numPr>
                <w:ilvl w:val="0"/>
                <w:numId w:val="0"/>
              </w:numPr>
              <w:shd w:fill="FFFFFF"/>
              <w:bidi w:val="0"/>
              <w:ind w:left="0" w:right="0" w:hanging="0"/>
              <w:jc w:val="left"/>
              <w:textAlignment w:val="auto"/>
              <w:outlineLvl w:val="1"/>
              <w:rPr>
                <w:rFonts w:ascii="Times New Roman" w:hAnsi="Times New Roman"/>
                <w:b/>
                <w:b/>
                <w:bCs/>
                <w:lang w:val="ro-RO" w:eastAsia="en-US"/>
              </w:rPr>
            </w:pPr>
            <w:r>
              <w:rPr>
                <w:b/>
                <w:bCs/>
                <w:lang w:val="ro-RO" w:eastAsia="en-US"/>
              </w:rPr>
            </w:r>
          </w:p>
          <w:p>
            <w:pPr>
              <w:pStyle w:val="2"/>
              <w:keepNext/>
              <w:widowControl/>
              <w:numPr>
                <w:ilvl w:val="0"/>
                <w:numId w:val="0"/>
              </w:numPr>
              <w:shd w:fill="FFFFFF"/>
              <w:bidi w:val="0"/>
              <w:ind w:left="0" w:right="0" w:hanging="0"/>
              <w:jc w:val="left"/>
              <w:textAlignment w:val="auto"/>
              <w:outlineLvl w:val="1"/>
              <w:rPr>
                <w:rFonts w:ascii="Times New Roman" w:hAnsi="Times New Roman"/>
                <w:b/>
                <w:b/>
                <w:bCs/>
                <w:lang w:val="ro-RO" w:eastAsia="en-US"/>
              </w:rPr>
            </w:pPr>
            <w:r>
              <w:rPr>
                <w:b/>
                <w:bCs/>
                <w:lang w:val="ro-RO" w:eastAsia="en-US"/>
              </w:rPr>
            </w:r>
          </w:p>
          <w:p>
            <w:pPr>
              <w:pStyle w:val="2"/>
              <w:keepNext/>
              <w:widowControl/>
              <w:numPr>
                <w:ilvl w:val="0"/>
                <w:numId w:val="0"/>
              </w:numPr>
              <w:shd w:fill="FFFFFF"/>
              <w:bidi w:val="0"/>
              <w:ind w:left="0" w:right="0" w:hanging="0"/>
              <w:jc w:val="left"/>
              <w:textAlignment w:val="auto"/>
              <w:outlineLvl w:val="1"/>
              <w:rPr>
                <w:rFonts w:ascii="Times New Roman" w:hAnsi="Times New Roman"/>
                <w:b/>
                <w:b/>
                <w:bCs/>
                <w:lang w:val="ro-RO" w:eastAsia="en-US"/>
              </w:rPr>
            </w:pPr>
            <w:r>
              <w:rPr>
                <w:b/>
                <w:bCs/>
                <w:lang w:val="ro-RO" w:eastAsia="en-US"/>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en-US"/>
              </w:rPr>
            </w:pPr>
            <w:r>
              <w:rPr>
                <w:lang w:val="en-US"/>
              </w:rPr>
            </w:r>
          </w:p>
        </w:tc>
        <w:tc>
          <w:tcPr>
            <w:tcW w:w="166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lang w:val="ro-RO"/>
              </w:rPr>
              <w:t>membru</w:t>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lang w:val="ro-RO"/>
              </w:rPr>
            </w:pPr>
            <w:r>
              <w:rPr>
                <w:lang w:val="ro-RO"/>
              </w:rPr>
              <w:t>membru</w:t>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lang w:val="ro-RO"/>
              </w:rPr>
            </w:pPr>
            <w:r>
              <w:rPr>
                <w:lang w:val="ro-RO"/>
              </w:rPr>
              <w:t>membru</w:t>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lang w:val="ro-RO"/>
              </w:rPr>
            </w:pPr>
            <w:r>
              <w:rPr>
                <w:lang w:val="ro-RO"/>
              </w:rPr>
              <w:t>membru</w:t>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lang w:val="ro-RO"/>
              </w:rPr>
            </w:pPr>
            <w:r>
              <w:rPr>
                <w:lang w:val="ro-RO"/>
              </w:rPr>
              <w:t>Lider adjunct</w:t>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lang w:val="ro-RO"/>
              </w:rPr>
            </w:pPr>
            <w:r>
              <w:rPr>
                <w:rFonts w:cs="Times New Roman CE" w:ascii="Times New Roman CE" w:hAnsi="Times New Roman CE"/>
                <w:lang w:val="ro-RO"/>
              </w:rPr>
              <w:t>Vice-Preşedinte</w:t>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lang w:val="ro-RO"/>
              </w:rPr>
            </w:pPr>
            <w:r>
              <w:rPr>
                <w:lang w:val="ro-RO"/>
              </w:rPr>
              <w:t>Pre</w:t>
            </w:r>
            <w:r>
              <w:rPr>
                <w:rFonts w:cs="Times New Roman CE" w:ascii="Times New Roman CE" w:hAnsi="Times New Roman CE"/>
                <w:lang w:val="ro-RO"/>
              </w:rPr>
              <w:t>ş</w:t>
            </w:r>
            <w:r>
              <w:rPr>
                <w:lang w:val="ro-RO"/>
              </w:rPr>
              <w:t>edinte</w:t>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lang w:val="ro-RO"/>
              </w:rPr>
            </w:pPr>
            <w:r>
              <w:rPr>
                <w:lang w:val="ro-RO"/>
              </w:rPr>
              <w:t>Pre</w:t>
            </w:r>
            <w:r>
              <w:rPr>
                <w:rFonts w:cs="Times New Roman CE" w:ascii="Times New Roman CE" w:hAnsi="Times New Roman CE"/>
                <w:lang w:val="ro-RO"/>
              </w:rPr>
              <w:t>ş</w:t>
            </w:r>
            <w:r>
              <w:rPr>
                <w:lang w:val="ro-RO"/>
              </w:rPr>
              <w:t>edinte</w:t>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ind w:left="0" w:right="0" w:hanging="0"/>
              <w:jc w:val="left"/>
              <w:textAlignment w:val="auto"/>
              <w:rPr>
                <w:lang w:val="ro-RO"/>
              </w:rPr>
            </w:pPr>
            <w:r>
              <w:rPr>
                <w:lang w:val="ro-RO"/>
              </w:rPr>
              <w:t>Pre</w:t>
            </w:r>
            <w:r>
              <w:rPr>
                <w:rFonts w:cs="Times New Roman CE" w:ascii="Times New Roman CE" w:hAnsi="Times New Roman CE"/>
                <w:lang w:val="ro-RO"/>
              </w:rPr>
              <w:t>ş</w:t>
            </w:r>
            <w:r>
              <w:rPr>
                <w:lang w:val="ro-RO"/>
              </w:rPr>
              <w:t>edinte</w:t>
            </w:r>
          </w:p>
          <w:p>
            <w:pPr>
              <w:pStyle w:val="Normal"/>
              <w:widowControl/>
              <w:bidi w:val="0"/>
              <w:ind w:left="0" w:right="0" w:hanging="0"/>
              <w:jc w:val="left"/>
              <w:textAlignment w:val="auto"/>
              <w:rPr>
                <w:rFonts w:ascii="Times New Roman" w:hAnsi="Times New Roman"/>
                <w:lang w:val="ro-RO"/>
              </w:rPr>
            </w:pPr>
            <w:r>
              <w:rPr>
                <w:lang w:val="ro-RO"/>
              </w:rPr>
            </w:r>
          </w:p>
        </w:tc>
      </w:tr>
    </w:tbl>
    <w:p>
      <w:pPr>
        <w:pStyle w:val="Normal"/>
        <w:widowControl/>
        <w:bidi w:val="0"/>
        <w:ind w:left="0" w:right="0" w:hanging="0"/>
        <w:jc w:val="left"/>
        <w:textAlignment w:val="auto"/>
        <w:rPr>
          <w:rFonts w:ascii="Times New Roman" w:hAnsi="Times New Roman"/>
          <w:lang w:val="ro-RO"/>
        </w:rPr>
      </w:pPr>
      <w:r>
        <w:rPr>
          <w:lang w:val="ro-RO"/>
        </w:rPr>
      </w:r>
    </w:p>
    <w:p>
      <w:pPr>
        <w:pStyle w:val="Normal"/>
        <w:widowControl/>
        <w:bidi w:val="0"/>
        <w:spacing w:before="0" w:after="120"/>
        <w:ind w:left="0" w:right="0" w:firstLine="708"/>
        <w:jc w:val="both"/>
        <w:textAlignment w:val="auto"/>
        <w:rPr>
          <w:rFonts w:ascii="Times New Roman" w:hAnsi="Times New Roman"/>
          <w:sz w:val="22"/>
          <w:szCs w:val="22"/>
          <w:lang w:val="ro-MD"/>
        </w:rPr>
      </w:pPr>
      <w:r>
        <w:rPr>
          <w:sz w:val="22"/>
          <w:szCs w:val="22"/>
          <w:lang w:val="ro-MD"/>
        </w:rPr>
      </w:r>
    </w:p>
    <w:p>
      <w:pPr>
        <w:sectPr>
          <w:type w:val="nextPage"/>
          <w:pgSz w:w="11906" w:h="16838"/>
          <w:pgMar w:left="1560" w:right="720" w:header="0" w:top="284" w:footer="0" w:bottom="426" w:gutter="0"/>
          <w:pgNumType w:fmt="decimal"/>
          <w:formProt w:val="false"/>
          <w:textDirection w:val="lrTb"/>
          <w:docGrid w:type="default" w:linePitch="240" w:charSpace="4294961151"/>
        </w:sectPr>
        <w:pStyle w:val="Normal"/>
        <w:widowControl/>
        <w:bidi w:val="0"/>
        <w:spacing w:before="0" w:after="120"/>
        <w:ind w:left="0" w:right="0" w:hanging="0"/>
        <w:jc w:val="both"/>
        <w:textAlignment w:val="auto"/>
        <w:rPr>
          <w:lang w:val="ro-MD"/>
        </w:rPr>
      </w:pPr>
      <w:r>
        <w:rPr>
          <w:sz w:val="22"/>
          <w:szCs w:val="22"/>
          <w:lang w:val="ro-MD"/>
        </w:rPr>
        <w:t xml:space="preserve">  </w:t>
      </w:r>
      <w:r>
        <w:rPr>
          <w:sz w:val="22"/>
          <w:szCs w:val="22"/>
          <w:lang w:val="ro-MD"/>
        </w:rPr>
        <w:tab/>
      </w:r>
    </w:p>
    <w:p>
      <w:pPr>
        <w:pStyle w:val="Normal"/>
        <w:widowControl/>
        <w:bidi w:val="0"/>
        <w:spacing w:before="0" w:after="120"/>
        <w:ind w:left="0" w:right="0" w:hanging="0"/>
        <w:jc w:val="both"/>
        <w:textAlignment w:val="auto"/>
        <w:rPr>
          <w:rFonts w:ascii="Times New Roman" w:hAnsi="Times New Roman"/>
          <w:sz w:val="22"/>
          <w:szCs w:val="22"/>
          <w:lang w:val="ro-MD"/>
        </w:rPr>
      </w:pPr>
      <w:r>
        <w:rPr>
          <w:sz w:val="22"/>
          <w:szCs w:val="22"/>
          <w:lang w:val="ro-MD"/>
        </w:rPr>
      </w:r>
    </w:p>
    <w:p>
      <w:pPr>
        <w:pStyle w:val="Normal"/>
        <w:widowControl/>
        <w:bidi w:val="0"/>
        <w:spacing w:before="0" w:after="120"/>
        <w:ind w:left="0" w:right="0" w:hanging="0"/>
        <w:jc w:val="both"/>
        <w:textAlignment w:val="auto"/>
        <w:rPr>
          <w:rFonts w:ascii="Times New Roman" w:hAnsi="Times New Roman"/>
          <w:sz w:val="22"/>
          <w:szCs w:val="22"/>
          <w:lang w:val="ro-MD"/>
        </w:rPr>
      </w:pPr>
      <w:r>
        <w:rPr>
          <w:sz w:val="22"/>
          <w:szCs w:val="22"/>
          <w:lang w:val="ro-MD"/>
        </w:rPr>
      </w:r>
    </w:p>
    <w:p>
      <w:pPr>
        <w:pStyle w:val="1"/>
        <w:keepNext/>
        <w:widowControl/>
        <w:numPr>
          <w:ilvl w:val="0"/>
          <w:numId w:val="0"/>
        </w:numPr>
        <w:bidi w:val="0"/>
        <w:spacing w:before="240" w:after="60"/>
        <w:ind w:left="0" w:right="0" w:hanging="0"/>
        <w:jc w:val="left"/>
        <w:textAlignment w:val="auto"/>
        <w:outlineLvl w:val="0"/>
        <w:rPr>
          <w:b w:val="false"/>
          <w:b w:val="false"/>
          <w:lang w:val="ro-MD"/>
        </w:rPr>
      </w:pPr>
      <w:bookmarkStart w:id="304" w:name="_Toc311818468"/>
      <w:bookmarkStart w:id="305" w:name="_Toc469651985"/>
      <w:bookmarkStart w:id="306" w:name="_Toc469648899"/>
      <w:bookmarkStart w:id="307" w:name="_Toc375219613"/>
      <w:bookmarkStart w:id="308" w:name="_Toc311820811"/>
      <w:bookmarkStart w:id="309" w:name="_Toc311820487"/>
      <w:bookmarkStart w:id="310" w:name="_Toc311820007"/>
      <w:bookmarkStart w:id="311" w:name="_Toc311819738"/>
      <w:bookmarkStart w:id="312" w:name="_Toc311818800"/>
      <w:r>
        <w:rPr>
          <w:rFonts w:cs="Times New Roman CE" w:ascii="Times New Roman CE" w:hAnsi="Times New Roman CE"/>
          <w:b w:val="false"/>
          <w:lang w:val="ro-MD"/>
        </w:rPr>
        <w:t>Promovarea ştiinţei şi realizărilor din sfera ştiinţei şi inovării (Forma 1</w:t>
      </w:r>
      <w:bookmarkEnd w:id="304"/>
      <w:bookmarkEnd w:id="305"/>
      <w:bookmarkEnd w:id="306"/>
      <w:bookmarkEnd w:id="307"/>
      <w:bookmarkEnd w:id="308"/>
      <w:bookmarkEnd w:id="309"/>
      <w:bookmarkEnd w:id="310"/>
      <w:bookmarkEnd w:id="311"/>
      <w:bookmarkEnd w:id="312"/>
      <w:r>
        <w:rPr>
          <w:rFonts w:cs="Times New Roman" w:ascii="Times New Roman" w:hAnsi="Times New Roman"/>
          <w:b w:val="false"/>
          <w:lang w:val="ro-MD"/>
        </w:rPr>
        <w:t>1)</w:t>
      </w:r>
    </w:p>
    <w:p>
      <w:pPr>
        <w:pStyle w:val="Normal"/>
        <w:widowControl/>
        <w:bidi w:val="0"/>
        <w:ind w:left="0" w:right="0" w:hanging="0"/>
        <w:jc w:val="left"/>
        <w:textAlignment w:val="auto"/>
        <w:rPr>
          <w:rFonts w:ascii="Times New Roman" w:hAnsi="Times New Roman"/>
          <w:lang w:val="ro-RO"/>
        </w:rPr>
      </w:pPr>
      <w:r>
        <w:rPr>
          <w:lang w:val="ro-RO"/>
        </w:rPr>
      </w:r>
    </w:p>
    <w:tbl>
      <w:tblPr>
        <w:tblW w:w="9845" w:type="dxa"/>
        <w:jc w:val="left"/>
        <w:tblInd w:w="-10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3" w:type="dxa"/>
          <w:bottom w:w="0" w:type="dxa"/>
          <w:right w:w="108" w:type="dxa"/>
        </w:tblCellMar>
      </w:tblPr>
      <w:tblGrid>
        <w:gridCol w:w="3296"/>
        <w:gridCol w:w="3660"/>
        <w:gridCol w:w="2889"/>
      </w:tblGrid>
      <w:tr>
        <w:trPr/>
        <w:tc>
          <w:tcPr>
            <w:tcW w:w="32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240"/>
              <w:ind w:left="0" w:right="-97" w:hanging="0"/>
              <w:jc w:val="center"/>
              <w:textAlignment w:val="auto"/>
              <w:rPr>
                <w:lang w:val="ro-RO"/>
              </w:rPr>
            </w:pPr>
            <w:r>
              <w:rPr>
                <w:lang w:val="ro-RO"/>
              </w:rPr>
              <w:t>Emisiunea TV / Radio</w:t>
            </w:r>
          </w:p>
        </w:tc>
        <w:tc>
          <w:tcPr>
            <w:tcW w:w="3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240"/>
              <w:ind w:left="0" w:right="-119" w:hanging="0"/>
              <w:jc w:val="center"/>
              <w:textAlignment w:val="auto"/>
              <w:rPr>
                <w:lang w:val="ro-RO"/>
              </w:rPr>
            </w:pPr>
            <w:r>
              <w:rPr>
                <w:rFonts w:cs="Times New Roman CE" w:ascii="Times New Roman CE" w:hAnsi="Times New Roman CE"/>
                <w:sz w:val="22"/>
                <w:szCs w:val="22"/>
                <w:lang w:val="ro-RO"/>
              </w:rPr>
              <w:t>Tematica intervievării</w:t>
            </w:r>
          </w:p>
        </w:tc>
        <w:tc>
          <w:tcPr>
            <w:tcW w:w="28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240"/>
              <w:ind w:left="0" w:right="0" w:hanging="0"/>
              <w:jc w:val="center"/>
              <w:textAlignment w:val="auto"/>
              <w:rPr>
                <w:lang w:val="ro-RO"/>
              </w:rPr>
            </w:pPr>
            <w:r>
              <w:rPr>
                <w:sz w:val="22"/>
                <w:szCs w:val="22"/>
                <w:lang w:val="ro-RO"/>
              </w:rPr>
              <w:t xml:space="preserve">Numele, prenumele  intervievatului </w:t>
            </w:r>
          </w:p>
        </w:tc>
      </w:tr>
      <w:tr>
        <w:trPr/>
        <w:tc>
          <w:tcPr>
            <w:tcW w:w="32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97" w:hanging="0"/>
              <w:jc w:val="left"/>
              <w:textAlignment w:val="auto"/>
              <w:rPr>
                <w:lang w:val="ro-RO"/>
              </w:rPr>
            </w:pPr>
            <w:r>
              <w:rPr>
                <w:lang w:val="ro-RO"/>
              </w:rPr>
              <w:t>Postul de radio Moldova.</w:t>
            </w:r>
          </w:p>
          <w:p>
            <w:pPr>
              <w:pStyle w:val="Normal"/>
              <w:widowControl/>
              <w:bidi w:val="0"/>
              <w:ind w:left="0" w:right="-97" w:hanging="0"/>
              <w:jc w:val="left"/>
              <w:textAlignment w:val="auto"/>
              <w:rPr>
                <w:lang w:val="ro-RO"/>
              </w:rPr>
            </w:pPr>
            <w:r>
              <w:rPr>
                <w:rFonts w:cs="Times New Roman CE" w:ascii="Times New Roman CE" w:hAnsi="Times New Roman CE"/>
                <w:lang w:val="ro-RO"/>
              </w:rPr>
              <w:t>Actualităţi. 2 interviuri.</w:t>
            </w:r>
          </w:p>
        </w:tc>
        <w:tc>
          <w:tcPr>
            <w:tcW w:w="3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240"/>
              <w:ind w:left="0" w:right="-119" w:hanging="0"/>
              <w:jc w:val="left"/>
              <w:textAlignment w:val="auto"/>
              <w:rPr>
                <w:lang w:val="ro-RO"/>
              </w:rPr>
            </w:pPr>
            <w:r>
              <w:rPr>
                <w:rFonts w:cs="Times New Roman CE" w:ascii="Times New Roman CE" w:hAnsi="Times New Roman CE"/>
                <w:lang w:val="ro-RO"/>
              </w:rPr>
              <w:t>Aplicarea rezultatelor cercetărilor</w:t>
            </w:r>
          </w:p>
        </w:tc>
        <w:tc>
          <w:tcPr>
            <w:tcW w:w="28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240"/>
              <w:ind w:left="0" w:right="0" w:hanging="0"/>
              <w:jc w:val="left"/>
              <w:textAlignment w:val="auto"/>
              <w:rPr>
                <w:lang w:val="ro-RO"/>
              </w:rPr>
            </w:pPr>
            <w:r>
              <w:rPr>
                <w:lang w:val="ro-RO"/>
              </w:rPr>
              <w:t>Svetlana Cojocaru</w:t>
            </w:r>
          </w:p>
        </w:tc>
      </w:tr>
      <w:tr>
        <w:trPr/>
        <w:tc>
          <w:tcPr>
            <w:tcW w:w="32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97" w:hanging="0"/>
              <w:jc w:val="left"/>
              <w:textAlignment w:val="auto"/>
              <w:rPr>
                <w:lang w:val="ro-RO"/>
              </w:rPr>
            </w:pPr>
            <w:r>
              <w:rPr>
                <w:lang w:val="ro-RO"/>
              </w:rPr>
              <w:t>Postul de radio Moldova.</w:t>
            </w:r>
          </w:p>
          <w:p>
            <w:pPr>
              <w:pStyle w:val="Normal"/>
              <w:widowControl/>
              <w:bidi w:val="0"/>
              <w:ind w:left="0" w:right="-97" w:hanging="0"/>
              <w:jc w:val="left"/>
              <w:textAlignment w:val="auto"/>
              <w:rPr>
                <w:lang w:val="ro-RO"/>
              </w:rPr>
            </w:pPr>
            <w:r>
              <w:rPr>
                <w:lang w:val="ro-RO"/>
              </w:rPr>
              <w:t xml:space="preserve">Emisiunea Profil Social </w:t>
            </w:r>
          </w:p>
        </w:tc>
        <w:tc>
          <w:tcPr>
            <w:tcW w:w="3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119" w:hanging="0"/>
              <w:jc w:val="left"/>
              <w:textAlignment w:val="auto"/>
              <w:rPr>
                <w:lang w:val="ro-RO"/>
              </w:rPr>
            </w:pPr>
            <w:r>
              <w:rPr>
                <w:rFonts w:cs="Times New Roman CE" w:ascii="Times New Roman CE" w:hAnsi="Times New Roman CE"/>
                <w:lang w:val="ro-RO"/>
              </w:rPr>
              <w:t xml:space="preserve">Dialog despre cercetările din IMI, rezultatele obţinute, problemele existente. </w:t>
            </w:r>
          </w:p>
        </w:tc>
        <w:tc>
          <w:tcPr>
            <w:tcW w:w="28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lang w:val="ro-RO"/>
              </w:rPr>
              <w:t>Svetlana Cojocaru</w:t>
            </w:r>
          </w:p>
        </w:tc>
      </w:tr>
      <w:tr>
        <w:trPr/>
        <w:tc>
          <w:tcPr>
            <w:tcW w:w="32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97" w:hanging="0"/>
              <w:jc w:val="left"/>
              <w:textAlignment w:val="auto"/>
              <w:rPr>
                <w:lang w:val="ro-RO"/>
              </w:rPr>
            </w:pPr>
            <w:r>
              <w:rPr>
                <w:rFonts w:cs="Times New Roman CE" w:ascii="Times New Roman CE" w:hAnsi="Times New Roman CE"/>
                <w:lang w:val="ro-RO"/>
              </w:rPr>
              <w:t>Postul de televiziune „Moldova 1”, emisiunea „Ştiin</w:t>
            </w:r>
            <w:r>
              <w:rPr>
                <w:rFonts w:cs="Cambria Math" w:ascii="Cambria Math" w:hAnsi="Cambria Math"/>
                <w:lang w:val="ro-RO"/>
              </w:rPr>
              <w:t>ț</w:t>
            </w:r>
            <w:r>
              <w:rPr>
                <w:rFonts w:cs="Times New Roman CE" w:ascii="Times New Roman CE" w:hAnsi="Times New Roman CE"/>
                <w:lang w:val="ro-RO"/>
              </w:rPr>
              <w:t xml:space="preserve">ă </w:t>
            </w:r>
            <w:r>
              <w:rPr>
                <w:rFonts w:cs="Cambria Math" w:ascii="Cambria Math" w:hAnsi="Cambria Math"/>
                <w:lang w:val="ro-RO"/>
              </w:rPr>
              <w:t>ș</w:t>
            </w:r>
            <w:r>
              <w:rPr>
                <w:lang w:val="ro-RO"/>
              </w:rPr>
              <w:t>i Inovare”,</w:t>
            </w:r>
          </w:p>
        </w:tc>
        <w:tc>
          <w:tcPr>
            <w:tcW w:w="3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240"/>
              <w:ind w:left="0" w:right="-119" w:hanging="0"/>
              <w:jc w:val="left"/>
              <w:textAlignment w:val="auto"/>
              <w:rPr>
                <w:lang w:val="ro-RO"/>
              </w:rPr>
            </w:pPr>
            <w:r>
              <w:rPr>
                <w:rFonts w:cs="Times New Roman CE" w:ascii="Times New Roman CE" w:hAnsi="Times New Roman CE"/>
                <w:lang w:val="ro-RO"/>
              </w:rPr>
              <w:t>Cercetările în cadrul proiectului NATO</w:t>
            </w:r>
          </w:p>
        </w:tc>
        <w:tc>
          <w:tcPr>
            <w:tcW w:w="28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240"/>
              <w:ind w:left="0" w:right="0" w:hanging="0"/>
              <w:jc w:val="left"/>
              <w:textAlignment w:val="auto"/>
              <w:rPr>
                <w:lang w:val="ro-RO"/>
              </w:rPr>
            </w:pPr>
            <w:r>
              <w:rPr>
                <w:rFonts w:cs="Times New Roman CE" w:ascii="Times New Roman CE" w:hAnsi="Times New Roman CE"/>
                <w:lang w:val="ro-RO"/>
              </w:rPr>
              <w:t>Svetlana Cojocaru, Mircea Petic, Veronica Gâscă, Inga Ţi</w:t>
            </w:r>
            <w:r>
              <w:rPr>
                <w:rFonts w:cs="Cambria Math" w:ascii="Cambria Math" w:hAnsi="Cambria Math"/>
                <w:lang w:val="ro-RO"/>
              </w:rPr>
              <w:t>ț</w:t>
            </w:r>
            <w:r>
              <w:rPr>
                <w:lang w:val="ro-RO"/>
              </w:rPr>
              <w:t>chiev, Grigore Horo</w:t>
            </w:r>
            <w:r>
              <w:rPr>
                <w:rFonts w:cs="Cambria Math" w:ascii="Cambria Math" w:hAnsi="Cambria Math"/>
                <w:lang w:val="ro-RO"/>
              </w:rPr>
              <w:t>ș</w:t>
            </w:r>
          </w:p>
        </w:tc>
      </w:tr>
      <w:tr>
        <w:trPr/>
        <w:tc>
          <w:tcPr>
            <w:tcW w:w="32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240"/>
              <w:ind w:left="0" w:right="-97" w:hanging="0"/>
              <w:jc w:val="left"/>
              <w:textAlignment w:val="auto"/>
              <w:rPr>
                <w:lang w:val="ro-RO"/>
              </w:rPr>
            </w:pPr>
            <w:r>
              <w:rPr>
                <w:rFonts w:cs="Times New Roman CE" w:ascii="Times New Roman CE" w:hAnsi="Times New Roman CE"/>
                <w:lang w:val="ro-RO"/>
              </w:rPr>
              <w:t>Postul de televiziune „Moldova 1”, emisiunea „Ştiin</w:t>
            </w:r>
            <w:r>
              <w:rPr>
                <w:rFonts w:cs="Cambria Math" w:ascii="Cambria Math" w:hAnsi="Cambria Math"/>
                <w:lang w:val="ro-RO"/>
              </w:rPr>
              <w:t>ț</w:t>
            </w:r>
            <w:r>
              <w:rPr>
                <w:rFonts w:cs="Times New Roman CE" w:ascii="Times New Roman CE" w:hAnsi="Times New Roman CE"/>
                <w:lang w:val="ro-RO"/>
              </w:rPr>
              <w:t xml:space="preserve">ă </w:t>
            </w:r>
            <w:r>
              <w:rPr>
                <w:rFonts w:cs="Cambria Math" w:ascii="Cambria Math" w:hAnsi="Cambria Math"/>
                <w:lang w:val="ro-RO"/>
              </w:rPr>
              <w:t>ș</w:t>
            </w:r>
            <w:r>
              <w:rPr>
                <w:lang w:val="ro-RO"/>
              </w:rPr>
              <w:t>i Inovare”</w:t>
            </w:r>
          </w:p>
        </w:tc>
        <w:tc>
          <w:tcPr>
            <w:tcW w:w="3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240"/>
              <w:ind w:left="0" w:right="-119" w:hanging="0"/>
              <w:jc w:val="center"/>
              <w:textAlignment w:val="auto"/>
              <w:rPr>
                <w:lang w:val="ro-RO"/>
              </w:rPr>
            </w:pPr>
            <w:r>
              <w:rPr>
                <w:lang w:val="ro-RO"/>
              </w:rPr>
              <w:t>Digi</w:t>
            </w:r>
            <w:r>
              <w:rPr>
                <w:rFonts w:cs="Times New Roman CE" w:ascii="Times New Roman CE" w:hAnsi="Times New Roman CE"/>
                <w:lang w:val="ro-RO"/>
              </w:rPr>
              <w:t>tizarea textelor de limbă română</w:t>
            </w:r>
          </w:p>
        </w:tc>
        <w:tc>
          <w:tcPr>
            <w:tcW w:w="28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240"/>
              <w:ind w:left="0" w:right="0" w:hanging="0"/>
              <w:jc w:val="left"/>
              <w:textAlignment w:val="auto"/>
              <w:rPr>
                <w:lang w:val="ro-RO"/>
              </w:rPr>
            </w:pPr>
            <w:r>
              <w:rPr>
                <w:rFonts w:cs="Times New Roman CE" w:ascii="Times New Roman CE" w:hAnsi="Times New Roman CE"/>
                <w:lang w:val="ro-RO"/>
              </w:rPr>
              <w:t>Svetlana Cojocaru, Constantin Ciubotaru, Ludmila Malahov, Alexandru Colesnicov, Valentina Demidov, Tudor Bumbu, Ştefan Ungur</w:t>
            </w:r>
          </w:p>
        </w:tc>
      </w:tr>
      <w:tr>
        <w:trPr/>
        <w:tc>
          <w:tcPr>
            <w:tcW w:w="32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240"/>
              <w:ind w:left="0" w:right="-97" w:hanging="0"/>
              <w:jc w:val="left"/>
              <w:textAlignment w:val="auto"/>
              <w:rPr>
                <w:lang w:val="ro-RO"/>
              </w:rPr>
            </w:pPr>
            <w:r>
              <w:rPr>
                <w:rFonts w:cs="Times New Roman CE" w:ascii="Times New Roman CE" w:hAnsi="Times New Roman CE"/>
                <w:lang w:val="ro-RO"/>
              </w:rPr>
              <w:t xml:space="preserve">Postul de televiziune „Moldova 1”,  emisiunile Ştiri </w:t>
            </w:r>
            <w:r>
              <w:rPr>
                <w:rFonts w:cs="Cambria Math" w:ascii="Cambria Math" w:hAnsi="Cambria Math"/>
                <w:lang w:val="ro-RO"/>
              </w:rPr>
              <w:t>ș</w:t>
            </w:r>
            <w:r>
              <w:rPr>
                <w:lang w:val="ro-RO"/>
              </w:rPr>
              <w:t>i Mesager</w:t>
            </w:r>
          </w:p>
        </w:tc>
        <w:tc>
          <w:tcPr>
            <w:tcW w:w="3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240"/>
              <w:ind w:left="0" w:right="-119" w:hanging="0"/>
              <w:jc w:val="left"/>
              <w:textAlignment w:val="auto"/>
              <w:rPr>
                <w:lang w:val="ro-RO"/>
              </w:rPr>
            </w:pPr>
            <w:r>
              <w:rPr>
                <w:rFonts w:cs="Times New Roman CE" w:ascii="Times New Roman CE" w:hAnsi="Times New Roman CE"/>
                <w:lang w:val="ro-RO"/>
              </w:rPr>
              <w:t>Cercetările în cadrul proiectului</w:t>
            </w:r>
            <w:r>
              <w:rPr>
                <w:lang w:val="ro-RO"/>
              </w:rPr>
              <w:t xml:space="preserve"> NATO</w:t>
            </w:r>
          </w:p>
        </w:tc>
        <w:tc>
          <w:tcPr>
            <w:tcW w:w="28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240"/>
              <w:ind w:left="0" w:right="0" w:hanging="0"/>
              <w:jc w:val="left"/>
              <w:textAlignment w:val="auto"/>
              <w:rPr>
                <w:lang w:val="ro-RO"/>
              </w:rPr>
            </w:pPr>
            <w:r>
              <w:rPr>
                <w:lang w:val="ro-RO"/>
              </w:rPr>
              <w:t>Svetlana Cojocaru</w:t>
            </w:r>
          </w:p>
          <w:p>
            <w:pPr>
              <w:pStyle w:val="Normal"/>
              <w:widowControl/>
              <w:bidi w:val="0"/>
              <w:spacing w:before="0" w:after="240"/>
              <w:ind w:left="0" w:right="0" w:hanging="0"/>
              <w:jc w:val="left"/>
              <w:textAlignment w:val="auto"/>
              <w:rPr>
                <w:rFonts w:ascii="Times New Roman" w:hAnsi="Times New Roman"/>
                <w:lang w:val="ro-RO"/>
              </w:rPr>
            </w:pPr>
            <w:r>
              <w:rPr>
                <w:lang w:val="ro-RO"/>
              </w:rPr>
            </w:r>
          </w:p>
        </w:tc>
      </w:tr>
      <w:tr>
        <w:trPr/>
        <w:tc>
          <w:tcPr>
            <w:tcW w:w="32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240"/>
              <w:ind w:left="0" w:right="-97" w:hanging="0"/>
              <w:jc w:val="left"/>
              <w:textAlignment w:val="auto"/>
              <w:rPr>
                <w:lang w:val="ro-RO"/>
              </w:rPr>
            </w:pPr>
            <w:r>
              <w:rPr>
                <w:rFonts w:cs="Times New Roman CE" w:ascii="Times New Roman CE" w:hAnsi="Times New Roman CE"/>
                <w:lang w:val="ro-RO"/>
              </w:rPr>
              <w:t>Postul de televiziune TV 21, noutăţi</w:t>
            </w:r>
          </w:p>
        </w:tc>
        <w:tc>
          <w:tcPr>
            <w:tcW w:w="3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240"/>
              <w:ind w:left="0" w:right="-119" w:hanging="0"/>
              <w:jc w:val="left"/>
              <w:textAlignment w:val="auto"/>
              <w:rPr>
                <w:lang w:val="ro-RO"/>
              </w:rPr>
            </w:pPr>
            <w:r>
              <w:rPr>
                <w:rFonts w:cs="Times New Roman CE" w:ascii="Times New Roman CE" w:hAnsi="Times New Roman CE"/>
                <w:lang w:val="ro-RO"/>
              </w:rPr>
              <w:t>Cercetările în cadrul proiectului NATO</w:t>
            </w:r>
          </w:p>
        </w:tc>
        <w:tc>
          <w:tcPr>
            <w:tcW w:w="28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240"/>
              <w:ind w:left="0" w:right="0" w:hanging="0"/>
              <w:jc w:val="left"/>
              <w:textAlignment w:val="auto"/>
              <w:rPr>
                <w:lang w:val="ro-RO"/>
              </w:rPr>
            </w:pPr>
            <w:r>
              <w:rPr>
                <w:lang w:val="ro-RO"/>
              </w:rPr>
              <w:t>Svetlana Cojocaru</w:t>
            </w:r>
          </w:p>
          <w:p>
            <w:pPr>
              <w:pStyle w:val="Normal"/>
              <w:widowControl/>
              <w:bidi w:val="0"/>
              <w:spacing w:before="0" w:after="240"/>
              <w:ind w:left="0" w:right="0" w:hanging="0"/>
              <w:jc w:val="left"/>
              <w:textAlignment w:val="auto"/>
              <w:rPr>
                <w:rFonts w:ascii="Times New Roman" w:hAnsi="Times New Roman"/>
                <w:lang w:val="ro-RO"/>
              </w:rPr>
            </w:pPr>
            <w:r>
              <w:rPr>
                <w:lang w:val="ro-RO"/>
              </w:rPr>
            </w:r>
          </w:p>
        </w:tc>
      </w:tr>
      <w:tr>
        <w:trPr/>
        <w:tc>
          <w:tcPr>
            <w:tcW w:w="32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97" w:hanging="0"/>
              <w:jc w:val="left"/>
              <w:textAlignment w:val="auto"/>
              <w:rPr>
                <w:lang w:val="ro-RO"/>
              </w:rPr>
            </w:pPr>
            <w:r>
              <w:rPr>
                <w:bCs/>
                <w:sz w:val="22"/>
                <w:szCs w:val="22"/>
                <w:lang w:val="ro-RO"/>
              </w:rPr>
              <w:t>TRM (20 octombrie 2016)</w:t>
            </w:r>
          </w:p>
        </w:tc>
        <w:tc>
          <w:tcPr>
            <w:tcW w:w="3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240"/>
              <w:ind w:left="0" w:right="0" w:hanging="0"/>
              <w:jc w:val="left"/>
              <w:textAlignment w:val="auto"/>
              <w:rPr>
                <w:lang w:val="ro-RO"/>
              </w:rPr>
            </w:pPr>
            <w:r>
              <w:rPr>
                <w:lang w:val="ro-RO"/>
              </w:rPr>
              <w:t>Cine vine la noi</w:t>
            </w:r>
            <w:r>
              <w:rPr>
                <w:lang w:val="en-US"/>
              </w:rPr>
              <w:t xml:space="preserve">  </w:t>
            </w:r>
          </w:p>
        </w:tc>
        <w:tc>
          <w:tcPr>
            <w:tcW w:w="28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V. Baltag</w:t>
            </w:r>
          </w:p>
        </w:tc>
      </w:tr>
      <w:tr>
        <w:trPr/>
        <w:tc>
          <w:tcPr>
            <w:tcW w:w="329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97" w:hanging="0"/>
              <w:jc w:val="left"/>
              <w:textAlignment w:val="auto"/>
              <w:rPr>
                <w:lang w:val="ro-RO"/>
              </w:rPr>
            </w:pPr>
            <w:r>
              <w:rPr>
                <w:bCs/>
                <w:sz w:val="22"/>
                <w:szCs w:val="22"/>
                <w:lang w:val="ro-RO"/>
              </w:rPr>
              <w:t>TVM1 (martie 2016)</w:t>
            </w:r>
          </w:p>
          <w:p>
            <w:pPr>
              <w:pStyle w:val="Normal"/>
              <w:widowControl/>
              <w:bidi w:val="0"/>
              <w:ind w:left="0" w:right="-97" w:hanging="0"/>
              <w:jc w:val="left"/>
              <w:textAlignment w:val="auto"/>
              <w:rPr>
                <w:lang w:val="ro-RO"/>
              </w:rPr>
            </w:pPr>
            <w:r>
              <w:rPr>
                <w:bCs/>
                <w:sz w:val="22"/>
                <w:szCs w:val="22"/>
                <w:lang w:val="ro-RO"/>
              </w:rPr>
              <w:t>http://trm.md/ro/tiin-a-i-inovare/stiinta-si-inovare-emisiune-din-13-decembrie-2015/</w:t>
            </w:r>
          </w:p>
        </w:tc>
        <w:tc>
          <w:tcPr>
            <w:tcW w:w="3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119" w:hanging="0"/>
              <w:jc w:val="left"/>
              <w:textAlignment w:val="auto"/>
              <w:rPr>
                <w:lang w:val="vi-VN"/>
              </w:rPr>
            </w:pPr>
            <w:r>
              <w:rPr>
                <w:rFonts w:cs="Times New Roman CE" w:ascii="Times New Roman CE" w:hAnsi="Times New Roman CE"/>
                <w:bCs/>
                <w:sz w:val="22"/>
                <w:szCs w:val="22"/>
                <w:lang w:val="vi-VN"/>
              </w:rPr>
              <w:t>Ştiinţă şi Inovare</w:t>
            </w:r>
            <w:r>
              <w:rPr>
                <w:bCs/>
                <w:sz w:val="22"/>
                <w:szCs w:val="22"/>
                <w:lang w:val="en-US"/>
              </w:rPr>
              <w:t xml:space="preserve"> (reluare)</w:t>
            </w:r>
            <w:r>
              <w:rPr>
                <w:bCs/>
                <w:sz w:val="22"/>
                <w:szCs w:val="22"/>
                <w:lang w:val="vi-VN"/>
              </w:rPr>
              <w:t>.</w:t>
            </w:r>
          </w:p>
        </w:tc>
        <w:tc>
          <w:tcPr>
            <w:tcW w:w="288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M. Popa, V. Pricop</w:t>
            </w:r>
          </w:p>
        </w:tc>
      </w:tr>
    </w:tbl>
    <w:p>
      <w:pPr>
        <w:pStyle w:val="Normal"/>
        <w:widowControl/>
        <w:bidi w:val="0"/>
        <w:ind w:left="0" w:right="-2016" w:hanging="0"/>
        <w:jc w:val="center"/>
        <w:textAlignment w:val="auto"/>
        <w:rPr>
          <w:rFonts w:ascii="Times New Roman" w:hAnsi="Times New Roman"/>
          <w:sz w:val="22"/>
          <w:szCs w:val="22"/>
          <w:lang w:val="ro-RO"/>
        </w:rPr>
      </w:pPr>
      <w:r>
        <w:rPr>
          <w:sz w:val="22"/>
          <w:szCs w:val="22"/>
          <w:lang w:val="ro-RO"/>
        </w:rPr>
      </w:r>
    </w:p>
    <w:tbl>
      <w:tblPr>
        <w:tblW w:w="10458" w:type="dxa"/>
        <w:jc w:val="left"/>
        <w:tblInd w:w="-42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3" w:type="dxa"/>
          <w:bottom w:w="0" w:type="dxa"/>
          <w:right w:w="108" w:type="dxa"/>
        </w:tblCellMar>
      </w:tblPr>
      <w:tblGrid>
        <w:gridCol w:w="2221"/>
        <w:gridCol w:w="757"/>
        <w:gridCol w:w="2693"/>
        <w:gridCol w:w="406"/>
        <w:gridCol w:w="2309"/>
        <w:gridCol w:w="2071"/>
      </w:tblGrid>
      <w:tr>
        <w:trPr/>
        <w:tc>
          <w:tcPr>
            <w:tcW w:w="10457"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ro-RO"/>
              </w:rPr>
            </w:pPr>
            <w:r>
              <w:rPr>
                <w:rFonts w:cs="Times New Roman CE" w:ascii="Times New Roman CE" w:hAnsi="Times New Roman CE"/>
                <w:b/>
                <w:lang w:val="ro-RO"/>
              </w:rPr>
              <w:t>Articole de popularizare a ştiinţei în ziare, reviste etc.</w:t>
            </w:r>
          </w:p>
        </w:tc>
      </w:tr>
      <w:tr>
        <w:trPr/>
        <w:tc>
          <w:tcPr>
            <w:tcW w:w="22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240"/>
              <w:ind w:left="0" w:right="-97" w:hanging="0"/>
              <w:jc w:val="left"/>
              <w:textAlignment w:val="auto"/>
              <w:rPr>
                <w:lang w:val="ro-RO"/>
              </w:rPr>
            </w:pPr>
            <w:r>
              <w:rPr>
                <w:sz w:val="22"/>
                <w:szCs w:val="22"/>
                <w:lang w:val="ro-RO"/>
              </w:rPr>
              <w:t>Numele, prenumele autorului</w:t>
            </w:r>
          </w:p>
        </w:tc>
        <w:tc>
          <w:tcPr>
            <w:tcW w:w="385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240"/>
              <w:ind w:left="0" w:right="-97" w:hanging="0"/>
              <w:jc w:val="left"/>
              <w:textAlignment w:val="auto"/>
              <w:rPr>
                <w:lang w:val="ro-RO"/>
              </w:rPr>
            </w:pPr>
            <w:r>
              <w:rPr>
                <w:sz w:val="22"/>
                <w:szCs w:val="22"/>
                <w:lang w:val="ro-RO"/>
              </w:rPr>
              <w:t>Denumirea articolului</w:t>
            </w:r>
          </w:p>
        </w:tc>
        <w:tc>
          <w:tcPr>
            <w:tcW w:w="438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240"/>
              <w:ind w:left="0" w:right="-97" w:hanging="0"/>
              <w:jc w:val="left"/>
              <w:textAlignment w:val="auto"/>
              <w:rPr>
                <w:lang w:val="ro-RO"/>
              </w:rPr>
            </w:pPr>
            <w:r>
              <w:rPr>
                <w:sz w:val="22"/>
                <w:szCs w:val="22"/>
                <w:lang w:val="ro-RO"/>
              </w:rPr>
              <w:t>Ziarul, revista</w:t>
            </w:r>
          </w:p>
        </w:tc>
      </w:tr>
      <w:tr>
        <w:trPr/>
        <w:tc>
          <w:tcPr>
            <w:tcW w:w="22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240"/>
              <w:ind w:left="0" w:right="-97" w:hanging="0"/>
              <w:jc w:val="left"/>
              <w:textAlignment w:val="auto"/>
              <w:rPr>
                <w:lang w:val="ro-RO"/>
              </w:rPr>
            </w:pPr>
            <w:r>
              <w:rPr>
                <w:sz w:val="22"/>
                <w:szCs w:val="22"/>
                <w:lang w:val="ro-RO"/>
              </w:rPr>
              <w:t>Stan LIPCANU</w:t>
            </w:r>
          </w:p>
        </w:tc>
        <w:tc>
          <w:tcPr>
            <w:tcW w:w="385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97" w:hanging="0"/>
              <w:jc w:val="left"/>
              <w:textAlignment w:val="auto"/>
              <w:rPr>
                <w:lang w:val="ro-RO"/>
              </w:rPr>
            </w:pPr>
            <w:r>
              <w:rPr>
                <w:rFonts w:cs="Times New Roman CE" w:ascii="Times New Roman CE" w:hAnsi="Times New Roman CE"/>
                <w:sz w:val="22"/>
                <w:szCs w:val="22"/>
                <w:lang w:val="ro-RO"/>
              </w:rPr>
              <w:t>Matematic vorbind. Vreau ceea ce vor toţi: stabilitate economică şi socială, securitate şi bună-cuviinţă.</w:t>
            </w:r>
          </w:p>
          <w:p>
            <w:pPr>
              <w:pStyle w:val="Normal"/>
              <w:widowControl/>
              <w:bidi w:val="0"/>
              <w:ind w:left="0" w:right="-97" w:hanging="0"/>
              <w:jc w:val="left"/>
              <w:textAlignment w:val="auto"/>
              <w:rPr>
                <w:lang w:val="ro-RO"/>
              </w:rPr>
            </w:pPr>
            <w:r>
              <w:rPr>
                <w:sz w:val="22"/>
                <w:szCs w:val="22"/>
                <w:lang w:val="ro-RO"/>
              </w:rPr>
              <w:t>Interviu cu Svetlana Cojocaru</w:t>
            </w:r>
          </w:p>
        </w:tc>
        <w:tc>
          <w:tcPr>
            <w:tcW w:w="438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240"/>
              <w:ind w:left="0" w:right="-97" w:hanging="0"/>
              <w:jc w:val="left"/>
              <w:textAlignment w:val="auto"/>
              <w:rPr>
                <w:lang w:val="ro-RO"/>
              </w:rPr>
            </w:pPr>
            <w:r>
              <w:rPr>
                <w:rFonts w:cs="Times New Roman CE" w:ascii="Times New Roman CE" w:hAnsi="Times New Roman CE"/>
                <w:sz w:val="22"/>
                <w:szCs w:val="22"/>
                <w:lang w:val="ro-RO"/>
              </w:rPr>
              <w:t>Săptămâna</w:t>
            </w:r>
          </w:p>
        </w:tc>
      </w:tr>
      <w:tr>
        <w:trPr/>
        <w:tc>
          <w:tcPr>
            <w:tcW w:w="10457"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before="0" w:after="240"/>
              <w:ind w:left="0" w:right="-97" w:hanging="0"/>
              <w:jc w:val="left"/>
              <w:textAlignment w:val="auto"/>
              <w:rPr>
                <w:lang w:val="ro-RO"/>
              </w:rPr>
            </w:pPr>
            <w:r>
              <w:rPr>
                <w:rFonts w:cs="Times New Roman CE" w:ascii="Times New Roman CE" w:hAnsi="Times New Roman CE"/>
                <w:sz w:val="22"/>
                <w:szCs w:val="22"/>
                <w:lang w:val="ro-RO"/>
              </w:rPr>
              <w:t>Participări la manifestări ştiinţifice, expoziţii, work-shopu-uir, tîrguri, mese rotunde</w:t>
            </w:r>
          </w:p>
        </w:tc>
      </w:tr>
      <w:tr>
        <w:trPr>
          <w:trHeight w:val="1160" w:hRule="atLeast"/>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rFonts w:cs="Times New Roman CE" w:ascii="Times New Roman CE" w:hAnsi="Times New Roman CE"/>
                <w:lang w:val="ro-RO"/>
              </w:rPr>
              <w:t>Denumirea manifestării ştiinţifice, expoziţii, work-shopu-uir, tîrguri, mese rotunde</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rFonts w:cs="Times New Roman CE" w:ascii="Times New Roman CE" w:hAnsi="Times New Roman CE"/>
                <w:lang w:val="ro-RO"/>
              </w:rPr>
              <w:t xml:space="preserve"> </w:t>
            </w:r>
            <w:r>
              <w:rPr>
                <w:rFonts w:cs="Times New Roman CE" w:ascii="Times New Roman CE" w:hAnsi="Times New Roman CE"/>
                <w:lang w:val="ro-RO"/>
              </w:rPr>
              <w:t xml:space="preserve">Participanţii </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rFonts w:cs="Times New Roman CE" w:ascii="Times New Roman CE" w:hAnsi="Times New Roman CE"/>
                <w:lang w:val="ro-RO"/>
              </w:rPr>
              <w:t>Tematica prezentărilor</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rFonts w:cs="Times New Roman CE" w:ascii="Times New Roman CE" w:hAnsi="Times New Roman CE"/>
                <w:lang w:val="ro-RO"/>
              </w:rPr>
              <w:t>Distincţii obţinute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ro-RO"/>
              </w:rPr>
            </w:pPr>
            <w:r>
              <w:rPr>
                <w:rFonts w:cs="Times New Roman CE" w:ascii="Times New Roman CE" w:hAnsi="Times New Roman CE"/>
                <w:sz w:val="22"/>
                <w:szCs w:val="22"/>
                <w:lang w:val="ro-RO"/>
              </w:rPr>
              <w:t xml:space="preserve">Conferinţa Ştiinţifică Internaţională a Doctoranzilor – Tendinţe contemporane ale dezvoltării Ştiinţei: Viziuni ale tinerilor cercetători, </w:t>
            </w:r>
            <w:r>
              <w:rPr>
                <w:sz w:val="22"/>
                <w:szCs w:val="22"/>
                <w:lang w:val="ro-RO"/>
              </w:rPr>
              <w:t>25 mai 2016</w:t>
            </w:r>
            <w:r>
              <w:rPr>
                <w:rFonts w:cs="Times New Roman CE" w:ascii="Times New Roman CE" w:hAnsi="Times New Roman CE"/>
                <w:sz w:val="22"/>
                <w:szCs w:val="22"/>
                <w:lang w:val="ro-RO"/>
              </w:rPr>
              <w:t>, Chişinău, Republica</w:t>
            </w:r>
            <w:r>
              <w:rPr>
                <w:sz w:val="22"/>
                <w:szCs w:val="22"/>
                <w:lang w:val="ro-RO"/>
              </w:rPr>
              <w:t xml:space="preserve"> Moldova</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Turuta S.</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en-US"/>
              </w:rPr>
            </w:pPr>
            <w:r>
              <w:rPr>
                <w:sz w:val="22"/>
                <w:szCs w:val="22"/>
                <w:lang w:val="en-US"/>
              </w:rPr>
              <w:t xml:space="preserve">Darboux first integrals of Lotka-Volterra cubic differential systems with (1:-2)-singularity having invariant straight lines of two directions and total multiplicity six. </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w:t>
            </w:r>
            <w:r>
              <w:rPr>
                <w:rFonts w:cs="Times New Roman CE" w:ascii="Times New Roman CE" w:hAnsi="Times New Roman CE"/>
                <w:sz w:val="22"/>
                <w:szCs w:val="22"/>
                <w:lang w:val="ro-RO"/>
              </w:rPr>
              <w:t xml:space="preserve"> secţie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en-US"/>
              </w:rPr>
            </w:pPr>
            <w:r>
              <w:rPr>
                <w:szCs w:val="20"/>
                <w:lang w:val="en-US"/>
              </w:rPr>
              <w:t xml:space="preserve">International Conference “Mathematics &amp;  Information Technologies:  Research and Education”  (MITRE – 2016), 6-th edition. </w:t>
            </w:r>
            <w:r>
              <w:rPr>
                <w:rFonts w:cs="Times New Roman CE" w:ascii="Times New Roman CE" w:hAnsi="Times New Roman CE"/>
                <w:szCs w:val="20"/>
                <w:lang w:val="ro-RO"/>
              </w:rPr>
              <w:t>Abstracts, Chişinău, June</w:t>
            </w:r>
            <w:r>
              <w:rPr>
                <w:szCs w:val="20"/>
                <w:lang w:val="ro-RO"/>
              </w:rPr>
              <w:t xml:space="preserve"> 23-25, 2016</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exact" w:line="240" w:before="0" w:after="0"/>
              <w:ind w:left="0" w:right="0" w:hanging="0"/>
              <w:contextualSpacing/>
              <w:jc w:val="left"/>
              <w:textAlignment w:val="auto"/>
              <w:rPr>
                <w:lang w:val="ro-RO"/>
              </w:rPr>
            </w:pPr>
            <w:r>
              <w:rPr>
                <w:sz w:val="22"/>
                <w:szCs w:val="22"/>
                <w:lang w:val="ro-RO"/>
              </w:rPr>
              <w:t xml:space="preserve">Bujac C., </w:t>
            </w:r>
          </w:p>
          <w:p>
            <w:pPr>
              <w:pStyle w:val="ListParagraph"/>
              <w:widowControl/>
              <w:bidi w:val="0"/>
              <w:spacing w:lineRule="exact" w:line="240" w:before="0" w:after="0"/>
              <w:ind w:left="0" w:right="0" w:hanging="0"/>
              <w:contextualSpacing/>
              <w:jc w:val="left"/>
              <w:textAlignment w:val="auto"/>
              <w:rPr>
                <w:lang w:val="ro-RO"/>
              </w:rPr>
            </w:pPr>
            <w:r>
              <w:rPr>
                <w:sz w:val="22"/>
                <w:szCs w:val="22"/>
                <w:lang w:val="ro-RO"/>
              </w:rPr>
              <w:t>Vulpe N.</w:t>
            </w:r>
          </w:p>
          <w:p>
            <w:pPr>
              <w:pStyle w:val="ListParagraph"/>
              <w:widowControl/>
              <w:bidi w:val="0"/>
              <w:spacing w:lineRule="auto" w:line="276" w:before="0" w:after="200"/>
              <w:ind w:left="0" w:right="0" w:hanging="0"/>
              <w:contextualSpacing/>
              <w:jc w:val="left"/>
              <w:textAlignment w:val="auto"/>
              <w:rPr>
                <w:rFonts w:ascii="Times New Roman" w:hAnsi="Times New Roman"/>
                <w:sz w:val="22"/>
                <w:szCs w:val="22"/>
                <w:lang w:val="ro-RO"/>
              </w:rPr>
            </w:pPr>
            <w:r>
              <w:rPr>
                <w:sz w:val="22"/>
                <w:szCs w:val="22"/>
                <w:lang w:val="ro-RO"/>
              </w:rPr>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rPr>
              <w:t>First integrals of cubic systems with the maximum number of invariant lines</w:t>
            </w:r>
            <w:r>
              <w:rPr>
                <w:sz w:val="22"/>
                <w:szCs w:val="22"/>
                <w:lang w:val="en-CA"/>
              </w:rPr>
              <w:t xml:space="preserve">.  </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w:t>
            </w:r>
            <w:r>
              <w:rPr>
                <w:rFonts w:cs="Times New Roman CE" w:ascii="Times New Roman CE" w:hAnsi="Times New Roman CE"/>
                <w:sz w:val="22"/>
                <w:szCs w:val="22"/>
                <w:lang w:val="ro-RO"/>
              </w:rPr>
              <w:t xml:space="preserve"> secţie</w:t>
            </w:r>
          </w:p>
          <w:p>
            <w:pPr>
              <w:pStyle w:val="ListParagraph"/>
              <w:widowControl/>
              <w:bidi w:val="0"/>
              <w:spacing w:lineRule="auto" w:line="276" w:before="0" w:after="200"/>
              <w:ind w:left="0" w:right="0" w:hanging="0"/>
              <w:contextualSpacing/>
              <w:jc w:val="both"/>
              <w:textAlignment w:val="auto"/>
              <w:rPr>
                <w:rFonts w:ascii="Times New Roman" w:hAnsi="Times New Roman"/>
                <w:sz w:val="22"/>
                <w:szCs w:val="22"/>
                <w:lang w:val="ro-RO"/>
              </w:rPr>
            </w:pPr>
            <w:r>
              <w:rPr>
                <w:sz w:val="22"/>
                <w:szCs w:val="22"/>
                <w:lang w:val="ro-RO"/>
              </w:rPr>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rFonts w:ascii="Times New Roman" w:hAnsi="Times New Roman"/>
                <w:szCs w:val="20"/>
                <w:lang w:val="en-US"/>
              </w:rPr>
            </w:pPr>
            <w:r>
              <w:rPr>
                <w:szCs w:val="20"/>
                <w:lang w:val="en-US"/>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Calin Iu., Ciubotaru S.</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rPr>
              <w:t>GL(2, R)-comitants and Lyapunov quantities for bidimensional polynomial systems of differential equations with nonlinearities of the fourth degree.</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w:t>
            </w:r>
            <w:r>
              <w:rPr>
                <w:rFonts w:cs="Times New Roman CE" w:ascii="Times New Roman CE" w:hAnsi="Times New Roman CE"/>
                <w:sz w:val="22"/>
                <w:szCs w:val="22"/>
                <w:lang w:val="ro-RO"/>
              </w:rPr>
              <w:t xml:space="preserve"> secţie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rFonts w:ascii="Times New Roman" w:hAnsi="Times New Roman"/>
                <w:szCs w:val="20"/>
                <w:lang w:val="en-US"/>
              </w:rPr>
            </w:pPr>
            <w:r>
              <w:rPr>
                <w:szCs w:val="20"/>
                <w:lang w:val="en-US"/>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Ciubotaru S., Calin Iu.</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rPr>
              <w:t>The center conditions for a class of bidimensional polynomial systems of differential equations with nonlinearities of the fourth degree.</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rFonts w:ascii="Times New Roman" w:hAnsi="Times New Roman"/>
                <w:szCs w:val="20"/>
                <w:lang w:val="en-US"/>
              </w:rPr>
            </w:pPr>
            <w:r>
              <w:rPr>
                <w:szCs w:val="20"/>
                <w:lang w:val="en-US"/>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Dryma V.</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rPr>
              <w:t>On solving equations of flows of incompressible liquids</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rFonts w:ascii="Times New Roman" w:hAnsi="Times New Roman"/>
                <w:szCs w:val="20"/>
                <w:lang w:val="en-US"/>
              </w:rPr>
            </w:pPr>
            <w:r>
              <w:rPr>
                <w:szCs w:val="20"/>
                <w:lang w:val="en-US"/>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Neagu N.;    Popa M.</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rPr>
              <w:t>Lie algebras of ternary differential systems with quadratic nonlinearities of the Darboux form and applications.</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rFonts w:ascii="Times New Roman" w:hAnsi="Times New Roman"/>
                <w:szCs w:val="20"/>
                <w:lang w:val="en-US"/>
              </w:rPr>
            </w:pPr>
            <w:r>
              <w:rPr>
                <w:szCs w:val="20"/>
                <w:lang w:val="en-US"/>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Orlov V.;</w:t>
            </w:r>
          </w:p>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Popa M.</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en-US"/>
              </w:rPr>
            </w:pPr>
            <w:r>
              <w:rPr>
                <w:sz w:val="22"/>
                <w:szCs w:val="22"/>
                <w:lang w:val="en-US"/>
              </w:rPr>
              <w:t>Canonical forms of the four-dimensional Lyapunov-Darboux differential system with quadratic nonlinearities.</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rFonts w:ascii="Times New Roman" w:hAnsi="Times New Roman"/>
                <w:szCs w:val="20"/>
                <w:lang w:val="en-US"/>
              </w:rPr>
            </w:pPr>
            <w:r>
              <w:rPr>
                <w:szCs w:val="20"/>
                <w:lang w:val="en-US"/>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Port S.; Pricop V.; Trifan V.</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rPr>
              <w:t>The mathematical model of emotion impact.</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rFonts w:ascii="Times New Roman" w:hAnsi="Times New Roman"/>
                <w:szCs w:val="20"/>
                <w:lang w:val="en-US"/>
              </w:rPr>
            </w:pPr>
            <w:r>
              <w:rPr>
                <w:szCs w:val="20"/>
                <w:lang w:val="en-US"/>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Pricop V.</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rPr>
              <w:t>The differential system s(1,3,5) and corresponding common Hilbert series.</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rFonts w:ascii="Times New Roman" w:hAnsi="Times New Roman"/>
                <w:szCs w:val="20"/>
                <w:lang w:val="en-US"/>
              </w:rPr>
            </w:pPr>
            <w:r>
              <w:rPr>
                <w:szCs w:val="20"/>
                <w:lang w:val="en-US"/>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rFonts w:cs="Times New Roman CE" w:ascii="Times New Roman CE" w:hAnsi="Times New Roman CE"/>
                <w:sz w:val="22"/>
                <w:szCs w:val="22"/>
                <w:lang w:val="ro-RO"/>
              </w:rPr>
              <w:t>Şubă A.; Turuta S.</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rPr>
              <w:t>Integrability of Lotka-Volterra cubic systems with (1:-2)-singularity having six invariant straight lines of two directions.</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rFonts w:ascii="Times New Roman" w:hAnsi="Times New Roman"/>
                <w:szCs w:val="20"/>
                <w:lang w:val="en-US"/>
              </w:rPr>
            </w:pPr>
            <w:r>
              <w:rPr>
                <w:szCs w:val="20"/>
                <w:lang w:val="en-US"/>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rFonts w:cs="Times New Roman CE" w:ascii="Times New Roman CE" w:hAnsi="Times New Roman CE"/>
                <w:sz w:val="22"/>
                <w:szCs w:val="22"/>
                <w:lang w:val="ro-RO"/>
              </w:rPr>
              <w:t>Vacaraş O.</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rPr>
              <w:t>Maximal multiplicity of the line at infinity for cubic differential systems with two real parallel invariant straight lines.</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pPr>
            <w:r>
              <w:rPr>
                <w:sz w:val="22"/>
                <w:szCs w:val="22"/>
              </w:rPr>
              <w:t xml:space="preserve">5-я Международная </w:t>
            </w:r>
            <w:r>
              <w:rPr>
                <w:sz w:val="22"/>
                <w:szCs w:val="22"/>
                <w:lang w:val="en-US"/>
              </w:rPr>
              <w:t>K</w:t>
            </w:r>
            <w:r>
              <w:rPr>
                <w:sz w:val="22"/>
                <w:szCs w:val="22"/>
              </w:rPr>
              <w:t>онференция “Проблемы математической и теоретической физики и математическое</w:t>
            </w:r>
            <w:r>
              <w:rPr>
                <w:i/>
                <w:sz w:val="22"/>
                <w:szCs w:val="22"/>
              </w:rPr>
              <w:t xml:space="preserve"> моделирование”</w:t>
            </w:r>
            <w:r>
              <w:rPr>
                <w:b/>
                <w:sz w:val="22"/>
                <w:szCs w:val="22"/>
              </w:rPr>
              <w:t xml:space="preserve">, </w:t>
            </w:r>
            <w:r>
              <w:rPr>
                <w:sz w:val="22"/>
                <w:szCs w:val="22"/>
              </w:rPr>
              <w:t xml:space="preserve">Москва, НИЯУ МИФИ, 5-7 </w:t>
            </w:r>
            <w:r>
              <w:rPr>
                <w:sz w:val="22"/>
                <w:szCs w:val="22"/>
                <w:lang w:val="ro-RO"/>
              </w:rPr>
              <w:t>a</w:t>
            </w:r>
            <w:r>
              <w:rPr>
                <w:sz w:val="22"/>
                <w:szCs w:val="22"/>
              </w:rPr>
              <w:t>преля, 2016</w:t>
            </w:r>
            <w:r>
              <w:rPr>
                <w:sz w:val="22"/>
                <w:szCs w:val="22"/>
                <w:lang w:val="ro-RO"/>
              </w:rPr>
              <w:t>.</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Driuma V.</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pPr>
            <w:r>
              <w:rPr>
                <w:szCs w:val="20"/>
              </w:rPr>
              <w:t>Об интегрировании уравнений течения несжимаемой жидкости.</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ro-RO"/>
              </w:rPr>
            </w:pPr>
            <w:r>
              <w:rPr>
                <w:sz w:val="22"/>
                <w:szCs w:val="22"/>
                <w:lang w:val="ro-RO"/>
              </w:rPr>
              <w:t>XXII Международная конференция «Нелинейные задачи теории гидродинамической устойчивости и турбулентность»</w:t>
            </w:r>
            <w:r>
              <w:rPr>
                <w:sz w:val="22"/>
                <w:szCs w:val="22"/>
              </w:rPr>
              <w:t>,</w:t>
            </w:r>
            <w:r>
              <w:rPr>
                <w:sz w:val="22"/>
                <w:szCs w:val="22"/>
                <w:lang w:val="ro-RO"/>
              </w:rPr>
              <w:t xml:space="preserve">  14 −21 февраля  2016 г., Московск</w:t>
            </w:r>
            <w:r>
              <w:rPr>
                <w:sz w:val="22"/>
                <w:szCs w:val="22"/>
              </w:rPr>
              <w:t>ий гос</w:t>
            </w:r>
            <w:r>
              <w:rPr>
                <w:sz w:val="22"/>
                <w:szCs w:val="22"/>
                <w:lang w:val="ro-RO"/>
              </w:rPr>
              <w:t>университета, 2016.</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Driuma V.</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ro-RO"/>
              </w:rPr>
            </w:pPr>
            <w:r>
              <w:rPr>
                <w:szCs w:val="20"/>
                <w:lang w:val="ro-RO"/>
              </w:rPr>
              <w:t>On the integration of incompressible fluid flows equations</w:t>
            </w:r>
            <w:r>
              <w:rPr>
                <w:szCs w:val="20"/>
                <w:lang w:val="en-US"/>
              </w:rPr>
              <w:t>.</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en-US"/>
              </w:rPr>
            </w:pPr>
            <w:r>
              <w:rPr>
                <w:sz w:val="22"/>
                <w:szCs w:val="22"/>
                <w:lang w:val="en-US"/>
              </w:rPr>
              <w:t>International Conference on Differential Equations and Dynamical Systems, Russia, Suzdal, 8-12 July, 2016</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Driuma V.</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Cs w:val="20"/>
                <w:lang w:val="en-US"/>
              </w:rPr>
              <w:t>Limit cycles and attractors in flows of incompressible fluid.</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en-US"/>
              </w:rPr>
            </w:pPr>
            <w:r>
              <w:rPr>
                <w:sz w:val="22"/>
                <w:szCs w:val="22"/>
                <w:lang w:val="en-US"/>
              </w:rPr>
              <w:t>International Conference “Quasilinear equations, inverse problems and their applications”,</w:t>
            </w:r>
            <w:r>
              <w:rPr>
                <w:i/>
                <w:sz w:val="22"/>
                <w:szCs w:val="22"/>
                <w:lang w:val="en-US"/>
              </w:rPr>
              <w:t xml:space="preserve"> </w:t>
            </w:r>
            <w:r>
              <w:rPr>
                <w:sz w:val="22"/>
                <w:szCs w:val="22"/>
                <w:lang w:val="en-US"/>
              </w:rPr>
              <w:t>The Eurasian Association on Inverse Problems (EAIP),  Moscow Institute of Physics and Technology, Dolgoprudny,  12 Sept. 2016 - 15 Sept. 2016.</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Driuma V.</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Cs w:val="20"/>
                <w:lang w:val="en-US"/>
              </w:rPr>
              <w:t>On integration of the equations of flows of   incompressible liquids.</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en-US"/>
              </w:rPr>
            </w:pPr>
            <w:r>
              <w:rPr>
                <w:szCs w:val="20"/>
                <w:lang w:val="en-US"/>
              </w:rPr>
              <w:t>Slides</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pPr>
            <w:r>
              <w:rPr>
                <w:sz w:val="22"/>
                <w:szCs w:val="22"/>
              </w:rPr>
              <w:t>Юбилейная XXV научная сессии Совета по нелинейной динамике  Института океанологии им. П.П. Ширшова, РАН, г. Москва, 19-20  декабря 2016 г.  </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Driuma V.</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pPr>
            <w:r>
              <w:rPr>
                <w:szCs w:val="20"/>
              </w:rPr>
              <w:t>О локализованных решениях уравнений течения жидкости.</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exact" w:line="240" w:before="0" w:after="200"/>
              <w:ind w:left="0" w:right="0" w:hanging="0"/>
              <w:contextualSpacing/>
              <w:jc w:val="left"/>
              <w:textAlignment w:val="auto"/>
              <w:rPr/>
            </w:pPr>
            <w:r>
              <w:rPr>
                <w:sz w:val="22"/>
                <w:szCs w:val="22"/>
              </w:rPr>
              <w:t>Международная конференция «Системы Аносова и современная динамика», посвященная 80-летию со дня рождения Дмитрия Викторовича Аносова, г. Москва, Россия, 19–23 декабря 2016 г. ,МИ РАН им.  Стеклова</w:t>
            </w:r>
            <w:r>
              <w:rPr>
                <w:sz w:val="22"/>
                <w:szCs w:val="22"/>
                <w:lang w:val="en-US"/>
              </w:rPr>
              <w:t>.</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Driuma V.</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pPr>
            <w:r>
              <w:rPr>
                <w:szCs w:val="20"/>
              </w:rPr>
              <w:t>О решениях уравнений течения жидкости.</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exact" w:line="240" w:before="0" w:after="0"/>
              <w:ind w:left="0" w:right="0" w:hanging="0"/>
              <w:contextualSpacing/>
              <w:jc w:val="left"/>
              <w:textAlignment w:val="auto"/>
              <w:rPr/>
            </w:pPr>
            <w:r>
              <w:rPr>
                <w:sz w:val="22"/>
                <w:szCs w:val="22"/>
              </w:rPr>
              <w:t>Шестые Богдановские чтения по обыкновенным дифференциальным уравнениям. Международная математическая конференция. Минск, 7-10 декабря 2015.</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exact" w:line="240" w:before="0" w:after="0"/>
              <w:ind w:left="0" w:right="0" w:hanging="0"/>
              <w:contextualSpacing/>
              <w:jc w:val="both"/>
              <w:textAlignment w:val="auto"/>
              <w:rPr/>
            </w:pPr>
            <w:r>
              <w:rPr>
                <w:szCs w:val="20"/>
              </w:rPr>
              <w:t>Руденок А.Е.</w:t>
            </w:r>
            <w:r>
              <w:rPr>
                <w:szCs w:val="20"/>
                <w:lang w:val="ro-RO"/>
              </w:rPr>
              <w:t>;</w:t>
            </w:r>
            <w:r>
              <w:rPr>
                <w:szCs w:val="20"/>
              </w:rPr>
              <w:t xml:space="preserve"> </w:t>
            </w:r>
          </w:p>
          <w:p>
            <w:pPr>
              <w:pStyle w:val="ListParagraph"/>
              <w:widowControl/>
              <w:bidi w:val="0"/>
              <w:spacing w:lineRule="exact" w:line="240" w:before="0" w:after="0"/>
              <w:ind w:left="0" w:right="0" w:hanging="0"/>
              <w:contextualSpacing/>
              <w:jc w:val="both"/>
              <w:textAlignment w:val="auto"/>
              <w:rPr/>
            </w:pPr>
            <w:r>
              <w:rPr>
                <w:szCs w:val="20"/>
              </w:rPr>
              <w:t>Шубэ А.С.</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pPr>
            <w:r>
              <w:rPr>
                <w:szCs w:val="20"/>
              </w:rPr>
              <w:t>Базис Гребнера идеала ляпуновских</w:t>
            </w:r>
            <w:r>
              <w:rPr>
                <w:szCs w:val="20"/>
                <w:lang w:val="ro-RO"/>
              </w:rPr>
              <w:t xml:space="preserve"> </w:t>
            </w:r>
            <w:r>
              <w:rPr>
                <w:szCs w:val="20"/>
              </w:rPr>
              <w:t xml:space="preserve">величин </w:t>
            </w:r>
            <w:r>
              <w:rPr>
                <w:szCs w:val="20"/>
                <w:lang w:val="ro-RO"/>
              </w:rPr>
              <w:t>c</w:t>
            </w:r>
            <w:r>
              <w:rPr>
                <w:szCs w:val="20"/>
              </w:rPr>
              <w:t>истемы</w:t>
            </w:r>
            <w:r>
              <w:rPr>
                <w:szCs w:val="20"/>
                <w:lang w:val="ro-RO"/>
              </w:rPr>
              <w:t xml:space="preserve"> </w:t>
            </w:r>
            <w:r>
              <w:rPr>
                <w:szCs w:val="20"/>
              </w:rPr>
              <w:t>Куклеса.</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ro-MD"/>
              </w:rPr>
            </w:pPr>
            <w:r>
              <w:rPr>
                <w:bCs/>
                <w:i/>
                <w:sz w:val="22"/>
                <w:szCs w:val="22"/>
                <w:lang w:val="ro-MD"/>
              </w:rPr>
              <w:t>The 2</w:t>
            </w:r>
            <w:r>
              <w:rPr>
                <w:bCs/>
                <w:i/>
                <w:sz w:val="22"/>
                <w:szCs w:val="22"/>
                <w:lang w:val="en-US"/>
              </w:rPr>
              <w:t>4</w:t>
            </w:r>
            <w:r>
              <w:rPr>
                <w:bCs/>
                <w:i/>
                <w:sz w:val="22"/>
                <w:szCs w:val="22"/>
                <w:lang w:val="ro-MD"/>
              </w:rPr>
              <w:t>st Conference on Applied and Industrial Mathematics (CAIM-201</w:t>
            </w:r>
            <w:r>
              <w:rPr>
                <w:bCs/>
                <w:i/>
                <w:sz w:val="22"/>
                <w:szCs w:val="22"/>
                <w:lang w:val="en-US"/>
              </w:rPr>
              <w:t>6</w:t>
            </w:r>
            <w:r>
              <w:rPr>
                <w:bCs/>
                <w:i/>
                <w:sz w:val="22"/>
                <w:szCs w:val="22"/>
                <w:lang w:val="ro-MD"/>
              </w:rPr>
              <w:t>)</w:t>
            </w:r>
            <w:r>
              <w:rPr>
                <w:bCs/>
                <w:sz w:val="22"/>
                <w:szCs w:val="22"/>
                <w:lang w:val="ro-MD"/>
              </w:rPr>
              <w:t xml:space="preserve">, September 15-18, 2016. </w:t>
            </w:r>
            <w:r>
              <w:rPr>
                <w:rFonts w:cs="Times New Roman CE" w:ascii="Times New Roman CE" w:hAnsi="Times New Roman CE"/>
                <w:bCs/>
                <w:sz w:val="22"/>
                <w:szCs w:val="22"/>
                <w:lang w:val="ro-MD"/>
              </w:rPr>
              <w:t>Craiova, Româ</w:t>
            </w:r>
            <w:r>
              <w:rPr>
                <w:bCs/>
                <w:sz w:val="22"/>
                <w:szCs w:val="22"/>
                <w:lang w:val="ro-MD"/>
              </w:rPr>
              <w:t>nia.</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Bujac C.; Vulpe N.</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eastAsia="en-US"/>
              </w:rPr>
              <w:t>First integrals of the family of cubic differential systems with invariant lines of total multiplicity 8.</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rFonts w:ascii="Times New Roman" w:hAnsi="Times New Roman"/>
                <w:bCs/>
                <w:i/>
                <w:i/>
                <w:sz w:val="22"/>
                <w:szCs w:val="22"/>
                <w:lang w:val="ro-MD"/>
              </w:rPr>
            </w:pPr>
            <w:r>
              <w:rPr>
                <w:bCs/>
                <w:i/>
                <w:sz w:val="22"/>
                <w:szCs w:val="22"/>
                <w:lang w:val="ro-MD"/>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exact" w:line="240" w:before="0" w:after="0"/>
              <w:ind w:left="0" w:right="0" w:hanging="0"/>
              <w:contextualSpacing/>
              <w:jc w:val="both"/>
              <w:textAlignment w:val="auto"/>
              <w:rPr>
                <w:lang w:val="ro-RO"/>
              </w:rPr>
            </w:pPr>
            <w:r>
              <w:rPr>
                <w:sz w:val="22"/>
                <w:szCs w:val="22"/>
                <w:lang w:val="ro-RO"/>
              </w:rPr>
              <w:t xml:space="preserve">Orlov V.; </w:t>
            </w:r>
          </w:p>
          <w:p>
            <w:pPr>
              <w:pStyle w:val="ListParagraph"/>
              <w:widowControl/>
              <w:bidi w:val="0"/>
              <w:spacing w:lineRule="exact" w:line="240" w:before="0" w:after="0"/>
              <w:ind w:left="0" w:right="0" w:hanging="0"/>
              <w:contextualSpacing/>
              <w:jc w:val="both"/>
              <w:textAlignment w:val="auto"/>
              <w:rPr>
                <w:lang w:val="ro-RO"/>
              </w:rPr>
            </w:pPr>
            <w:r>
              <w:rPr>
                <w:sz w:val="22"/>
                <w:szCs w:val="22"/>
                <w:lang w:val="ro-RO"/>
              </w:rPr>
              <w:t>Popa M.</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rPr>
              <w:t>Invariant conditions for the stability of the unperturbed motion for the four-dimensional nonlinear polynomial differential system.</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rFonts w:ascii="Times New Roman" w:hAnsi="Times New Roman"/>
                <w:bCs/>
                <w:i/>
                <w:i/>
                <w:sz w:val="22"/>
                <w:szCs w:val="22"/>
                <w:lang w:val="ro-MD"/>
              </w:rPr>
            </w:pPr>
            <w:r>
              <w:rPr>
                <w:bCs/>
                <w:i/>
                <w:sz w:val="22"/>
                <w:szCs w:val="22"/>
                <w:lang w:val="ro-MD"/>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Pricop V.</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ro-MD"/>
              </w:rPr>
            </w:pPr>
            <w:r>
              <w:rPr>
                <w:sz w:val="22"/>
                <w:szCs w:val="22"/>
                <w:lang w:val="ro-MD"/>
              </w:rPr>
              <w:t>The common Hilbert series of the differential system s(1,3,7) and the Krull dimensions of Sibirsky algebras.</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rFonts w:ascii="Times New Roman" w:hAnsi="Times New Roman"/>
                <w:bCs/>
                <w:i/>
                <w:i/>
                <w:sz w:val="22"/>
                <w:szCs w:val="22"/>
                <w:lang w:val="ro-MD"/>
              </w:rPr>
            </w:pPr>
            <w:r>
              <w:rPr>
                <w:bCs/>
                <w:i/>
                <w:sz w:val="22"/>
                <w:szCs w:val="22"/>
                <w:lang w:val="ro-MD"/>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rFonts w:cs="Times New Roman CE" w:ascii="Times New Roman CE" w:hAnsi="Times New Roman CE"/>
                <w:sz w:val="22"/>
                <w:szCs w:val="22"/>
                <w:lang w:val="ro-RO"/>
              </w:rPr>
              <w:t>Şubă A.; Vacaraş O.</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eastAsia="en-US"/>
              </w:rPr>
              <w:t>Cubic differential systems with two parallel complex invariant straight lines of multiplicity m(2;2;3).</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rFonts w:ascii="Times New Roman" w:hAnsi="Times New Roman"/>
                <w:bCs/>
                <w:i/>
                <w:i/>
                <w:sz w:val="22"/>
                <w:szCs w:val="22"/>
                <w:lang w:val="ro-MD"/>
              </w:rPr>
            </w:pPr>
            <w:r>
              <w:rPr>
                <w:bCs/>
                <w:i/>
                <w:sz w:val="22"/>
                <w:szCs w:val="22"/>
                <w:lang w:val="ro-MD"/>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Turuta S.</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en-US"/>
              </w:rPr>
            </w:pPr>
            <w:r>
              <w:rPr>
                <w:sz w:val="22"/>
                <w:szCs w:val="22"/>
                <w:lang w:val="en-US"/>
              </w:rPr>
              <w:t>Daboux integrability of Lotka-Volterra cubic di</w:t>
            </w:r>
            <w:r>
              <w:rPr>
                <w:rFonts w:cs="Cambria Math" w:ascii="Cambria Math" w:hAnsi="Cambria Math"/>
                <w:sz w:val="22"/>
                <w:szCs w:val="22"/>
              </w:rPr>
              <w:t>ﬀ</w:t>
            </w:r>
            <w:r>
              <w:rPr>
                <w:sz w:val="22"/>
                <w:szCs w:val="22"/>
                <w:lang w:val="en-US"/>
              </w:rPr>
              <w:t xml:space="preserve">erential systems with 1:-2 resonant singularity and six straight lines of three directions. </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en-US"/>
              </w:rPr>
            </w:pPr>
            <w:r>
              <w:rPr>
                <w:szCs w:val="20"/>
                <w:lang w:val="en-US" w:eastAsia="en-US"/>
              </w:rPr>
              <w:t>The International Scientific Conference “Differential-Functional Equations and their Application”, September 28-30, 2016, Chernivtsi, Ukraine</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exact" w:line="240" w:before="0" w:after="0"/>
              <w:ind w:left="0" w:right="0" w:hanging="0"/>
              <w:contextualSpacing/>
              <w:jc w:val="left"/>
              <w:textAlignment w:val="auto"/>
              <w:rPr>
                <w:lang w:val="ro-RO"/>
              </w:rPr>
            </w:pPr>
            <w:r>
              <w:rPr>
                <w:sz w:val="22"/>
                <w:szCs w:val="22"/>
                <w:lang w:val="ro-RO"/>
              </w:rPr>
              <w:t>Neagu N.; Cozma D.;</w:t>
            </w:r>
          </w:p>
          <w:p>
            <w:pPr>
              <w:pStyle w:val="ListParagraph"/>
              <w:widowControl/>
              <w:bidi w:val="0"/>
              <w:spacing w:lineRule="exact" w:line="240" w:before="0" w:after="0"/>
              <w:ind w:left="0" w:right="0" w:hanging="0"/>
              <w:contextualSpacing/>
              <w:jc w:val="left"/>
              <w:textAlignment w:val="auto"/>
              <w:rPr>
                <w:lang w:val="ro-RO"/>
              </w:rPr>
            </w:pPr>
            <w:r>
              <w:rPr>
                <w:sz w:val="22"/>
                <w:szCs w:val="22"/>
                <w:lang w:val="ro-RO"/>
              </w:rPr>
              <w:t>Popa M.</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eastAsia="en-US"/>
              </w:rPr>
              <w:t>Centro-affin invariants and stability of unperturbed motion in ternary polynomial differential systems.</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rFonts w:ascii="Times New Roman" w:hAnsi="Times New Roman"/>
                <w:color w:val="000000"/>
                <w:sz w:val="22"/>
                <w:szCs w:val="22"/>
                <w:lang w:val="ro-RO"/>
              </w:rPr>
            </w:pPr>
            <w:r>
              <w:rPr>
                <w:color w:val="000000"/>
                <w:sz w:val="22"/>
                <w:szCs w:val="22"/>
                <w:lang w:val="ro-RO"/>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exact" w:line="240" w:before="0" w:after="0"/>
              <w:ind w:left="0" w:right="0" w:hanging="0"/>
              <w:contextualSpacing/>
              <w:jc w:val="both"/>
              <w:textAlignment w:val="auto"/>
              <w:rPr>
                <w:lang w:val="ro-RO"/>
              </w:rPr>
            </w:pPr>
            <w:r>
              <w:rPr>
                <w:rFonts w:cs="Times New Roman CE" w:ascii="Times New Roman CE" w:hAnsi="Times New Roman CE"/>
                <w:sz w:val="22"/>
                <w:szCs w:val="22"/>
                <w:lang w:val="ro-RO"/>
              </w:rPr>
              <w:t>Şubă A.;</w:t>
            </w:r>
          </w:p>
          <w:p>
            <w:pPr>
              <w:pStyle w:val="ListParagraph"/>
              <w:widowControl/>
              <w:bidi w:val="0"/>
              <w:spacing w:lineRule="exact" w:line="240" w:before="0" w:after="0"/>
              <w:ind w:left="0" w:right="0" w:hanging="0"/>
              <w:contextualSpacing/>
              <w:jc w:val="both"/>
              <w:textAlignment w:val="auto"/>
              <w:rPr>
                <w:lang w:val="ro-RO"/>
              </w:rPr>
            </w:pPr>
            <w:r>
              <w:rPr>
                <w:rFonts w:cs="Times New Roman CE" w:ascii="Times New Roman CE" w:hAnsi="Times New Roman CE"/>
                <w:sz w:val="22"/>
                <w:szCs w:val="22"/>
                <w:lang w:val="ro-RO"/>
              </w:rPr>
              <w:t>Vacaraş</w:t>
            </w:r>
            <w:r>
              <w:rPr>
                <w:sz w:val="22"/>
                <w:szCs w:val="22"/>
                <w:lang w:val="ro-RO"/>
              </w:rPr>
              <w:t xml:space="preserve"> O.</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eastAsia="en-US"/>
              </w:rPr>
              <w:t>Maximal multiplicity of the line at infinity for cubic differential systems with two real non-parallel invariant straight lines.</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rFonts w:ascii="Times New Roman" w:hAnsi="Times New Roman"/>
                <w:color w:val="000000"/>
                <w:sz w:val="22"/>
                <w:szCs w:val="22"/>
                <w:lang w:val="ro-RO"/>
              </w:rPr>
            </w:pPr>
            <w:r>
              <w:rPr>
                <w:color w:val="000000"/>
                <w:sz w:val="22"/>
                <w:szCs w:val="22"/>
                <w:lang w:val="ro-RO"/>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ro-RO"/>
              </w:rPr>
            </w:pPr>
            <w:r>
              <w:rPr>
                <w:rFonts w:cs="Times New Roman CE" w:ascii="Times New Roman CE" w:hAnsi="Times New Roman CE"/>
                <w:sz w:val="22"/>
                <w:szCs w:val="22"/>
                <w:lang w:val="ro-RO"/>
              </w:rPr>
              <w:t>Roudenok A.; Şubă A.</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ro-RO"/>
              </w:rPr>
            </w:pPr>
            <w:r>
              <w:rPr>
                <w:sz w:val="22"/>
                <w:szCs w:val="22"/>
                <w:lang w:val="ro-RO"/>
              </w:rPr>
              <w:t>Center conditions for non-linear differential systems.</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rFonts w:ascii="Times New Roman" w:hAnsi="Times New Roman"/>
                <w:color w:val="000000"/>
                <w:sz w:val="22"/>
                <w:szCs w:val="22"/>
                <w:lang w:val="ro-RO"/>
              </w:rPr>
            </w:pPr>
            <w:r>
              <w:rPr>
                <w:color w:val="000000"/>
                <w:sz w:val="22"/>
                <w:szCs w:val="22"/>
                <w:lang w:val="ro-RO"/>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Turuta S.</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rPr>
              <w:t>Classi</w:t>
            </w:r>
            <w:r>
              <w:rPr>
                <w:sz w:val="22"/>
                <w:szCs w:val="22"/>
              </w:rPr>
              <w:t>ﬁ</w:t>
            </w:r>
            <w:r>
              <w:rPr>
                <w:sz w:val="22"/>
                <w:szCs w:val="22"/>
                <w:lang w:val="en-US"/>
              </w:rPr>
              <w:t>cation of Lotka-Volterra cubic systems with 1:-2 singularity and straight lines of three directions and total multiplicity six.</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en-US"/>
              </w:rPr>
            </w:pPr>
            <w:r>
              <w:rPr>
                <w:lang w:val="en-US"/>
              </w:rPr>
              <w:t>XII </w:t>
            </w:r>
            <w:r>
              <w:rPr/>
              <w:t>Белорусская</w:t>
            </w:r>
            <w:r>
              <w:rPr>
                <w:lang w:val="en-US"/>
              </w:rPr>
              <w:t> </w:t>
            </w:r>
            <w:r>
              <w:rPr/>
              <w:t>математическая</w:t>
            </w:r>
            <w:r>
              <w:rPr>
                <w:lang w:val="en-US"/>
              </w:rPr>
              <w:t> </w:t>
            </w:r>
          </w:p>
          <w:p>
            <w:pPr>
              <w:pStyle w:val="ListParagraph"/>
              <w:widowControl/>
              <w:bidi w:val="0"/>
              <w:spacing w:lineRule="auto" w:line="276" w:before="0" w:after="200"/>
              <w:ind w:left="0" w:right="0" w:hanging="0"/>
              <w:contextualSpacing/>
              <w:jc w:val="left"/>
              <w:textAlignment w:val="auto"/>
              <w:rPr>
                <w:lang w:val="en-US"/>
              </w:rPr>
            </w:pPr>
            <w:r>
              <w:rPr>
                <w:szCs w:val="20"/>
                <w:lang w:val="en-US"/>
              </w:rPr>
              <w:t> </w:t>
            </w:r>
            <w:r>
              <w:rPr>
                <w:szCs w:val="20"/>
              </w:rPr>
              <w:t>конференция</w:t>
            </w:r>
            <w:r>
              <w:rPr>
                <w:szCs w:val="20"/>
                <w:lang w:val="en-US"/>
              </w:rPr>
              <w:t> </w:t>
            </w:r>
            <w:r>
              <w:rPr>
                <w:szCs w:val="20"/>
                <w:lang w:val="ro-RO"/>
              </w:rPr>
              <w:t>(</w:t>
            </w:r>
            <w:r>
              <w:rPr>
                <w:rStyle w:val="Nowrap"/>
                <w:szCs w:val="20"/>
              </w:rPr>
              <w:t>БМК-2016</w:t>
            </w:r>
            <w:r>
              <w:rPr>
                <w:rStyle w:val="Nowrap"/>
                <w:szCs w:val="20"/>
                <w:lang w:val="ro-RO"/>
              </w:rPr>
              <w:t xml:space="preserve">), </w:t>
            </w:r>
            <w:r>
              <w:rPr>
                <w:szCs w:val="20"/>
              </w:rPr>
              <w:t>5–10</w:t>
            </w:r>
            <w:r>
              <w:rPr>
                <w:szCs w:val="20"/>
                <w:lang w:val="en-US"/>
              </w:rPr>
              <w:t> </w:t>
            </w:r>
            <w:r>
              <w:rPr>
                <w:szCs w:val="20"/>
              </w:rPr>
              <w:t>сентября 2016 года, Минск</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rFonts w:cs="Times New Roman CE" w:ascii="Times New Roman CE" w:hAnsi="Times New Roman CE"/>
                <w:sz w:val="22"/>
                <w:szCs w:val="22"/>
                <w:lang w:val="ro-RO"/>
              </w:rPr>
              <w:t>Roudenok A.; Şubă A.</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eastAsia="en-US"/>
              </w:rPr>
              <w:t>Necessary and sufficient center conditions for differential systems of non-linear oscillations</w:t>
            </w:r>
            <w:r>
              <w:rPr>
                <w:szCs w:val="20"/>
                <w:lang w:val="en-US" w:eastAsia="en-US"/>
              </w:rPr>
              <w:t>.</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ro-RO"/>
              </w:rPr>
            </w:pPr>
            <w:r>
              <w:rPr>
                <w:rFonts w:cs="Times New Roman CE" w:ascii="Times New Roman CE" w:hAnsi="Times New Roman CE"/>
                <w:sz w:val="22"/>
                <w:szCs w:val="22"/>
                <w:lang w:val="ro-RO"/>
              </w:rPr>
              <w:t xml:space="preserve">Conferinţa Ştiinţifică Internaţională a Doctoranzilor – Tendinţe contemporane ale dezvoltării Ştiinţei: Viziuni ale tinerilor cercetători, </w:t>
            </w:r>
            <w:r>
              <w:rPr>
                <w:sz w:val="22"/>
                <w:szCs w:val="22"/>
                <w:lang w:val="ro-RO"/>
              </w:rPr>
              <w:t>25 mai 2016</w:t>
            </w:r>
            <w:r>
              <w:rPr>
                <w:rFonts w:cs="Times New Roman CE" w:ascii="Times New Roman CE" w:hAnsi="Times New Roman CE"/>
                <w:sz w:val="22"/>
                <w:szCs w:val="22"/>
                <w:lang w:val="ro-RO"/>
              </w:rPr>
              <w:t>, Chişinău, Republica Moldova</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Turuta S.</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en-US"/>
              </w:rPr>
            </w:pPr>
            <w:r>
              <w:rPr>
                <w:sz w:val="22"/>
                <w:szCs w:val="22"/>
                <w:lang w:val="en-US"/>
              </w:rPr>
              <w:t xml:space="preserve">Darboux first integrals of Lotka-Volterra cubic differential systems with (1:-2)-singularity having invariant straight lines of two directions and total multiplicity six. </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w:t>
            </w:r>
            <w:r>
              <w:rPr>
                <w:rFonts w:cs="Times New Roman CE" w:ascii="Times New Roman CE" w:hAnsi="Times New Roman CE"/>
                <w:sz w:val="22"/>
                <w:szCs w:val="22"/>
                <w:lang w:val="ro-RO"/>
              </w:rPr>
              <w:t xml:space="preserve"> secţie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en-US"/>
              </w:rPr>
            </w:pPr>
            <w:r>
              <w:rPr>
                <w:szCs w:val="20"/>
                <w:lang w:val="en-US"/>
              </w:rPr>
              <w:t xml:space="preserve">International Conference “Mathematics &amp;  Information Technologies:  Research and Education”  (MITRE – 2016), 6-th edition. </w:t>
            </w:r>
            <w:r>
              <w:rPr>
                <w:rFonts w:cs="Times New Roman CE" w:ascii="Times New Roman CE" w:hAnsi="Times New Roman CE"/>
                <w:szCs w:val="20"/>
                <w:lang w:val="ro-RO"/>
              </w:rPr>
              <w:t>Abstracts, Chişinău, June</w:t>
            </w:r>
            <w:r>
              <w:rPr>
                <w:szCs w:val="20"/>
                <w:lang w:val="ro-RO"/>
              </w:rPr>
              <w:t xml:space="preserve"> 23-25, 2016</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exact" w:line="240" w:before="0" w:after="0"/>
              <w:ind w:left="0" w:right="0" w:hanging="0"/>
              <w:contextualSpacing/>
              <w:jc w:val="left"/>
              <w:textAlignment w:val="auto"/>
              <w:rPr>
                <w:lang w:val="ro-RO"/>
              </w:rPr>
            </w:pPr>
            <w:r>
              <w:rPr>
                <w:sz w:val="22"/>
                <w:szCs w:val="22"/>
                <w:lang w:val="ro-RO"/>
              </w:rPr>
              <w:t xml:space="preserve">Bujac C., </w:t>
            </w:r>
          </w:p>
          <w:p>
            <w:pPr>
              <w:pStyle w:val="ListParagraph"/>
              <w:widowControl/>
              <w:bidi w:val="0"/>
              <w:spacing w:lineRule="exact" w:line="240" w:before="0" w:after="0"/>
              <w:ind w:left="0" w:right="0" w:hanging="0"/>
              <w:contextualSpacing/>
              <w:jc w:val="left"/>
              <w:textAlignment w:val="auto"/>
              <w:rPr>
                <w:lang w:val="ro-RO"/>
              </w:rPr>
            </w:pPr>
            <w:r>
              <w:rPr>
                <w:sz w:val="22"/>
                <w:szCs w:val="22"/>
                <w:lang w:val="ro-RO"/>
              </w:rPr>
              <w:t>Vulpe N.</w:t>
            </w:r>
          </w:p>
          <w:p>
            <w:pPr>
              <w:pStyle w:val="ListParagraph"/>
              <w:widowControl/>
              <w:bidi w:val="0"/>
              <w:spacing w:lineRule="auto" w:line="276" w:before="0" w:after="200"/>
              <w:ind w:left="0" w:right="0" w:hanging="0"/>
              <w:contextualSpacing/>
              <w:jc w:val="left"/>
              <w:textAlignment w:val="auto"/>
              <w:rPr>
                <w:rFonts w:ascii="Times New Roman" w:hAnsi="Times New Roman"/>
                <w:sz w:val="22"/>
                <w:szCs w:val="22"/>
                <w:lang w:val="ro-RO"/>
              </w:rPr>
            </w:pPr>
            <w:r>
              <w:rPr>
                <w:sz w:val="22"/>
                <w:szCs w:val="22"/>
                <w:lang w:val="ro-RO"/>
              </w:rPr>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rPr>
              <w:t>First integrals of cubic systems with the maximum number of invariant lines</w:t>
            </w:r>
            <w:r>
              <w:rPr>
                <w:sz w:val="22"/>
                <w:szCs w:val="22"/>
                <w:lang w:val="en-CA"/>
              </w:rPr>
              <w:t xml:space="preserve">.  </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w:t>
            </w:r>
            <w:r>
              <w:rPr>
                <w:rFonts w:cs="Times New Roman CE" w:ascii="Times New Roman CE" w:hAnsi="Times New Roman CE"/>
                <w:sz w:val="22"/>
                <w:szCs w:val="22"/>
                <w:lang w:val="ro-RO"/>
              </w:rPr>
              <w:t xml:space="preserve"> secţie</w:t>
            </w:r>
          </w:p>
          <w:p>
            <w:pPr>
              <w:pStyle w:val="ListParagraph"/>
              <w:widowControl/>
              <w:bidi w:val="0"/>
              <w:spacing w:lineRule="auto" w:line="276" w:before="0" w:after="200"/>
              <w:ind w:left="0" w:right="0" w:hanging="0"/>
              <w:contextualSpacing/>
              <w:jc w:val="both"/>
              <w:textAlignment w:val="auto"/>
              <w:rPr>
                <w:rFonts w:ascii="Times New Roman" w:hAnsi="Times New Roman"/>
                <w:sz w:val="22"/>
                <w:szCs w:val="22"/>
                <w:lang w:val="ro-RO"/>
              </w:rPr>
            </w:pPr>
            <w:r>
              <w:rPr>
                <w:sz w:val="22"/>
                <w:szCs w:val="22"/>
                <w:lang w:val="ro-RO"/>
              </w:rPr>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rFonts w:ascii="Times New Roman" w:hAnsi="Times New Roman"/>
                <w:szCs w:val="20"/>
                <w:lang w:val="en-US"/>
              </w:rPr>
            </w:pPr>
            <w:r>
              <w:rPr>
                <w:szCs w:val="20"/>
                <w:lang w:val="en-US"/>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Calin Iu., Ciubotaru S.</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rPr>
              <w:t>GL(2, R)-comitants and Lyapunov quantities for bidimensional polynomial systems of differential equations with nonlinearities of the fourth degree.</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w:t>
            </w:r>
            <w:r>
              <w:rPr>
                <w:rFonts w:cs="Times New Roman CE" w:ascii="Times New Roman CE" w:hAnsi="Times New Roman CE"/>
                <w:sz w:val="22"/>
                <w:szCs w:val="22"/>
                <w:lang w:val="ro-RO"/>
              </w:rPr>
              <w:t xml:space="preserve"> secţie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rFonts w:ascii="Times New Roman" w:hAnsi="Times New Roman"/>
                <w:szCs w:val="20"/>
                <w:lang w:val="en-US"/>
              </w:rPr>
            </w:pPr>
            <w:r>
              <w:rPr>
                <w:szCs w:val="20"/>
                <w:lang w:val="en-US"/>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Ciubotaru S., Calin Iu.</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rPr>
              <w:t>The center conditions for a class of bidimensional polynomial systems of differential equations with nonlinearities of the fourth degree.</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rFonts w:ascii="Times New Roman" w:hAnsi="Times New Roman"/>
                <w:szCs w:val="20"/>
                <w:lang w:val="en-US"/>
              </w:rPr>
            </w:pPr>
            <w:r>
              <w:rPr>
                <w:szCs w:val="20"/>
                <w:lang w:val="en-US"/>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Dryma V.</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rPr>
              <w:t>On solving equations of flows of incompressible liquids</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rFonts w:ascii="Times New Roman" w:hAnsi="Times New Roman"/>
                <w:szCs w:val="20"/>
                <w:lang w:val="en-US"/>
              </w:rPr>
            </w:pPr>
            <w:r>
              <w:rPr>
                <w:szCs w:val="20"/>
                <w:lang w:val="en-US"/>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Neagu N.;    Popa M.</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rPr>
              <w:t>Lie algebras of ternary differential systems with quadratic nonlinearities of the Darboux form and applications.</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rFonts w:ascii="Times New Roman" w:hAnsi="Times New Roman"/>
                <w:szCs w:val="20"/>
                <w:lang w:val="en-US"/>
              </w:rPr>
            </w:pPr>
            <w:r>
              <w:rPr>
                <w:szCs w:val="20"/>
                <w:lang w:val="en-US"/>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Orlov V.;</w:t>
            </w:r>
          </w:p>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Popa M.</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en-US"/>
              </w:rPr>
            </w:pPr>
            <w:r>
              <w:rPr>
                <w:sz w:val="22"/>
                <w:szCs w:val="22"/>
                <w:lang w:val="en-US"/>
              </w:rPr>
              <w:t>Canonical forms of the four-dimensional Lyapunov-Darboux differential system with quadratic nonlinearities.</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rFonts w:ascii="Times New Roman" w:hAnsi="Times New Roman"/>
                <w:szCs w:val="20"/>
                <w:lang w:val="en-US"/>
              </w:rPr>
            </w:pPr>
            <w:r>
              <w:rPr>
                <w:szCs w:val="20"/>
                <w:lang w:val="en-US"/>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Port S.; Pricop V.; Trifan V.</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rPr>
              <w:t>The mathematical model of emotion impact.</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rFonts w:ascii="Times New Roman" w:hAnsi="Times New Roman"/>
                <w:szCs w:val="20"/>
                <w:lang w:val="en-US"/>
              </w:rPr>
            </w:pPr>
            <w:r>
              <w:rPr>
                <w:szCs w:val="20"/>
                <w:lang w:val="en-US"/>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Pricop V.</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rPr>
              <w:t>The differential system s(1,3,5) and corresponding common Hilbert series.</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rFonts w:ascii="Times New Roman" w:hAnsi="Times New Roman"/>
                <w:szCs w:val="20"/>
                <w:lang w:val="en-US"/>
              </w:rPr>
            </w:pPr>
            <w:r>
              <w:rPr>
                <w:szCs w:val="20"/>
                <w:lang w:val="en-US"/>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rFonts w:cs="Times New Roman CE" w:ascii="Times New Roman CE" w:hAnsi="Times New Roman CE"/>
                <w:sz w:val="22"/>
                <w:szCs w:val="22"/>
                <w:lang w:val="ro-RO"/>
              </w:rPr>
              <w:t>Şubă A.; Turuta S.</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rPr>
              <w:t>Integrability of Lotka-Volterra cubic systems with (1:-2)-singularity having six invariant straight lines of two directions.</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rFonts w:ascii="Times New Roman" w:hAnsi="Times New Roman"/>
                <w:szCs w:val="20"/>
                <w:lang w:val="en-US"/>
              </w:rPr>
            </w:pPr>
            <w:r>
              <w:rPr>
                <w:szCs w:val="20"/>
                <w:lang w:val="en-US"/>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rFonts w:cs="Times New Roman CE" w:ascii="Times New Roman CE" w:hAnsi="Times New Roman CE"/>
                <w:sz w:val="22"/>
                <w:szCs w:val="22"/>
                <w:lang w:val="ro-RO"/>
              </w:rPr>
              <w:t>Vacaraş O.</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rPr>
              <w:t>Maximal multiplicity of the line at infinity for cubic differential systems with two real parallel invariant straight lines.</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pPr>
            <w:r>
              <w:rPr>
                <w:sz w:val="22"/>
                <w:szCs w:val="22"/>
              </w:rPr>
              <w:t xml:space="preserve">5-я Международная </w:t>
            </w:r>
            <w:r>
              <w:rPr>
                <w:sz w:val="22"/>
                <w:szCs w:val="22"/>
                <w:lang w:val="en-US"/>
              </w:rPr>
              <w:t>K</w:t>
            </w:r>
            <w:r>
              <w:rPr>
                <w:sz w:val="22"/>
                <w:szCs w:val="22"/>
              </w:rPr>
              <w:t>онференция “Проблемы математической и теоретической физики и математическое</w:t>
            </w:r>
            <w:r>
              <w:rPr>
                <w:i/>
                <w:sz w:val="22"/>
                <w:szCs w:val="22"/>
              </w:rPr>
              <w:t xml:space="preserve"> моделирование”</w:t>
            </w:r>
            <w:r>
              <w:rPr>
                <w:b/>
                <w:sz w:val="22"/>
                <w:szCs w:val="22"/>
              </w:rPr>
              <w:t xml:space="preserve">, </w:t>
            </w:r>
            <w:r>
              <w:rPr>
                <w:sz w:val="22"/>
                <w:szCs w:val="22"/>
              </w:rPr>
              <w:t xml:space="preserve">Москва, НИЯУ МИФИ, 5-7 </w:t>
            </w:r>
            <w:r>
              <w:rPr>
                <w:sz w:val="22"/>
                <w:szCs w:val="22"/>
                <w:lang w:val="ro-RO"/>
              </w:rPr>
              <w:t>a</w:t>
            </w:r>
            <w:r>
              <w:rPr>
                <w:sz w:val="22"/>
                <w:szCs w:val="22"/>
              </w:rPr>
              <w:t>преля, 2016</w:t>
            </w:r>
            <w:r>
              <w:rPr>
                <w:sz w:val="22"/>
                <w:szCs w:val="22"/>
                <w:lang w:val="ro-RO"/>
              </w:rPr>
              <w:t>.</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Driuma V.</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pPr>
            <w:r>
              <w:rPr>
                <w:szCs w:val="20"/>
              </w:rPr>
              <w:t>Об интегрировании уравнений течения несжимаемой жидкости.</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ro-RO"/>
              </w:rPr>
            </w:pPr>
            <w:r>
              <w:rPr>
                <w:sz w:val="22"/>
                <w:szCs w:val="22"/>
                <w:lang w:val="ro-RO"/>
              </w:rPr>
              <w:t>XXII Международная конференция «Нелинейные задачи теории гидродинамической устойчивости и турбулентность»</w:t>
            </w:r>
            <w:r>
              <w:rPr>
                <w:sz w:val="22"/>
                <w:szCs w:val="22"/>
              </w:rPr>
              <w:t>,</w:t>
            </w:r>
            <w:r>
              <w:rPr>
                <w:sz w:val="22"/>
                <w:szCs w:val="22"/>
                <w:lang w:val="ro-RO"/>
              </w:rPr>
              <w:t xml:space="preserve">  14 −21 февраля  2016 г., Московск</w:t>
            </w:r>
            <w:r>
              <w:rPr>
                <w:sz w:val="22"/>
                <w:szCs w:val="22"/>
              </w:rPr>
              <w:t>ий гос</w:t>
            </w:r>
            <w:r>
              <w:rPr>
                <w:sz w:val="22"/>
                <w:szCs w:val="22"/>
                <w:lang w:val="ro-RO"/>
              </w:rPr>
              <w:t>университета, 2016.</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Driuma V.</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ro-RO"/>
              </w:rPr>
            </w:pPr>
            <w:r>
              <w:rPr>
                <w:szCs w:val="20"/>
                <w:lang w:val="ro-RO"/>
              </w:rPr>
              <w:t>On the integration of incompressible fluid flows equations</w:t>
            </w:r>
            <w:r>
              <w:rPr>
                <w:szCs w:val="20"/>
                <w:lang w:val="en-US"/>
              </w:rPr>
              <w:t>.</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en-US"/>
              </w:rPr>
            </w:pPr>
            <w:r>
              <w:rPr>
                <w:sz w:val="22"/>
                <w:szCs w:val="22"/>
                <w:lang w:val="en-US"/>
              </w:rPr>
              <w:t>International Conference on Differential Equations and Dynamical Systems, Russia, Suzdal, 8-12 July, 2016</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Driuma V.</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Cs w:val="20"/>
                <w:lang w:val="en-US"/>
              </w:rPr>
              <w:t>Limit cycles and attractors in flows of incompressible fluid.</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en-US"/>
              </w:rPr>
            </w:pPr>
            <w:r>
              <w:rPr>
                <w:sz w:val="22"/>
                <w:szCs w:val="22"/>
                <w:lang w:val="en-US"/>
              </w:rPr>
              <w:t>International Conference “Quasilinear equations, inverse problems and their applications”,</w:t>
            </w:r>
            <w:r>
              <w:rPr>
                <w:i/>
                <w:sz w:val="22"/>
                <w:szCs w:val="22"/>
                <w:lang w:val="en-US"/>
              </w:rPr>
              <w:t xml:space="preserve"> </w:t>
            </w:r>
            <w:r>
              <w:rPr>
                <w:sz w:val="22"/>
                <w:szCs w:val="22"/>
                <w:lang w:val="en-US"/>
              </w:rPr>
              <w:t>The Eurasian Association on Inverse Problems (EAIP),  Moscow Institute of Physics and Technology, Dolgoprudny,  12 Sept. 2016 - 15 Sept. 2016.</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Driuma V.</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Cs w:val="20"/>
                <w:lang w:val="en-US"/>
              </w:rPr>
              <w:t>On integration of the equations of flows of   incompressible liquids.</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en-US"/>
              </w:rPr>
            </w:pPr>
            <w:r>
              <w:rPr>
                <w:szCs w:val="20"/>
                <w:lang w:val="en-US"/>
              </w:rPr>
              <w:t>Slides</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pPr>
            <w:r>
              <w:rPr>
                <w:sz w:val="22"/>
                <w:szCs w:val="22"/>
              </w:rPr>
              <w:t>Юбилейная XXV научная сессии Совета по нелинейной динамике  Института океанологии им. П.П. Ширшова, РАН, г. Москва, 19-20  декабря 2016 г.  </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Driuma V.</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pPr>
            <w:r>
              <w:rPr>
                <w:szCs w:val="20"/>
              </w:rPr>
              <w:t>О локализованных решениях уравнений течения жидкости.</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exact" w:line="240" w:before="0" w:after="200"/>
              <w:ind w:left="0" w:right="0" w:hanging="0"/>
              <w:contextualSpacing/>
              <w:jc w:val="left"/>
              <w:textAlignment w:val="auto"/>
              <w:rPr/>
            </w:pPr>
            <w:r>
              <w:rPr>
                <w:sz w:val="22"/>
                <w:szCs w:val="22"/>
              </w:rPr>
              <w:t>Международная конференция «Системы Аносова и современная динамика», посвященная 80-летию со дня рождения Дмитрия Викторовича Аносова, г. Москва, Россия, 19–23 декабря 2016 г. ,МИ РАН им.  Стеклова</w:t>
            </w:r>
            <w:r>
              <w:rPr>
                <w:sz w:val="22"/>
                <w:szCs w:val="22"/>
                <w:lang w:val="en-US"/>
              </w:rPr>
              <w:t>.</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Driuma V.</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pPr>
            <w:r>
              <w:rPr>
                <w:szCs w:val="20"/>
              </w:rPr>
              <w:t>О решениях уравнений течения жидкости.</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exact" w:line="240" w:before="0" w:after="0"/>
              <w:ind w:left="0" w:right="0" w:hanging="0"/>
              <w:contextualSpacing/>
              <w:jc w:val="left"/>
              <w:textAlignment w:val="auto"/>
              <w:rPr/>
            </w:pPr>
            <w:r>
              <w:rPr>
                <w:sz w:val="22"/>
                <w:szCs w:val="22"/>
              </w:rPr>
              <w:t>Шестые Богдановские чтения по обыкновенным дифференциальным уравнениям. Международная математическая конференция. Минск, 7-10 декабря 2015.</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exact" w:line="240" w:before="0" w:after="0"/>
              <w:ind w:left="0" w:right="0" w:hanging="0"/>
              <w:contextualSpacing/>
              <w:jc w:val="both"/>
              <w:textAlignment w:val="auto"/>
              <w:rPr/>
            </w:pPr>
            <w:r>
              <w:rPr>
                <w:szCs w:val="20"/>
              </w:rPr>
              <w:t>Руденок А.Е.</w:t>
            </w:r>
            <w:r>
              <w:rPr>
                <w:szCs w:val="20"/>
                <w:lang w:val="ro-RO"/>
              </w:rPr>
              <w:t>;</w:t>
            </w:r>
            <w:r>
              <w:rPr>
                <w:szCs w:val="20"/>
              </w:rPr>
              <w:t xml:space="preserve"> </w:t>
            </w:r>
          </w:p>
          <w:p>
            <w:pPr>
              <w:pStyle w:val="ListParagraph"/>
              <w:widowControl/>
              <w:bidi w:val="0"/>
              <w:spacing w:lineRule="exact" w:line="240" w:before="0" w:after="0"/>
              <w:ind w:left="0" w:right="0" w:hanging="0"/>
              <w:contextualSpacing/>
              <w:jc w:val="both"/>
              <w:textAlignment w:val="auto"/>
              <w:rPr/>
            </w:pPr>
            <w:r>
              <w:rPr>
                <w:szCs w:val="20"/>
              </w:rPr>
              <w:t>Шубэ А.С.</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pPr>
            <w:r>
              <w:rPr>
                <w:szCs w:val="20"/>
              </w:rPr>
              <w:t>Базис Гребнера идеала ляпуновских</w:t>
            </w:r>
            <w:r>
              <w:rPr>
                <w:szCs w:val="20"/>
                <w:lang w:val="ro-RO"/>
              </w:rPr>
              <w:t xml:space="preserve"> </w:t>
            </w:r>
            <w:r>
              <w:rPr>
                <w:szCs w:val="20"/>
              </w:rPr>
              <w:t xml:space="preserve">величин </w:t>
            </w:r>
            <w:r>
              <w:rPr>
                <w:szCs w:val="20"/>
                <w:lang w:val="ro-RO"/>
              </w:rPr>
              <w:t>c</w:t>
            </w:r>
            <w:r>
              <w:rPr>
                <w:szCs w:val="20"/>
              </w:rPr>
              <w:t>истемы</w:t>
            </w:r>
            <w:r>
              <w:rPr>
                <w:szCs w:val="20"/>
                <w:lang w:val="ro-RO"/>
              </w:rPr>
              <w:t xml:space="preserve"> </w:t>
            </w:r>
            <w:r>
              <w:rPr>
                <w:szCs w:val="20"/>
              </w:rPr>
              <w:t>Куклеса.</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ro-MD"/>
              </w:rPr>
            </w:pPr>
            <w:r>
              <w:rPr>
                <w:bCs/>
                <w:i/>
                <w:sz w:val="22"/>
                <w:szCs w:val="22"/>
                <w:lang w:val="ro-MD"/>
              </w:rPr>
              <w:t>The 2</w:t>
            </w:r>
            <w:r>
              <w:rPr>
                <w:bCs/>
                <w:i/>
                <w:sz w:val="22"/>
                <w:szCs w:val="22"/>
                <w:lang w:val="en-US"/>
              </w:rPr>
              <w:t>4</w:t>
            </w:r>
            <w:r>
              <w:rPr>
                <w:bCs/>
                <w:i/>
                <w:sz w:val="22"/>
                <w:szCs w:val="22"/>
                <w:lang w:val="ro-MD"/>
              </w:rPr>
              <w:t>st Conference on Applied and Industrial Mathematics (CAIM-201</w:t>
            </w:r>
            <w:r>
              <w:rPr>
                <w:bCs/>
                <w:i/>
                <w:sz w:val="22"/>
                <w:szCs w:val="22"/>
                <w:lang w:val="en-US"/>
              </w:rPr>
              <w:t>6</w:t>
            </w:r>
            <w:r>
              <w:rPr>
                <w:bCs/>
                <w:i/>
                <w:sz w:val="22"/>
                <w:szCs w:val="22"/>
                <w:lang w:val="ro-MD"/>
              </w:rPr>
              <w:t>)</w:t>
            </w:r>
            <w:r>
              <w:rPr>
                <w:bCs/>
                <w:sz w:val="22"/>
                <w:szCs w:val="22"/>
                <w:lang w:val="ro-MD"/>
              </w:rPr>
              <w:t xml:space="preserve">, September 15-18, 2016. </w:t>
            </w:r>
            <w:r>
              <w:rPr>
                <w:rFonts w:cs="Times New Roman CE" w:ascii="Times New Roman CE" w:hAnsi="Times New Roman CE"/>
                <w:bCs/>
                <w:sz w:val="22"/>
                <w:szCs w:val="22"/>
                <w:lang w:val="ro-MD"/>
              </w:rPr>
              <w:t>Craiova, Româ</w:t>
            </w:r>
            <w:r>
              <w:rPr>
                <w:bCs/>
                <w:sz w:val="22"/>
                <w:szCs w:val="22"/>
                <w:lang w:val="ro-MD"/>
              </w:rPr>
              <w:t>nia.</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Bujac C.; Vulpe N.</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eastAsia="en-US"/>
              </w:rPr>
              <w:t>First integrals of the family of cubic differential systems with invariant lines of total multiplicity 8.</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rFonts w:ascii="Times New Roman" w:hAnsi="Times New Roman"/>
                <w:bCs/>
                <w:i/>
                <w:i/>
                <w:sz w:val="22"/>
                <w:szCs w:val="22"/>
                <w:lang w:val="ro-MD"/>
              </w:rPr>
            </w:pPr>
            <w:r>
              <w:rPr>
                <w:bCs/>
                <w:i/>
                <w:sz w:val="22"/>
                <w:szCs w:val="22"/>
                <w:lang w:val="ro-MD"/>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exact" w:line="240" w:before="0" w:after="0"/>
              <w:ind w:left="0" w:right="0" w:hanging="0"/>
              <w:contextualSpacing/>
              <w:jc w:val="both"/>
              <w:textAlignment w:val="auto"/>
              <w:rPr>
                <w:lang w:val="ro-RO"/>
              </w:rPr>
            </w:pPr>
            <w:r>
              <w:rPr>
                <w:sz w:val="22"/>
                <w:szCs w:val="22"/>
                <w:lang w:val="ro-RO"/>
              </w:rPr>
              <w:t xml:space="preserve">Orlov V.; </w:t>
            </w:r>
          </w:p>
          <w:p>
            <w:pPr>
              <w:pStyle w:val="ListParagraph"/>
              <w:widowControl/>
              <w:bidi w:val="0"/>
              <w:spacing w:lineRule="exact" w:line="240" w:before="0" w:after="0"/>
              <w:ind w:left="0" w:right="0" w:hanging="0"/>
              <w:contextualSpacing/>
              <w:jc w:val="both"/>
              <w:textAlignment w:val="auto"/>
              <w:rPr>
                <w:lang w:val="ro-RO"/>
              </w:rPr>
            </w:pPr>
            <w:r>
              <w:rPr>
                <w:sz w:val="22"/>
                <w:szCs w:val="22"/>
                <w:lang w:val="ro-RO"/>
              </w:rPr>
              <w:t>Popa M.</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rPr>
              <w:t>Invariant conditions for the stability of the unperturbed motion for the four-dimensional nonlinear polynomial differential system.</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rFonts w:ascii="Times New Roman" w:hAnsi="Times New Roman"/>
                <w:bCs/>
                <w:i/>
                <w:i/>
                <w:sz w:val="22"/>
                <w:szCs w:val="22"/>
                <w:lang w:val="ro-MD"/>
              </w:rPr>
            </w:pPr>
            <w:r>
              <w:rPr>
                <w:bCs/>
                <w:i/>
                <w:sz w:val="22"/>
                <w:szCs w:val="22"/>
                <w:lang w:val="ro-MD"/>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Pricop V.</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ro-MD"/>
              </w:rPr>
            </w:pPr>
            <w:r>
              <w:rPr>
                <w:sz w:val="22"/>
                <w:szCs w:val="22"/>
                <w:lang w:val="ro-MD"/>
              </w:rPr>
              <w:t>The common Hilbert series of the differential system s(1,3,7) and the Krull dimensions of Sibirsky algebras.</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rFonts w:ascii="Times New Roman" w:hAnsi="Times New Roman"/>
                <w:bCs/>
                <w:i/>
                <w:i/>
                <w:sz w:val="22"/>
                <w:szCs w:val="22"/>
                <w:lang w:val="ro-MD"/>
              </w:rPr>
            </w:pPr>
            <w:r>
              <w:rPr>
                <w:bCs/>
                <w:i/>
                <w:sz w:val="22"/>
                <w:szCs w:val="22"/>
                <w:lang w:val="ro-MD"/>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rFonts w:cs="Times New Roman CE" w:ascii="Times New Roman CE" w:hAnsi="Times New Roman CE"/>
                <w:sz w:val="22"/>
                <w:szCs w:val="22"/>
                <w:lang w:val="ro-RO"/>
              </w:rPr>
              <w:t>Şubă A.; Vacaraş O.</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eastAsia="en-US"/>
              </w:rPr>
              <w:t>Cubic differential systems with two parallel complex invariant straight lines of multiplicity m(2;2;3).</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rFonts w:ascii="Times New Roman" w:hAnsi="Times New Roman"/>
                <w:bCs/>
                <w:i/>
                <w:i/>
                <w:sz w:val="22"/>
                <w:szCs w:val="22"/>
                <w:lang w:val="ro-MD"/>
              </w:rPr>
            </w:pPr>
            <w:r>
              <w:rPr>
                <w:bCs/>
                <w:i/>
                <w:sz w:val="22"/>
                <w:szCs w:val="22"/>
                <w:lang w:val="ro-MD"/>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Turuta S.</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en-US"/>
              </w:rPr>
            </w:pPr>
            <w:r>
              <w:rPr>
                <w:sz w:val="22"/>
                <w:szCs w:val="22"/>
                <w:lang w:val="en-US"/>
              </w:rPr>
              <w:t>Daboux integrability of Lotka-Volterra cubic di</w:t>
            </w:r>
            <w:r>
              <w:rPr>
                <w:rFonts w:cs="Cambria Math" w:ascii="Cambria Math" w:hAnsi="Cambria Math"/>
                <w:sz w:val="22"/>
                <w:szCs w:val="22"/>
              </w:rPr>
              <w:t>ﬀ</w:t>
            </w:r>
            <w:r>
              <w:rPr>
                <w:sz w:val="22"/>
                <w:szCs w:val="22"/>
                <w:lang w:val="en-US"/>
              </w:rPr>
              <w:t xml:space="preserve">erential systems with 1:-2 resonant singularity and six straight lines of three directions. </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en-US"/>
              </w:rPr>
            </w:pPr>
            <w:r>
              <w:rPr>
                <w:szCs w:val="20"/>
                <w:lang w:val="en-US" w:eastAsia="en-US"/>
              </w:rPr>
              <w:t>The International Scientific Conference “Differential-Functional Equations and their Application”, September 28-30, 2016, Chernivtsi, Ukraine</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exact" w:line="240" w:before="0" w:after="0"/>
              <w:ind w:left="0" w:right="0" w:hanging="0"/>
              <w:contextualSpacing/>
              <w:jc w:val="left"/>
              <w:textAlignment w:val="auto"/>
              <w:rPr>
                <w:lang w:val="ro-RO"/>
              </w:rPr>
            </w:pPr>
            <w:r>
              <w:rPr>
                <w:sz w:val="22"/>
                <w:szCs w:val="22"/>
                <w:lang w:val="ro-RO"/>
              </w:rPr>
              <w:t>Neagu N.; Cozma D.;</w:t>
            </w:r>
          </w:p>
          <w:p>
            <w:pPr>
              <w:pStyle w:val="ListParagraph"/>
              <w:widowControl/>
              <w:bidi w:val="0"/>
              <w:spacing w:lineRule="exact" w:line="240" w:before="0" w:after="0"/>
              <w:ind w:left="0" w:right="0" w:hanging="0"/>
              <w:contextualSpacing/>
              <w:jc w:val="left"/>
              <w:textAlignment w:val="auto"/>
              <w:rPr>
                <w:lang w:val="ro-RO"/>
              </w:rPr>
            </w:pPr>
            <w:r>
              <w:rPr>
                <w:sz w:val="22"/>
                <w:szCs w:val="22"/>
                <w:lang w:val="ro-RO"/>
              </w:rPr>
              <w:t>Popa M.</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eastAsia="en-US"/>
              </w:rPr>
              <w:t>Centro-affin invariants and stability of unperturbed motion in ternary polynomial differential systems.</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rFonts w:ascii="Times New Roman" w:hAnsi="Times New Roman"/>
                <w:color w:val="000000"/>
                <w:sz w:val="22"/>
                <w:szCs w:val="22"/>
                <w:lang w:val="ro-RO"/>
              </w:rPr>
            </w:pPr>
            <w:r>
              <w:rPr>
                <w:color w:val="000000"/>
                <w:sz w:val="22"/>
                <w:szCs w:val="22"/>
                <w:lang w:val="ro-RO"/>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exact" w:line="240" w:before="0" w:after="0"/>
              <w:ind w:left="0" w:right="0" w:hanging="0"/>
              <w:contextualSpacing/>
              <w:jc w:val="both"/>
              <w:textAlignment w:val="auto"/>
              <w:rPr>
                <w:lang w:val="ro-RO"/>
              </w:rPr>
            </w:pPr>
            <w:r>
              <w:rPr>
                <w:rFonts w:cs="Times New Roman CE" w:ascii="Times New Roman CE" w:hAnsi="Times New Roman CE"/>
                <w:sz w:val="22"/>
                <w:szCs w:val="22"/>
                <w:lang w:val="ro-RO"/>
              </w:rPr>
              <w:t>Şubă A.;</w:t>
            </w:r>
          </w:p>
          <w:p>
            <w:pPr>
              <w:pStyle w:val="ListParagraph"/>
              <w:widowControl/>
              <w:bidi w:val="0"/>
              <w:spacing w:lineRule="exact" w:line="240" w:before="0" w:after="0"/>
              <w:ind w:left="0" w:right="0" w:hanging="0"/>
              <w:contextualSpacing/>
              <w:jc w:val="both"/>
              <w:textAlignment w:val="auto"/>
              <w:rPr>
                <w:lang w:val="ro-RO"/>
              </w:rPr>
            </w:pPr>
            <w:r>
              <w:rPr>
                <w:rFonts w:cs="Times New Roman CE" w:ascii="Times New Roman CE" w:hAnsi="Times New Roman CE"/>
                <w:sz w:val="22"/>
                <w:szCs w:val="22"/>
                <w:lang w:val="ro-RO"/>
              </w:rPr>
              <w:t>Vacaraş O.</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eastAsia="en-US"/>
              </w:rPr>
              <w:t>Maximal multiplicity of the line at infinity for cubic differential systems with two real non-parallel invariant straight lines.</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rFonts w:ascii="Times New Roman" w:hAnsi="Times New Roman"/>
                <w:color w:val="000000"/>
                <w:sz w:val="22"/>
                <w:szCs w:val="22"/>
                <w:lang w:val="ro-RO"/>
              </w:rPr>
            </w:pPr>
            <w:r>
              <w:rPr>
                <w:color w:val="000000"/>
                <w:sz w:val="22"/>
                <w:szCs w:val="22"/>
                <w:lang w:val="ro-RO"/>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ro-RO"/>
              </w:rPr>
            </w:pPr>
            <w:r>
              <w:rPr>
                <w:rFonts w:cs="Times New Roman CE" w:ascii="Times New Roman CE" w:hAnsi="Times New Roman CE"/>
                <w:sz w:val="22"/>
                <w:szCs w:val="22"/>
                <w:lang w:val="ro-RO"/>
              </w:rPr>
              <w:t>Roudenok A.; Şubă A.</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ro-RO"/>
              </w:rPr>
            </w:pPr>
            <w:r>
              <w:rPr>
                <w:sz w:val="22"/>
                <w:szCs w:val="22"/>
                <w:lang w:val="ro-RO"/>
              </w:rPr>
              <w:t>Center conditions for non-linear differential systems.</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rFonts w:ascii="Times New Roman" w:hAnsi="Times New Roman"/>
                <w:color w:val="000000"/>
                <w:sz w:val="22"/>
                <w:szCs w:val="22"/>
                <w:lang w:val="ro-RO"/>
              </w:rPr>
            </w:pPr>
            <w:r>
              <w:rPr>
                <w:color w:val="000000"/>
                <w:sz w:val="22"/>
                <w:szCs w:val="22"/>
                <w:lang w:val="ro-RO"/>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Turuta S.</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rPr>
              <w:t>Classi</w:t>
            </w:r>
            <w:r>
              <w:rPr>
                <w:sz w:val="22"/>
                <w:szCs w:val="22"/>
              </w:rPr>
              <w:t>ﬁ</w:t>
            </w:r>
            <w:r>
              <w:rPr>
                <w:sz w:val="22"/>
                <w:szCs w:val="22"/>
                <w:lang w:val="en-US"/>
              </w:rPr>
              <w:t>cation of Lotka-Volterra cubic systems with 1:-2 singularity and straight lines of three directions and total multiplicity six.</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en-US"/>
              </w:rPr>
            </w:pPr>
            <w:r>
              <w:rPr>
                <w:lang w:val="en-US"/>
              </w:rPr>
              <w:t>XII </w:t>
            </w:r>
            <w:r>
              <w:rPr/>
              <w:t>Белорусская</w:t>
            </w:r>
            <w:r>
              <w:rPr>
                <w:lang w:val="en-US"/>
              </w:rPr>
              <w:t> </w:t>
            </w:r>
            <w:r>
              <w:rPr/>
              <w:t>математическая</w:t>
            </w:r>
            <w:r>
              <w:rPr>
                <w:lang w:val="en-US"/>
              </w:rPr>
              <w:t> </w:t>
            </w:r>
          </w:p>
          <w:p>
            <w:pPr>
              <w:pStyle w:val="ListParagraph"/>
              <w:widowControl/>
              <w:bidi w:val="0"/>
              <w:spacing w:lineRule="auto" w:line="276" w:before="0" w:after="200"/>
              <w:ind w:left="0" w:right="0" w:hanging="0"/>
              <w:contextualSpacing/>
              <w:jc w:val="left"/>
              <w:textAlignment w:val="auto"/>
              <w:rPr>
                <w:lang w:val="en-US"/>
              </w:rPr>
            </w:pPr>
            <w:r>
              <w:rPr>
                <w:szCs w:val="20"/>
                <w:lang w:val="en-US"/>
              </w:rPr>
              <w:t> </w:t>
            </w:r>
            <w:r>
              <w:rPr>
                <w:szCs w:val="20"/>
              </w:rPr>
              <w:t>конференция</w:t>
            </w:r>
            <w:r>
              <w:rPr>
                <w:szCs w:val="20"/>
                <w:lang w:val="en-US"/>
              </w:rPr>
              <w:t> </w:t>
            </w:r>
            <w:r>
              <w:rPr>
                <w:szCs w:val="20"/>
                <w:lang w:val="ro-RO"/>
              </w:rPr>
              <w:t>(</w:t>
            </w:r>
            <w:r>
              <w:rPr>
                <w:rStyle w:val="Nowrap"/>
                <w:szCs w:val="20"/>
              </w:rPr>
              <w:t>БМК-2016</w:t>
            </w:r>
            <w:r>
              <w:rPr>
                <w:rStyle w:val="Nowrap"/>
                <w:szCs w:val="20"/>
                <w:lang w:val="ro-RO"/>
              </w:rPr>
              <w:t xml:space="preserve">), </w:t>
            </w:r>
            <w:r>
              <w:rPr>
                <w:szCs w:val="20"/>
              </w:rPr>
              <w:t>5–10</w:t>
            </w:r>
            <w:r>
              <w:rPr>
                <w:szCs w:val="20"/>
                <w:lang w:val="en-US"/>
              </w:rPr>
              <w:t> </w:t>
            </w:r>
            <w:r>
              <w:rPr>
                <w:szCs w:val="20"/>
              </w:rPr>
              <w:t>сентября 2016 года, Минск</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rFonts w:cs="Times New Roman CE" w:ascii="Times New Roman CE" w:hAnsi="Times New Roman CE"/>
                <w:sz w:val="22"/>
                <w:szCs w:val="22"/>
                <w:lang w:val="ro-RO"/>
              </w:rPr>
              <w:t>Roudenok A.; Şubă A.</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eastAsia="en-US"/>
              </w:rPr>
              <w:t>Necessary and sufficient center conditions for differential systems of non-linear oscillations</w:t>
            </w:r>
            <w:r>
              <w:rPr>
                <w:szCs w:val="20"/>
                <w:lang w:val="en-US" w:eastAsia="en-US"/>
              </w:rPr>
              <w:t>.</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ro-RO"/>
              </w:rPr>
            </w:pPr>
            <w:r>
              <w:rPr>
                <w:rFonts w:cs="Times New Roman CE" w:ascii="Times New Roman CE" w:hAnsi="Times New Roman CE"/>
                <w:sz w:val="22"/>
                <w:szCs w:val="22"/>
                <w:lang w:val="ro-RO"/>
              </w:rPr>
              <w:t xml:space="preserve">Conferinţa Ştiinţifică Internaţională a Doctoranzilor – Tendinţe contemporane ale dezvoltării Ştiinţei: Viziuni ale tinerilor cercetători, </w:t>
            </w:r>
            <w:r>
              <w:rPr>
                <w:sz w:val="22"/>
                <w:szCs w:val="22"/>
                <w:lang w:val="ro-RO"/>
              </w:rPr>
              <w:t>25 mai 2016</w:t>
            </w:r>
            <w:r>
              <w:rPr>
                <w:rFonts w:cs="Times New Roman CE" w:ascii="Times New Roman CE" w:hAnsi="Times New Roman CE"/>
                <w:sz w:val="22"/>
                <w:szCs w:val="22"/>
                <w:lang w:val="ro-RO"/>
              </w:rPr>
              <w:t>, Chişinău, Republica Moldova</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Turuta S.</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en-US"/>
              </w:rPr>
            </w:pPr>
            <w:r>
              <w:rPr>
                <w:sz w:val="22"/>
                <w:szCs w:val="22"/>
                <w:lang w:val="en-US"/>
              </w:rPr>
              <w:t xml:space="preserve">Darboux first integrals of Lotka-Volterra cubic differential systems with (1:-2)-singularity having invariant straight lines of two directions and total multiplicity six. </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w:t>
            </w:r>
            <w:r>
              <w:rPr>
                <w:rFonts w:cs="Times New Roman CE" w:ascii="Times New Roman CE" w:hAnsi="Times New Roman CE"/>
                <w:sz w:val="22"/>
                <w:szCs w:val="22"/>
                <w:lang w:val="ro-RO"/>
              </w:rPr>
              <w:t xml:space="preserve"> secţie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en-US"/>
              </w:rPr>
            </w:pPr>
            <w:r>
              <w:rPr>
                <w:szCs w:val="20"/>
                <w:lang w:val="en-US"/>
              </w:rPr>
              <w:t xml:space="preserve">International Conference “Mathematics &amp;  Information Technologies:  Research and Education”  (MITRE – 2016), 6-th edition. </w:t>
            </w:r>
            <w:r>
              <w:rPr>
                <w:rFonts w:cs="Times New Roman CE" w:ascii="Times New Roman CE" w:hAnsi="Times New Roman CE"/>
                <w:szCs w:val="20"/>
                <w:lang w:val="ro-RO"/>
              </w:rPr>
              <w:t>Abstracts, Chişinău, June</w:t>
            </w:r>
            <w:r>
              <w:rPr>
                <w:szCs w:val="20"/>
                <w:lang w:val="ro-RO"/>
              </w:rPr>
              <w:t xml:space="preserve"> 23-25, 2016</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exact" w:line="240" w:before="0" w:after="0"/>
              <w:ind w:left="0" w:right="0" w:hanging="0"/>
              <w:contextualSpacing/>
              <w:jc w:val="left"/>
              <w:textAlignment w:val="auto"/>
              <w:rPr>
                <w:lang w:val="ro-RO"/>
              </w:rPr>
            </w:pPr>
            <w:r>
              <w:rPr>
                <w:sz w:val="22"/>
                <w:szCs w:val="22"/>
                <w:lang w:val="ro-RO"/>
              </w:rPr>
              <w:t xml:space="preserve">Bujac C., </w:t>
            </w:r>
          </w:p>
          <w:p>
            <w:pPr>
              <w:pStyle w:val="ListParagraph"/>
              <w:widowControl/>
              <w:bidi w:val="0"/>
              <w:spacing w:lineRule="exact" w:line="240" w:before="0" w:after="0"/>
              <w:ind w:left="0" w:right="0" w:hanging="0"/>
              <w:contextualSpacing/>
              <w:jc w:val="left"/>
              <w:textAlignment w:val="auto"/>
              <w:rPr>
                <w:lang w:val="ro-RO"/>
              </w:rPr>
            </w:pPr>
            <w:r>
              <w:rPr>
                <w:sz w:val="22"/>
                <w:szCs w:val="22"/>
                <w:lang w:val="ro-RO"/>
              </w:rPr>
              <w:t>Vulpe N.</w:t>
            </w:r>
          </w:p>
          <w:p>
            <w:pPr>
              <w:pStyle w:val="ListParagraph"/>
              <w:widowControl/>
              <w:bidi w:val="0"/>
              <w:spacing w:lineRule="auto" w:line="276" w:before="0" w:after="200"/>
              <w:ind w:left="0" w:right="0" w:hanging="0"/>
              <w:contextualSpacing/>
              <w:jc w:val="left"/>
              <w:textAlignment w:val="auto"/>
              <w:rPr>
                <w:rFonts w:ascii="Times New Roman" w:hAnsi="Times New Roman"/>
                <w:sz w:val="22"/>
                <w:szCs w:val="22"/>
                <w:lang w:val="ro-RO"/>
              </w:rPr>
            </w:pPr>
            <w:r>
              <w:rPr>
                <w:sz w:val="22"/>
                <w:szCs w:val="22"/>
                <w:lang w:val="ro-RO"/>
              </w:rPr>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rPr>
              <w:t>First integrals of cubic systems with the maximum number of invariant lines</w:t>
            </w:r>
            <w:r>
              <w:rPr>
                <w:sz w:val="22"/>
                <w:szCs w:val="22"/>
                <w:lang w:val="en-CA"/>
              </w:rPr>
              <w:t xml:space="preserve">.  </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w:t>
            </w:r>
            <w:r>
              <w:rPr>
                <w:rFonts w:cs="Times New Roman CE" w:ascii="Times New Roman CE" w:hAnsi="Times New Roman CE"/>
                <w:sz w:val="22"/>
                <w:szCs w:val="22"/>
                <w:lang w:val="ro-RO"/>
              </w:rPr>
              <w:t xml:space="preserve"> secţie</w:t>
            </w:r>
          </w:p>
          <w:p>
            <w:pPr>
              <w:pStyle w:val="ListParagraph"/>
              <w:widowControl/>
              <w:bidi w:val="0"/>
              <w:spacing w:lineRule="auto" w:line="276" w:before="0" w:after="200"/>
              <w:ind w:left="0" w:right="0" w:hanging="0"/>
              <w:contextualSpacing/>
              <w:jc w:val="both"/>
              <w:textAlignment w:val="auto"/>
              <w:rPr>
                <w:rFonts w:ascii="Times New Roman" w:hAnsi="Times New Roman"/>
                <w:sz w:val="22"/>
                <w:szCs w:val="22"/>
                <w:lang w:val="ro-RO"/>
              </w:rPr>
            </w:pPr>
            <w:r>
              <w:rPr>
                <w:sz w:val="22"/>
                <w:szCs w:val="22"/>
                <w:lang w:val="ro-RO"/>
              </w:rPr>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rFonts w:ascii="Times New Roman" w:hAnsi="Times New Roman"/>
                <w:szCs w:val="20"/>
                <w:lang w:val="en-US"/>
              </w:rPr>
            </w:pPr>
            <w:r>
              <w:rPr>
                <w:szCs w:val="20"/>
                <w:lang w:val="en-US"/>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Calin Iu., Ciubotaru S.</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rPr>
              <w:t>GL(2, R)-comitants and Lyapunov quantities for bidimensional polynomial systems of differential equations with nonlinearities of the fourth degree.</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w:t>
            </w:r>
            <w:r>
              <w:rPr>
                <w:rFonts w:cs="Times New Roman CE" w:ascii="Times New Roman CE" w:hAnsi="Times New Roman CE"/>
                <w:sz w:val="22"/>
                <w:szCs w:val="22"/>
                <w:lang w:val="ro-RO"/>
              </w:rPr>
              <w:t xml:space="preserve"> secţie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rFonts w:ascii="Times New Roman" w:hAnsi="Times New Roman"/>
                <w:szCs w:val="20"/>
                <w:lang w:val="en-US"/>
              </w:rPr>
            </w:pPr>
            <w:r>
              <w:rPr>
                <w:szCs w:val="20"/>
                <w:lang w:val="en-US"/>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Ciubotaru S., Calin Iu.</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rPr>
              <w:t>The center conditions for a class of bidimensional polynomial systems of differential equations with nonlinearities of the fourth degree.</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rFonts w:ascii="Times New Roman" w:hAnsi="Times New Roman"/>
                <w:szCs w:val="20"/>
                <w:lang w:val="en-US"/>
              </w:rPr>
            </w:pPr>
            <w:r>
              <w:rPr>
                <w:szCs w:val="20"/>
                <w:lang w:val="en-US"/>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Dryma V.</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rPr>
              <w:t>On solving equations of flows of incompressible liquids</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rFonts w:ascii="Times New Roman" w:hAnsi="Times New Roman"/>
                <w:szCs w:val="20"/>
                <w:lang w:val="en-US"/>
              </w:rPr>
            </w:pPr>
            <w:r>
              <w:rPr>
                <w:szCs w:val="20"/>
                <w:lang w:val="en-US"/>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Neagu N.;    Popa M.</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rPr>
              <w:t>Lie algebras of ternary differential systems with quadratic nonlinearities of the Darboux form and applications.</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rFonts w:ascii="Times New Roman" w:hAnsi="Times New Roman"/>
                <w:szCs w:val="20"/>
                <w:lang w:val="en-US"/>
              </w:rPr>
            </w:pPr>
            <w:r>
              <w:rPr>
                <w:szCs w:val="20"/>
                <w:lang w:val="en-US"/>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Orlov V.;</w:t>
            </w:r>
          </w:p>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Popa M.</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en-US"/>
              </w:rPr>
            </w:pPr>
            <w:r>
              <w:rPr>
                <w:sz w:val="22"/>
                <w:szCs w:val="22"/>
                <w:lang w:val="en-US"/>
              </w:rPr>
              <w:t>Canonical forms of the four-dimensional Lyapunov-Darboux differential system with quadratic nonlinearities.</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rFonts w:ascii="Times New Roman" w:hAnsi="Times New Roman"/>
                <w:szCs w:val="20"/>
                <w:lang w:val="en-US"/>
              </w:rPr>
            </w:pPr>
            <w:r>
              <w:rPr>
                <w:szCs w:val="20"/>
                <w:lang w:val="en-US"/>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Port S.; Pricop V.; Trifan V.</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rPr>
              <w:t>The mathematical model of emotion impact.</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rFonts w:ascii="Times New Roman" w:hAnsi="Times New Roman"/>
                <w:szCs w:val="20"/>
                <w:lang w:val="en-US"/>
              </w:rPr>
            </w:pPr>
            <w:r>
              <w:rPr>
                <w:szCs w:val="20"/>
                <w:lang w:val="en-US"/>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Pricop V.</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rPr>
              <w:t>The differential system s(1,3,5) and corresponding common Hilbert series.</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rFonts w:ascii="Times New Roman" w:hAnsi="Times New Roman"/>
                <w:szCs w:val="20"/>
                <w:lang w:val="en-US"/>
              </w:rPr>
            </w:pPr>
            <w:r>
              <w:rPr>
                <w:szCs w:val="20"/>
                <w:lang w:val="en-US"/>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rFonts w:cs="Times New Roman CE" w:ascii="Times New Roman CE" w:hAnsi="Times New Roman CE"/>
                <w:sz w:val="22"/>
                <w:szCs w:val="22"/>
                <w:lang w:val="ro-RO"/>
              </w:rPr>
              <w:t>Şubă A.; Turuta S.</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rPr>
              <w:t>Integrability of Lotka-Volterra cubic systems with (1:-2)-singularity having six invariant straight lines of two directions.</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rFonts w:ascii="Times New Roman" w:hAnsi="Times New Roman"/>
                <w:szCs w:val="20"/>
                <w:lang w:val="en-US"/>
              </w:rPr>
            </w:pPr>
            <w:r>
              <w:rPr>
                <w:szCs w:val="20"/>
                <w:lang w:val="en-US"/>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rFonts w:cs="Times New Roman CE" w:ascii="Times New Roman CE" w:hAnsi="Times New Roman CE"/>
                <w:sz w:val="22"/>
                <w:szCs w:val="22"/>
                <w:lang w:val="ro-RO"/>
              </w:rPr>
              <w:t>Vacaraş O.</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rPr>
              <w:t>Maximal multiplicity of the line at infinity for cubic differential systems with two real parallel invariant straight lines.</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pPr>
            <w:r>
              <w:rPr>
                <w:sz w:val="22"/>
                <w:szCs w:val="22"/>
              </w:rPr>
              <w:t xml:space="preserve">5-я Международная </w:t>
            </w:r>
            <w:r>
              <w:rPr>
                <w:sz w:val="22"/>
                <w:szCs w:val="22"/>
                <w:lang w:val="en-US"/>
              </w:rPr>
              <w:t>K</w:t>
            </w:r>
            <w:r>
              <w:rPr>
                <w:sz w:val="22"/>
                <w:szCs w:val="22"/>
              </w:rPr>
              <w:t>онференция “Проблемы математической и теоретической физики и математическое</w:t>
            </w:r>
            <w:r>
              <w:rPr>
                <w:i/>
                <w:sz w:val="22"/>
                <w:szCs w:val="22"/>
              </w:rPr>
              <w:t xml:space="preserve"> моделирование”</w:t>
            </w:r>
            <w:r>
              <w:rPr>
                <w:b/>
                <w:sz w:val="22"/>
                <w:szCs w:val="22"/>
              </w:rPr>
              <w:t xml:space="preserve">, </w:t>
            </w:r>
            <w:r>
              <w:rPr>
                <w:sz w:val="22"/>
                <w:szCs w:val="22"/>
              </w:rPr>
              <w:t xml:space="preserve">Москва, НИЯУ МИФИ, 5-7 </w:t>
            </w:r>
            <w:r>
              <w:rPr>
                <w:sz w:val="22"/>
                <w:szCs w:val="22"/>
                <w:lang w:val="ro-RO"/>
              </w:rPr>
              <w:t>a</w:t>
            </w:r>
            <w:r>
              <w:rPr>
                <w:sz w:val="22"/>
                <w:szCs w:val="22"/>
              </w:rPr>
              <w:t>преля, 2016</w:t>
            </w:r>
            <w:r>
              <w:rPr>
                <w:sz w:val="22"/>
                <w:szCs w:val="22"/>
                <w:lang w:val="ro-RO"/>
              </w:rPr>
              <w:t>.</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Driuma V.</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pPr>
            <w:r>
              <w:rPr>
                <w:szCs w:val="20"/>
              </w:rPr>
              <w:t>Об интегрировании уравнений течения несжимаемой жидкости.</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ro-RO"/>
              </w:rPr>
            </w:pPr>
            <w:r>
              <w:rPr>
                <w:sz w:val="22"/>
                <w:szCs w:val="22"/>
                <w:lang w:val="ro-RO"/>
              </w:rPr>
              <w:t>XXII Международная конференция «Нелинейные задачи теории гидродинамической устойчивости и турбулентность»</w:t>
            </w:r>
            <w:r>
              <w:rPr>
                <w:sz w:val="22"/>
                <w:szCs w:val="22"/>
              </w:rPr>
              <w:t>,</w:t>
            </w:r>
            <w:r>
              <w:rPr>
                <w:sz w:val="22"/>
                <w:szCs w:val="22"/>
                <w:lang w:val="ro-RO"/>
              </w:rPr>
              <w:t xml:space="preserve">  14 −21 февраля  2016 г., Московск</w:t>
            </w:r>
            <w:r>
              <w:rPr>
                <w:sz w:val="22"/>
                <w:szCs w:val="22"/>
              </w:rPr>
              <w:t>ий гос</w:t>
            </w:r>
            <w:r>
              <w:rPr>
                <w:sz w:val="22"/>
                <w:szCs w:val="22"/>
                <w:lang w:val="ro-RO"/>
              </w:rPr>
              <w:t>университета, 2016.</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Driuma V.</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ro-RO"/>
              </w:rPr>
            </w:pPr>
            <w:r>
              <w:rPr>
                <w:szCs w:val="20"/>
                <w:lang w:val="ro-RO"/>
              </w:rPr>
              <w:t>On the integration of incompressible fluid flows equations</w:t>
            </w:r>
            <w:r>
              <w:rPr>
                <w:szCs w:val="20"/>
                <w:lang w:val="en-US"/>
              </w:rPr>
              <w:t>.</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en-US"/>
              </w:rPr>
            </w:pPr>
            <w:r>
              <w:rPr>
                <w:sz w:val="22"/>
                <w:szCs w:val="22"/>
                <w:lang w:val="en-US"/>
              </w:rPr>
              <w:t>International Conference on Differential Equations and Dynamical Systems, Russia, Suzdal, 8-12 July, 2016</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Driuma V.</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Cs w:val="20"/>
                <w:lang w:val="en-US"/>
              </w:rPr>
              <w:t>Limit cycles and attractors in flows of incompressible fluid.</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en-US"/>
              </w:rPr>
            </w:pPr>
            <w:r>
              <w:rPr>
                <w:sz w:val="22"/>
                <w:szCs w:val="22"/>
                <w:lang w:val="en-US"/>
              </w:rPr>
              <w:t>International Conference “Quasilinear equations, inverse problems and their applications”,</w:t>
            </w:r>
            <w:r>
              <w:rPr>
                <w:i/>
                <w:sz w:val="22"/>
                <w:szCs w:val="22"/>
                <w:lang w:val="en-US"/>
              </w:rPr>
              <w:t xml:space="preserve"> </w:t>
            </w:r>
            <w:r>
              <w:rPr>
                <w:sz w:val="22"/>
                <w:szCs w:val="22"/>
                <w:lang w:val="en-US"/>
              </w:rPr>
              <w:t>The Eurasian Association on Inverse Problems (EAIP),  Moscow Institute of Physics and Technology, Dolgoprudny,  12 Sept. 2016 - 15 Sept. 2016.</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Driuma V.</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Cs w:val="20"/>
                <w:lang w:val="en-US"/>
              </w:rPr>
              <w:t>On integration of the equations of flows of   incompressible liquids.</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en-US"/>
              </w:rPr>
            </w:pPr>
            <w:r>
              <w:rPr>
                <w:szCs w:val="20"/>
                <w:lang w:val="en-US"/>
              </w:rPr>
              <w:t>Slides</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pPr>
            <w:r>
              <w:rPr>
                <w:sz w:val="22"/>
                <w:szCs w:val="22"/>
              </w:rPr>
              <w:t>Юбилейная XXV научная сессии Совета по нелинейной динамике  Института океанологии им. П.П. Ширшова, РАН, г. Москва, 19-20  декабря 2016 г.  </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Driuma V.</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pPr>
            <w:r>
              <w:rPr>
                <w:szCs w:val="20"/>
              </w:rPr>
              <w:t>О локализованных решениях уравнений течения жидкости.</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exact" w:line="240" w:before="0" w:after="200"/>
              <w:ind w:left="0" w:right="0" w:hanging="0"/>
              <w:contextualSpacing/>
              <w:jc w:val="left"/>
              <w:textAlignment w:val="auto"/>
              <w:rPr/>
            </w:pPr>
            <w:r>
              <w:rPr>
                <w:sz w:val="22"/>
                <w:szCs w:val="22"/>
              </w:rPr>
              <w:t>Международная конференция «Системы Аносова и современная динамика», посвященная 80-летию со дня рождения Дмитрия Викторовича Аносова, г. Москва, Россия, 19–23 декабря 2016 г. ,МИ РАН им.  Стеклова</w:t>
            </w:r>
            <w:r>
              <w:rPr>
                <w:sz w:val="22"/>
                <w:szCs w:val="22"/>
                <w:lang w:val="en-US"/>
              </w:rPr>
              <w:t>.</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Driuma V.</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pPr>
            <w:r>
              <w:rPr>
                <w:szCs w:val="20"/>
              </w:rPr>
              <w:t>О решениях уравнений течения жидкости.</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exact" w:line="240" w:before="0" w:after="0"/>
              <w:ind w:left="0" w:right="0" w:hanging="0"/>
              <w:contextualSpacing/>
              <w:jc w:val="left"/>
              <w:textAlignment w:val="auto"/>
              <w:rPr/>
            </w:pPr>
            <w:r>
              <w:rPr>
                <w:sz w:val="22"/>
                <w:szCs w:val="22"/>
              </w:rPr>
              <w:t>Шестые Богдановские чтения по обыкновенным дифференциальным уравнениям. Международная математическая конференция. Минск, 7-10 декабря 2015.</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exact" w:line="240" w:before="0" w:after="0"/>
              <w:ind w:left="0" w:right="0" w:hanging="0"/>
              <w:contextualSpacing/>
              <w:jc w:val="both"/>
              <w:textAlignment w:val="auto"/>
              <w:rPr/>
            </w:pPr>
            <w:r>
              <w:rPr>
                <w:szCs w:val="20"/>
              </w:rPr>
              <w:t>Руденок А.Е.</w:t>
            </w:r>
            <w:r>
              <w:rPr>
                <w:szCs w:val="20"/>
                <w:lang w:val="ro-RO"/>
              </w:rPr>
              <w:t>;</w:t>
            </w:r>
            <w:r>
              <w:rPr>
                <w:szCs w:val="20"/>
              </w:rPr>
              <w:t xml:space="preserve"> </w:t>
            </w:r>
          </w:p>
          <w:p>
            <w:pPr>
              <w:pStyle w:val="ListParagraph"/>
              <w:widowControl/>
              <w:bidi w:val="0"/>
              <w:spacing w:lineRule="exact" w:line="240" w:before="0" w:after="0"/>
              <w:ind w:left="0" w:right="0" w:hanging="0"/>
              <w:contextualSpacing/>
              <w:jc w:val="both"/>
              <w:textAlignment w:val="auto"/>
              <w:rPr/>
            </w:pPr>
            <w:r>
              <w:rPr>
                <w:szCs w:val="20"/>
              </w:rPr>
              <w:t>Шубэ А.С.</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pPr>
            <w:r>
              <w:rPr>
                <w:szCs w:val="20"/>
              </w:rPr>
              <w:t>Базис Гребнера идеала ляпуновских</w:t>
            </w:r>
            <w:r>
              <w:rPr>
                <w:szCs w:val="20"/>
                <w:lang w:val="ro-RO"/>
              </w:rPr>
              <w:t xml:space="preserve"> </w:t>
            </w:r>
            <w:r>
              <w:rPr>
                <w:szCs w:val="20"/>
              </w:rPr>
              <w:t xml:space="preserve">величин </w:t>
            </w:r>
            <w:r>
              <w:rPr>
                <w:szCs w:val="20"/>
                <w:lang w:val="ro-RO"/>
              </w:rPr>
              <w:t>c</w:t>
            </w:r>
            <w:r>
              <w:rPr>
                <w:szCs w:val="20"/>
              </w:rPr>
              <w:t>истемы</w:t>
            </w:r>
            <w:r>
              <w:rPr>
                <w:szCs w:val="20"/>
                <w:lang w:val="ro-RO"/>
              </w:rPr>
              <w:t xml:space="preserve"> </w:t>
            </w:r>
            <w:r>
              <w:rPr>
                <w:szCs w:val="20"/>
              </w:rPr>
              <w:t>Куклеса.</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ro-MD"/>
              </w:rPr>
            </w:pPr>
            <w:r>
              <w:rPr>
                <w:bCs/>
                <w:i/>
                <w:sz w:val="22"/>
                <w:szCs w:val="22"/>
                <w:lang w:val="ro-MD"/>
              </w:rPr>
              <w:t>The 2</w:t>
            </w:r>
            <w:r>
              <w:rPr>
                <w:bCs/>
                <w:i/>
                <w:sz w:val="22"/>
                <w:szCs w:val="22"/>
                <w:lang w:val="en-US"/>
              </w:rPr>
              <w:t>4</w:t>
            </w:r>
            <w:r>
              <w:rPr>
                <w:bCs/>
                <w:i/>
                <w:sz w:val="22"/>
                <w:szCs w:val="22"/>
                <w:lang w:val="ro-MD"/>
              </w:rPr>
              <w:t>st Conference on Applied and Industrial Mathematics (CAIM-201</w:t>
            </w:r>
            <w:r>
              <w:rPr>
                <w:bCs/>
                <w:i/>
                <w:sz w:val="22"/>
                <w:szCs w:val="22"/>
                <w:lang w:val="en-US"/>
              </w:rPr>
              <w:t>6</w:t>
            </w:r>
            <w:r>
              <w:rPr>
                <w:bCs/>
                <w:i/>
                <w:sz w:val="22"/>
                <w:szCs w:val="22"/>
                <w:lang w:val="ro-MD"/>
              </w:rPr>
              <w:t>)</w:t>
            </w:r>
            <w:r>
              <w:rPr>
                <w:bCs/>
                <w:sz w:val="22"/>
                <w:szCs w:val="22"/>
                <w:lang w:val="ro-MD"/>
              </w:rPr>
              <w:t>, September 15-18, 2016. C</w:t>
            </w:r>
            <w:r>
              <w:rPr>
                <w:rFonts w:cs="Times New Roman CE" w:ascii="Times New Roman CE" w:hAnsi="Times New Roman CE"/>
                <w:bCs/>
                <w:sz w:val="22"/>
                <w:szCs w:val="22"/>
                <w:lang w:val="ro-MD"/>
              </w:rPr>
              <w:t>raiova, Româ</w:t>
            </w:r>
            <w:r>
              <w:rPr>
                <w:bCs/>
                <w:sz w:val="22"/>
                <w:szCs w:val="22"/>
                <w:lang w:val="ro-MD"/>
              </w:rPr>
              <w:t>nia.</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Bujac C.; Vulpe N.</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eastAsia="en-US"/>
              </w:rPr>
              <w:t>First integrals of the family of cubic differential systems with invariant lines of total multiplicity 8.</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rFonts w:ascii="Times New Roman" w:hAnsi="Times New Roman"/>
                <w:bCs/>
                <w:i/>
                <w:i/>
                <w:sz w:val="22"/>
                <w:szCs w:val="22"/>
                <w:lang w:val="ro-MD"/>
              </w:rPr>
            </w:pPr>
            <w:r>
              <w:rPr>
                <w:bCs/>
                <w:i/>
                <w:sz w:val="22"/>
                <w:szCs w:val="22"/>
                <w:lang w:val="ro-MD"/>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exact" w:line="240" w:before="0" w:after="0"/>
              <w:ind w:left="0" w:right="0" w:hanging="0"/>
              <w:contextualSpacing/>
              <w:jc w:val="both"/>
              <w:textAlignment w:val="auto"/>
              <w:rPr>
                <w:lang w:val="ro-RO"/>
              </w:rPr>
            </w:pPr>
            <w:r>
              <w:rPr>
                <w:sz w:val="22"/>
                <w:szCs w:val="22"/>
                <w:lang w:val="ro-RO"/>
              </w:rPr>
              <w:t xml:space="preserve">Orlov V.; </w:t>
            </w:r>
          </w:p>
          <w:p>
            <w:pPr>
              <w:pStyle w:val="ListParagraph"/>
              <w:widowControl/>
              <w:bidi w:val="0"/>
              <w:spacing w:lineRule="exact" w:line="240" w:before="0" w:after="0"/>
              <w:ind w:left="0" w:right="0" w:hanging="0"/>
              <w:contextualSpacing/>
              <w:jc w:val="both"/>
              <w:textAlignment w:val="auto"/>
              <w:rPr>
                <w:lang w:val="ro-RO"/>
              </w:rPr>
            </w:pPr>
            <w:r>
              <w:rPr>
                <w:sz w:val="22"/>
                <w:szCs w:val="22"/>
                <w:lang w:val="ro-RO"/>
              </w:rPr>
              <w:t>Popa M.</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rPr>
              <w:t>Invariant conditions for the stability of the unperturbed motion for the four-dimensional nonlinear polynomial differential system.</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rFonts w:ascii="Times New Roman" w:hAnsi="Times New Roman"/>
                <w:bCs/>
                <w:i/>
                <w:i/>
                <w:sz w:val="22"/>
                <w:szCs w:val="22"/>
                <w:lang w:val="ro-MD"/>
              </w:rPr>
            </w:pPr>
            <w:r>
              <w:rPr>
                <w:bCs/>
                <w:i/>
                <w:sz w:val="22"/>
                <w:szCs w:val="22"/>
                <w:lang w:val="ro-MD"/>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Pricop V.</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ro-MD"/>
              </w:rPr>
            </w:pPr>
            <w:r>
              <w:rPr>
                <w:sz w:val="22"/>
                <w:szCs w:val="22"/>
                <w:lang w:val="ro-MD"/>
              </w:rPr>
              <w:t>The common Hilbert series of the differential system s(1,3,7) and the Krull dimensions of Sibirsky algebras.</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rFonts w:ascii="Times New Roman" w:hAnsi="Times New Roman"/>
                <w:bCs/>
                <w:i/>
                <w:i/>
                <w:sz w:val="22"/>
                <w:szCs w:val="22"/>
                <w:lang w:val="ro-MD"/>
              </w:rPr>
            </w:pPr>
            <w:r>
              <w:rPr>
                <w:bCs/>
                <w:i/>
                <w:sz w:val="22"/>
                <w:szCs w:val="22"/>
                <w:lang w:val="ro-MD"/>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rFonts w:cs="Times New Roman CE" w:ascii="Times New Roman CE" w:hAnsi="Times New Roman CE"/>
                <w:sz w:val="22"/>
                <w:szCs w:val="22"/>
                <w:lang w:val="ro-RO"/>
              </w:rPr>
              <w:t>Şubă A.; Vacaraş O.</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eastAsia="en-US"/>
              </w:rPr>
              <w:t>Cubic differential systems with two parallel complex invariant straight lines of multiplicity m(2;2;3).</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rFonts w:ascii="Times New Roman" w:hAnsi="Times New Roman"/>
                <w:bCs/>
                <w:i/>
                <w:i/>
                <w:sz w:val="22"/>
                <w:szCs w:val="22"/>
                <w:lang w:val="ro-MD"/>
              </w:rPr>
            </w:pPr>
            <w:r>
              <w:rPr>
                <w:bCs/>
                <w:i/>
                <w:sz w:val="22"/>
                <w:szCs w:val="22"/>
                <w:lang w:val="ro-MD"/>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Turuta S.</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en-US"/>
              </w:rPr>
            </w:pPr>
            <w:r>
              <w:rPr>
                <w:sz w:val="22"/>
                <w:szCs w:val="22"/>
                <w:lang w:val="en-US"/>
              </w:rPr>
              <w:t>Daboux integrability of Lotka-Volterra cubic di</w:t>
            </w:r>
            <w:r>
              <w:rPr>
                <w:rFonts w:cs="Cambria Math" w:ascii="Cambria Math" w:hAnsi="Cambria Math"/>
                <w:sz w:val="22"/>
                <w:szCs w:val="22"/>
              </w:rPr>
              <w:t>ﬀ</w:t>
            </w:r>
            <w:r>
              <w:rPr>
                <w:sz w:val="22"/>
                <w:szCs w:val="22"/>
                <w:lang w:val="en-US"/>
              </w:rPr>
              <w:t xml:space="preserve">erential systems with 1:-2 resonant singularity and six straight lines of three directions. </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en-US"/>
              </w:rPr>
            </w:pPr>
            <w:r>
              <w:rPr>
                <w:szCs w:val="20"/>
                <w:lang w:val="en-US" w:eastAsia="en-US"/>
              </w:rPr>
              <w:t>The International Scientific Conference “Differential-Functional Equations and their Application”, September 28-30, 2016, Chernivtsi, Ukraine</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exact" w:line="240" w:before="0" w:after="0"/>
              <w:ind w:left="0" w:right="0" w:hanging="0"/>
              <w:contextualSpacing/>
              <w:jc w:val="left"/>
              <w:textAlignment w:val="auto"/>
              <w:rPr>
                <w:lang w:val="ro-RO"/>
              </w:rPr>
            </w:pPr>
            <w:r>
              <w:rPr>
                <w:sz w:val="22"/>
                <w:szCs w:val="22"/>
                <w:lang w:val="ro-RO"/>
              </w:rPr>
              <w:t>Neagu N.; Cozma D.;</w:t>
            </w:r>
          </w:p>
          <w:p>
            <w:pPr>
              <w:pStyle w:val="ListParagraph"/>
              <w:widowControl/>
              <w:bidi w:val="0"/>
              <w:spacing w:lineRule="exact" w:line="240" w:before="0" w:after="0"/>
              <w:ind w:left="0" w:right="0" w:hanging="0"/>
              <w:contextualSpacing/>
              <w:jc w:val="left"/>
              <w:textAlignment w:val="auto"/>
              <w:rPr>
                <w:lang w:val="ro-RO"/>
              </w:rPr>
            </w:pPr>
            <w:r>
              <w:rPr>
                <w:sz w:val="22"/>
                <w:szCs w:val="22"/>
                <w:lang w:val="ro-RO"/>
              </w:rPr>
              <w:t>Popa M.</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eastAsia="en-US"/>
              </w:rPr>
              <w:t>Centro-affin invariants and stability of unperturbed motion in ternary polynomial differential systems.</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rFonts w:ascii="Times New Roman" w:hAnsi="Times New Roman"/>
                <w:color w:val="000000"/>
                <w:sz w:val="22"/>
                <w:szCs w:val="22"/>
                <w:lang w:val="ro-RO"/>
              </w:rPr>
            </w:pPr>
            <w:r>
              <w:rPr>
                <w:color w:val="000000"/>
                <w:sz w:val="22"/>
                <w:szCs w:val="22"/>
                <w:lang w:val="ro-RO"/>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exact" w:line="240" w:before="0" w:after="0"/>
              <w:ind w:left="0" w:right="0" w:hanging="0"/>
              <w:contextualSpacing/>
              <w:jc w:val="both"/>
              <w:textAlignment w:val="auto"/>
              <w:rPr>
                <w:lang w:val="ro-RO"/>
              </w:rPr>
            </w:pPr>
            <w:r>
              <w:rPr>
                <w:rFonts w:cs="Times New Roman CE" w:ascii="Times New Roman CE" w:hAnsi="Times New Roman CE"/>
                <w:sz w:val="22"/>
                <w:szCs w:val="22"/>
                <w:lang w:val="ro-RO"/>
              </w:rPr>
              <w:t>Şubă A.;</w:t>
            </w:r>
          </w:p>
          <w:p>
            <w:pPr>
              <w:pStyle w:val="ListParagraph"/>
              <w:widowControl/>
              <w:bidi w:val="0"/>
              <w:spacing w:lineRule="exact" w:line="240" w:before="0" w:after="0"/>
              <w:ind w:left="0" w:right="0" w:hanging="0"/>
              <w:contextualSpacing/>
              <w:jc w:val="both"/>
              <w:textAlignment w:val="auto"/>
              <w:rPr>
                <w:lang w:val="ro-RO"/>
              </w:rPr>
            </w:pPr>
            <w:r>
              <w:rPr>
                <w:rFonts w:cs="Times New Roman CE" w:ascii="Times New Roman CE" w:hAnsi="Times New Roman CE"/>
                <w:sz w:val="22"/>
                <w:szCs w:val="22"/>
                <w:lang w:val="ro-RO"/>
              </w:rPr>
              <w:t>Vacaraş O.</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eastAsia="en-US"/>
              </w:rPr>
              <w:t>Maximal multiplicity of the line at infinity for cubic differential systems with two real non-parallel invariant straight lines.</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rFonts w:ascii="Times New Roman" w:hAnsi="Times New Roman"/>
                <w:color w:val="000000"/>
                <w:sz w:val="22"/>
                <w:szCs w:val="22"/>
                <w:lang w:val="ro-RO"/>
              </w:rPr>
            </w:pPr>
            <w:r>
              <w:rPr>
                <w:color w:val="000000"/>
                <w:sz w:val="22"/>
                <w:szCs w:val="22"/>
                <w:lang w:val="ro-RO"/>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ro-RO"/>
              </w:rPr>
            </w:pPr>
            <w:r>
              <w:rPr>
                <w:rFonts w:cs="Times New Roman CE" w:ascii="Times New Roman CE" w:hAnsi="Times New Roman CE"/>
                <w:sz w:val="22"/>
                <w:szCs w:val="22"/>
                <w:lang w:val="ro-RO"/>
              </w:rPr>
              <w:t>Roudenok A.; Şubă A.</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ro-RO"/>
              </w:rPr>
            </w:pPr>
            <w:r>
              <w:rPr>
                <w:sz w:val="22"/>
                <w:szCs w:val="22"/>
                <w:lang w:val="ro-RO"/>
              </w:rPr>
              <w:t>Center conditions for non-linear differential systems.</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rFonts w:ascii="Times New Roman" w:hAnsi="Times New Roman"/>
                <w:color w:val="000000"/>
                <w:sz w:val="22"/>
                <w:szCs w:val="22"/>
                <w:lang w:val="ro-RO"/>
              </w:rPr>
            </w:pPr>
            <w:r>
              <w:rPr>
                <w:color w:val="000000"/>
                <w:sz w:val="22"/>
                <w:szCs w:val="22"/>
                <w:lang w:val="ro-RO"/>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Turuta S.</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rPr>
              <w:t>Classi</w:t>
            </w:r>
            <w:r>
              <w:rPr>
                <w:sz w:val="22"/>
                <w:szCs w:val="22"/>
              </w:rPr>
              <w:t>ﬁ</w:t>
            </w:r>
            <w:r>
              <w:rPr>
                <w:sz w:val="22"/>
                <w:szCs w:val="22"/>
                <w:lang w:val="en-US"/>
              </w:rPr>
              <w:t>cation of Lotka-Volterra cubic systems with 1:-2 singularity and straight lines of three directions and total multiplicity six.</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en-US"/>
              </w:rPr>
            </w:pPr>
            <w:r>
              <w:rPr>
                <w:lang w:val="en-US"/>
              </w:rPr>
              <w:t>XII </w:t>
            </w:r>
            <w:r>
              <w:rPr/>
              <w:t>Белорусская</w:t>
            </w:r>
            <w:r>
              <w:rPr>
                <w:lang w:val="en-US"/>
              </w:rPr>
              <w:t> </w:t>
            </w:r>
            <w:r>
              <w:rPr/>
              <w:t>математическая</w:t>
            </w:r>
            <w:r>
              <w:rPr>
                <w:lang w:val="en-US"/>
              </w:rPr>
              <w:t> </w:t>
            </w:r>
          </w:p>
          <w:p>
            <w:pPr>
              <w:pStyle w:val="ListParagraph"/>
              <w:widowControl/>
              <w:bidi w:val="0"/>
              <w:spacing w:lineRule="auto" w:line="276" w:before="0" w:after="200"/>
              <w:ind w:left="0" w:right="0" w:hanging="0"/>
              <w:contextualSpacing/>
              <w:jc w:val="left"/>
              <w:textAlignment w:val="auto"/>
              <w:rPr>
                <w:lang w:val="en-US"/>
              </w:rPr>
            </w:pPr>
            <w:r>
              <w:rPr>
                <w:szCs w:val="20"/>
                <w:lang w:val="en-US"/>
              </w:rPr>
              <w:t> </w:t>
            </w:r>
            <w:r>
              <w:rPr>
                <w:szCs w:val="20"/>
              </w:rPr>
              <w:t>конференция</w:t>
            </w:r>
            <w:r>
              <w:rPr>
                <w:szCs w:val="20"/>
                <w:lang w:val="en-US"/>
              </w:rPr>
              <w:t> </w:t>
            </w:r>
            <w:r>
              <w:rPr>
                <w:szCs w:val="20"/>
                <w:lang w:val="ro-RO"/>
              </w:rPr>
              <w:t>(</w:t>
            </w:r>
            <w:r>
              <w:rPr>
                <w:rStyle w:val="Nowrap"/>
                <w:szCs w:val="20"/>
              </w:rPr>
              <w:t>БМК-2016</w:t>
            </w:r>
            <w:r>
              <w:rPr>
                <w:rStyle w:val="Nowrap"/>
                <w:szCs w:val="20"/>
                <w:lang w:val="ro-RO"/>
              </w:rPr>
              <w:t xml:space="preserve">), </w:t>
            </w:r>
            <w:r>
              <w:rPr>
                <w:szCs w:val="20"/>
              </w:rPr>
              <w:t>5–10</w:t>
            </w:r>
            <w:r>
              <w:rPr>
                <w:szCs w:val="20"/>
                <w:lang w:val="en-US"/>
              </w:rPr>
              <w:t> </w:t>
            </w:r>
            <w:r>
              <w:rPr>
                <w:szCs w:val="20"/>
              </w:rPr>
              <w:t>сентября 2016 года, Минск</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rFonts w:cs="Times New Roman CE" w:ascii="Times New Roman CE" w:hAnsi="Times New Roman CE"/>
                <w:sz w:val="22"/>
                <w:szCs w:val="22"/>
                <w:lang w:val="ro-RO"/>
              </w:rPr>
              <w:t>Roudenok A.; Şubă A.</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eastAsia="en-US"/>
              </w:rPr>
              <w:t>Necessary and sufficient center conditions for differential systems of non-linear oscillations</w:t>
            </w:r>
            <w:r>
              <w:rPr>
                <w:szCs w:val="20"/>
                <w:lang w:val="en-US" w:eastAsia="en-US"/>
              </w:rPr>
              <w:t>.</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 sec</w:t>
            </w:r>
            <w:r>
              <w:rPr>
                <w:rFonts w:cs="Cambria Math" w:ascii="Cambria Math" w:hAnsi="Cambria Math"/>
                <w:sz w:val="22"/>
                <w:szCs w:val="22"/>
                <w:lang w:val="ro-RO"/>
              </w:rPr>
              <w:t>ț</w:t>
            </w:r>
            <w:r>
              <w:rPr>
                <w:sz w:val="22"/>
                <w:szCs w:val="22"/>
                <w:lang w:val="ro-RO"/>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left"/>
              <w:textAlignment w:val="auto"/>
              <w:rPr>
                <w:lang w:val="ro-RO"/>
              </w:rPr>
            </w:pPr>
            <w:r>
              <w:rPr>
                <w:rFonts w:cs="Times New Roman CE" w:ascii="Times New Roman CE" w:hAnsi="Times New Roman CE"/>
                <w:sz w:val="22"/>
                <w:szCs w:val="22"/>
                <w:lang w:val="ro-RO"/>
              </w:rPr>
              <w:t xml:space="preserve">Conferinţa Ştiinţifică Internaţională a Doctoranzilor – Tendinţe contemporane ale dezvoltării Ştiinţei: Viziuni ale tinerilor cercetători, </w:t>
            </w:r>
            <w:r>
              <w:rPr>
                <w:sz w:val="22"/>
                <w:szCs w:val="22"/>
                <w:lang w:val="ro-RO"/>
              </w:rPr>
              <w:t>25 mai 2016</w:t>
            </w:r>
            <w:r>
              <w:rPr>
                <w:rFonts w:cs="Times New Roman CE" w:ascii="Times New Roman CE" w:hAnsi="Times New Roman CE"/>
                <w:sz w:val="22"/>
                <w:szCs w:val="22"/>
                <w:lang w:val="ro-RO"/>
              </w:rPr>
              <w:t>, Chişinău, Republica Moldova</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ro-RO"/>
              </w:rPr>
            </w:pPr>
            <w:r>
              <w:rPr>
                <w:sz w:val="22"/>
                <w:szCs w:val="22"/>
                <w:lang w:val="ro-RO"/>
              </w:rPr>
              <w:t>Turuta S.</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en-US"/>
              </w:rPr>
            </w:pPr>
            <w:r>
              <w:rPr>
                <w:sz w:val="22"/>
                <w:szCs w:val="22"/>
                <w:lang w:val="en-US"/>
              </w:rPr>
              <w:t xml:space="preserve">Darboux first integrals of Lotka-Volterra cubic differential systems with (1:-2)-singularity having invariant straight lines of two directions and total multiplicity six. </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w:t>
            </w:r>
            <w:r>
              <w:rPr>
                <w:rFonts w:cs="Times New Roman CE" w:ascii="Times New Roman CE" w:hAnsi="Times New Roman CE"/>
                <w:sz w:val="22"/>
                <w:szCs w:val="22"/>
                <w:lang w:val="ro-RO"/>
              </w:rPr>
              <w:t xml:space="preserve"> secţie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0"/>
              <w:ind w:left="0" w:right="0" w:hanging="0"/>
              <w:contextualSpacing/>
              <w:jc w:val="left"/>
              <w:textAlignment w:val="auto"/>
              <w:rPr>
                <w:lang w:val="en-US"/>
              </w:rPr>
            </w:pPr>
            <w:r>
              <w:rPr>
                <w:szCs w:val="20"/>
                <w:lang w:val="en-US"/>
              </w:rPr>
              <w:t xml:space="preserve">International Conference “Mathematics &amp;  Information Technologies:  Research and Education”  (MITRE – 2016), 6-th edition. </w:t>
            </w:r>
            <w:r>
              <w:rPr>
                <w:rFonts w:cs="Times New Roman CE" w:ascii="Times New Roman CE" w:hAnsi="Times New Roman CE"/>
                <w:szCs w:val="20"/>
                <w:lang w:val="ro-RO"/>
              </w:rPr>
              <w:t>Abstracts, Chişinău, June</w:t>
            </w:r>
            <w:r>
              <w:rPr>
                <w:szCs w:val="20"/>
                <w:lang w:val="ro-RO"/>
              </w:rPr>
              <w:t xml:space="preserve"> 23-25, 2016</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exact" w:line="240" w:before="0" w:after="0"/>
              <w:ind w:left="0" w:right="0" w:hanging="0"/>
              <w:contextualSpacing/>
              <w:jc w:val="left"/>
              <w:textAlignment w:val="auto"/>
              <w:rPr>
                <w:lang w:val="ro-RO"/>
              </w:rPr>
            </w:pPr>
            <w:r>
              <w:rPr>
                <w:sz w:val="22"/>
                <w:szCs w:val="22"/>
                <w:lang w:val="ro-RO"/>
              </w:rPr>
              <w:t xml:space="preserve">Bujac C., </w:t>
            </w:r>
          </w:p>
          <w:p>
            <w:pPr>
              <w:pStyle w:val="ListParagraph"/>
              <w:widowControl/>
              <w:bidi w:val="0"/>
              <w:spacing w:lineRule="exact" w:line="240" w:before="0" w:after="0"/>
              <w:ind w:left="0" w:right="0" w:hanging="0"/>
              <w:contextualSpacing/>
              <w:jc w:val="left"/>
              <w:textAlignment w:val="auto"/>
              <w:rPr>
                <w:lang w:val="ro-RO"/>
              </w:rPr>
            </w:pPr>
            <w:r>
              <w:rPr>
                <w:sz w:val="22"/>
                <w:szCs w:val="22"/>
                <w:lang w:val="ro-RO"/>
              </w:rPr>
              <w:t>Vulpe N.</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before="0" w:after="200"/>
              <w:ind w:left="0" w:right="0" w:hanging="0"/>
              <w:contextualSpacing/>
              <w:jc w:val="both"/>
              <w:textAlignment w:val="auto"/>
              <w:rPr>
                <w:lang w:val="en-US"/>
              </w:rPr>
            </w:pPr>
            <w:r>
              <w:rPr>
                <w:sz w:val="22"/>
                <w:szCs w:val="22"/>
                <w:lang w:val="en-US"/>
              </w:rPr>
              <w:t>First integrals of cubic systems with the maximum number of invariant lines</w:t>
            </w:r>
            <w:r>
              <w:rPr>
                <w:sz w:val="22"/>
                <w:szCs w:val="22"/>
                <w:lang w:val="en-CA"/>
              </w:rPr>
              <w:t xml:space="preserve">. </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ro-RO"/>
              </w:rPr>
            </w:pPr>
            <w:r>
              <w:rPr>
                <w:sz w:val="22"/>
                <w:szCs w:val="22"/>
                <w:lang w:val="ro-RO"/>
              </w:rPr>
              <w:t>Raport</w:t>
            </w:r>
            <w:r>
              <w:rPr>
                <w:rFonts w:cs="Times New Roman CE" w:ascii="Times New Roman CE" w:hAnsi="Times New Roman CE"/>
                <w:sz w:val="22"/>
                <w:szCs w:val="22"/>
                <w:lang w:val="ro-RO"/>
              </w:rPr>
              <w:t xml:space="preserve"> secţie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suppressAutoHyphens w:val="true"/>
              <w:bidi w:val="0"/>
              <w:spacing w:before="0" w:after="60"/>
              <w:ind w:left="0" w:right="0" w:hanging="0"/>
              <w:jc w:val="both"/>
              <w:textAlignment w:val="auto"/>
              <w:rPr>
                <w:lang w:val="ro-MD"/>
              </w:rPr>
            </w:pPr>
            <w:r>
              <w:rPr>
                <w:sz w:val="22"/>
                <w:szCs w:val="22"/>
                <w:lang w:val="ro-MD"/>
              </w:rPr>
              <w:t>Participarea la „</w:t>
            </w:r>
            <w:r>
              <w:rPr>
                <w:color w:val="131413"/>
                <w:sz w:val="22"/>
                <w:szCs w:val="22"/>
                <w:lang w:val="en-US"/>
              </w:rPr>
              <w:t>10th international conference GTM2016”, Saint Petersburg, July 7-9 2016</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Lozovanu D. dr.h.</w:t>
            </w:r>
          </w:p>
          <w:p>
            <w:pPr>
              <w:pStyle w:val="Normal"/>
              <w:widowControl/>
              <w:bidi w:val="0"/>
              <w:ind w:left="0" w:right="0" w:hanging="0"/>
              <w:jc w:val="left"/>
              <w:textAlignment w:val="auto"/>
              <w:rPr>
                <w:lang w:val="ro-RO"/>
              </w:rPr>
            </w:pPr>
            <w:r>
              <w:rPr>
                <w:color w:val="131413"/>
                <w:sz w:val="22"/>
                <w:szCs w:val="22"/>
                <w:lang w:val="ro-RO"/>
              </w:rPr>
              <w:t>Pickl S. dr.</w:t>
            </w:r>
          </w:p>
          <w:p>
            <w:pPr>
              <w:pStyle w:val="ListParagraph"/>
              <w:widowControl/>
              <w:bidi w:val="0"/>
              <w:spacing w:lineRule="exact" w:line="240" w:before="0" w:after="0"/>
              <w:ind w:left="0" w:right="0" w:hanging="0"/>
              <w:contextualSpacing/>
              <w:jc w:val="left"/>
              <w:textAlignment w:val="auto"/>
              <w:rPr>
                <w:rFonts w:ascii="Times New Roman" w:hAnsi="Times New Roman"/>
                <w:bCs/>
                <w:sz w:val="22"/>
                <w:szCs w:val="22"/>
                <w:lang w:val="ro-RO"/>
              </w:rPr>
            </w:pPr>
            <w:r>
              <w:rPr>
                <w:bCs/>
                <w:sz w:val="22"/>
                <w:szCs w:val="22"/>
                <w:lang w:val="ro-RO"/>
              </w:rPr>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lang w:val="en-US"/>
              </w:rPr>
            </w:pPr>
            <w:bookmarkStart w:id="313" w:name="_Toc469648900"/>
            <w:bookmarkStart w:id="314" w:name="_Toc469651986"/>
            <w:bookmarkEnd w:id="313"/>
            <w:bookmarkEnd w:id="314"/>
            <w:r>
              <w:rPr>
                <w:rFonts w:ascii="Times New Roman" w:hAnsi="Times New Roman"/>
                <w:b w:val="false"/>
                <w:bCs/>
                <w:color w:val="131413"/>
                <w:sz w:val="22"/>
                <w:szCs w:val="22"/>
                <w:lang w:val="en-US"/>
              </w:rPr>
              <w:t>An approach for determining the optimal strategies in average antagonistic stochastic games</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lang w:val="ro-MD"/>
              </w:rPr>
            </w:pPr>
            <w:bookmarkStart w:id="315" w:name="_Toc469648901"/>
            <w:bookmarkStart w:id="316" w:name="_Toc469651987"/>
            <w:r>
              <w:rPr>
                <w:rFonts w:ascii="Times New Roman" w:hAnsi="Times New Roman"/>
                <w:b w:val="false"/>
                <w:bCs/>
                <w:sz w:val="22"/>
                <w:szCs w:val="22"/>
                <w:lang w:val="ro-MD"/>
              </w:rPr>
              <w:t>Raport sec</w:t>
            </w:r>
            <w:r>
              <w:rPr>
                <w:rFonts w:cs="Times New Roman CE" w:ascii="Times New Roman CE" w:hAnsi="Times New Roman CE"/>
                <w:b w:val="false"/>
                <w:bCs/>
                <w:sz w:val="22"/>
                <w:szCs w:val="22"/>
                <w:lang w:val="ro-MD"/>
              </w:rPr>
              <w:t>ţ</w:t>
            </w:r>
            <w:bookmarkEnd w:id="315"/>
            <w:bookmarkEnd w:id="316"/>
            <w:r>
              <w:rPr>
                <w:rFonts w:ascii="Times New Roman" w:hAnsi="Times New Roman"/>
                <w:b w:val="false"/>
                <w:bCs/>
                <w:sz w:val="22"/>
                <w:szCs w:val="22"/>
                <w:lang w:val="ro-MD"/>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suppressAutoHyphens w:val="true"/>
              <w:bidi w:val="0"/>
              <w:spacing w:before="0" w:after="60"/>
              <w:ind w:left="0" w:right="0" w:hanging="0"/>
              <w:jc w:val="both"/>
              <w:textAlignment w:val="auto"/>
              <w:rPr>
                <w:lang w:val="ro-MD"/>
              </w:rPr>
            </w:pPr>
            <w:r>
              <w:rPr>
                <w:sz w:val="22"/>
                <w:szCs w:val="22"/>
                <w:lang w:val="ro-MD"/>
              </w:rPr>
              <w:t>Participarea la „</w:t>
            </w:r>
            <w:r>
              <w:rPr>
                <w:color w:val="131413"/>
                <w:sz w:val="22"/>
                <w:szCs w:val="22"/>
                <w:lang w:val="en-US"/>
              </w:rPr>
              <w:t>14th CTW2016 conference theory and applications of discrete optimization</w:t>
            </w:r>
            <w:r>
              <w:rPr>
                <w:sz w:val="22"/>
                <w:szCs w:val="22"/>
                <w:lang w:val="en-US"/>
              </w:rPr>
              <w:t xml:space="preserve"> algorithms”,</w:t>
            </w:r>
            <w:r>
              <w:rPr>
                <w:i/>
                <w:sz w:val="22"/>
                <w:szCs w:val="22"/>
                <w:lang w:val="en-US"/>
              </w:rPr>
              <w:t xml:space="preserve"> </w:t>
            </w:r>
            <w:r>
              <w:rPr>
                <w:sz w:val="22"/>
                <w:szCs w:val="22"/>
                <w:lang w:val="en-US"/>
              </w:rPr>
              <w:t>Milano, 2016</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Lozovanu D. dr.h.</w:t>
            </w:r>
          </w:p>
          <w:p>
            <w:pPr>
              <w:pStyle w:val="Normal"/>
              <w:widowControl/>
              <w:bidi w:val="0"/>
              <w:ind w:left="0" w:right="0" w:hanging="0"/>
              <w:jc w:val="left"/>
              <w:textAlignment w:val="auto"/>
              <w:rPr>
                <w:lang w:val="ro-RO"/>
              </w:rPr>
            </w:pPr>
            <w:r>
              <w:rPr>
                <w:color w:val="131413"/>
                <w:sz w:val="22"/>
                <w:szCs w:val="22"/>
                <w:lang w:val="ro-RO"/>
              </w:rPr>
              <w:t>Pickl S. dr.</w:t>
            </w:r>
          </w:p>
          <w:p>
            <w:pPr>
              <w:pStyle w:val="1"/>
              <w:keepNext/>
              <w:widowControl/>
              <w:numPr>
                <w:ilvl w:val="0"/>
                <w:numId w:val="0"/>
              </w:numPr>
              <w:bidi w:val="0"/>
              <w:spacing w:before="240" w:after="60"/>
              <w:ind w:left="0" w:right="0" w:hanging="0"/>
              <w:jc w:val="left"/>
              <w:textAlignment w:val="auto"/>
              <w:outlineLvl w:val="0"/>
              <w:rPr>
                <w:rFonts w:ascii="Times New Roman" w:hAnsi="Times New Roman"/>
                <w:b w:val="false"/>
                <w:b w:val="false"/>
                <w:bCs/>
                <w:sz w:val="22"/>
                <w:szCs w:val="22"/>
                <w:lang w:val="ro-RO"/>
              </w:rPr>
            </w:pPr>
            <w:r>
              <w:rPr>
                <w:rFonts w:ascii="Times New Roman" w:hAnsi="Times New Roman"/>
                <w:b w:val="false"/>
                <w:bCs/>
                <w:sz w:val="22"/>
                <w:szCs w:val="22"/>
                <w:lang w:val="ro-RO"/>
              </w:rPr>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lang w:val="en-US"/>
              </w:rPr>
            </w:pPr>
            <w:bookmarkStart w:id="317" w:name="_Toc469648902"/>
            <w:bookmarkStart w:id="318" w:name="_Toc469651988"/>
            <w:bookmarkEnd w:id="317"/>
            <w:bookmarkEnd w:id="318"/>
            <w:r>
              <w:rPr>
                <w:rFonts w:ascii="Times New Roman" w:hAnsi="Times New Roman"/>
                <w:b w:val="false"/>
                <w:bCs/>
                <w:color w:val="131413"/>
                <w:sz w:val="22"/>
                <w:szCs w:val="22"/>
                <w:lang w:val="en-US"/>
              </w:rPr>
              <w:t>Determining the optimal strstegies for  zero-sum average stochastic positional games</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lang w:val="ro-MD"/>
              </w:rPr>
            </w:pPr>
            <w:bookmarkStart w:id="319" w:name="_Toc469648903"/>
            <w:bookmarkStart w:id="320" w:name="_Toc469651989"/>
            <w:r>
              <w:rPr>
                <w:rFonts w:ascii="Times New Roman" w:hAnsi="Times New Roman"/>
                <w:b w:val="false"/>
                <w:bCs/>
                <w:sz w:val="22"/>
                <w:szCs w:val="22"/>
                <w:lang w:val="ro-MD"/>
              </w:rPr>
              <w:t>Raport sec</w:t>
            </w:r>
            <w:r>
              <w:rPr>
                <w:rFonts w:cs="Times New Roman CE" w:ascii="Times New Roman CE" w:hAnsi="Times New Roman CE"/>
                <w:b w:val="false"/>
                <w:bCs/>
                <w:sz w:val="22"/>
                <w:szCs w:val="22"/>
                <w:lang w:val="ro-MD"/>
              </w:rPr>
              <w:t>ţ</w:t>
            </w:r>
            <w:bookmarkEnd w:id="319"/>
            <w:bookmarkEnd w:id="320"/>
            <w:r>
              <w:rPr>
                <w:rFonts w:ascii="Times New Roman" w:hAnsi="Times New Roman"/>
                <w:b w:val="false"/>
                <w:bCs/>
                <w:sz w:val="22"/>
                <w:szCs w:val="22"/>
                <w:lang w:val="ro-MD"/>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suppressAutoHyphens w:val="true"/>
              <w:bidi w:val="0"/>
              <w:spacing w:before="0" w:after="60"/>
              <w:ind w:left="0" w:right="0" w:hanging="0"/>
              <w:jc w:val="both"/>
              <w:textAlignment w:val="auto"/>
              <w:rPr>
                <w:lang w:val="ro-MD"/>
              </w:rPr>
            </w:pPr>
            <w:r>
              <w:rPr>
                <w:sz w:val="22"/>
                <w:szCs w:val="22"/>
                <w:lang w:val="ro-MD"/>
              </w:rPr>
              <w:t>Participarea la c</w:t>
            </w:r>
            <w:r>
              <w:rPr>
                <w:rFonts w:cs="Times New Roman CE" w:ascii="Times New Roman CE" w:hAnsi="Times New Roman CE"/>
                <w:color w:val="131413"/>
                <w:sz w:val="22"/>
                <w:szCs w:val="22"/>
                <w:lang w:val="es-ES"/>
              </w:rPr>
              <w:t>onferinţ</w:t>
            </w:r>
            <w:r>
              <w:rPr>
                <w:color w:val="131413"/>
                <w:sz w:val="22"/>
                <w:szCs w:val="22"/>
                <w:lang w:val="es-ES"/>
              </w:rPr>
              <w:t>a i</w:t>
            </w:r>
            <w:r>
              <w:rPr>
                <w:rFonts w:cs="Times New Roman CE" w:ascii="Times New Roman CE" w:hAnsi="Times New Roman CE"/>
                <w:color w:val="131413"/>
                <w:sz w:val="22"/>
                <w:szCs w:val="22"/>
                <w:lang w:val="es-ES"/>
              </w:rPr>
              <w:t>nternaţională “Modelare matematică, optimizare şi tehnologii informaţionale”, ediţia a V-a, Chişinău, ATIC, 22-25 martie</w:t>
            </w:r>
            <w:r>
              <w:rPr>
                <w:color w:val="131413"/>
                <w:sz w:val="22"/>
                <w:szCs w:val="22"/>
                <w:lang w:val="es-ES"/>
              </w:rPr>
              <w:t xml:space="preserve"> 2016</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lineRule="exact" w:line="240"/>
              <w:ind w:left="0" w:right="0" w:hanging="0"/>
              <w:jc w:val="left"/>
              <w:textAlignment w:val="auto"/>
              <w:rPr>
                <w:lang w:val="ro-RO"/>
              </w:rPr>
            </w:pPr>
            <w:r>
              <w:rPr>
                <w:sz w:val="22"/>
                <w:szCs w:val="22"/>
                <w:lang w:val="ro-RO"/>
              </w:rPr>
              <w:t>Lozovanu D. dr.h.</w:t>
            </w:r>
          </w:p>
          <w:p>
            <w:pPr>
              <w:pStyle w:val="1"/>
              <w:keepNext/>
              <w:widowControl/>
              <w:numPr>
                <w:ilvl w:val="0"/>
                <w:numId w:val="0"/>
              </w:numPr>
              <w:bidi w:val="0"/>
              <w:spacing w:lineRule="exact" w:line="240" w:before="240" w:after="60"/>
              <w:ind w:left="0" w:right="0" w:hanging="0"/>
              <w:jc w:val="left"/>
              <w:textAlignment w:val="auto"/>
              <w:outlineLvl w:val="0"/>
              <w:rPr>
                <w:rFonts w:ascii="Times New Roman" w:hAnsi="Times New Roman"/>
                <w:b w:val="false"/>
                <w:b w:val="false"/>
                <w:bCs/>
                <w:sz w:val="22"/>
                <w:szCs w:val="22"/>
                <w:lang w:val="ro-RO"/>
              </w:rPr>
            </w:pPr>
            <w:r>
              <w:rPr>
                <w:rFonts w:ascii="Times New Roman" w:hAnsi="Times New Roman"/>
                <w:b w:val="false"/>
                <w:bCs/>
                <w:sz w:val="22"/>
                <w:szCs w:val="22"/>
                <w:lang w:val="ro-RO"/>
              </w:rPr>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lineRule="exact" w:line="240" w:before="240" w:after="60"/>
              <w:ind w:left="0" w:right="0" w:hanging="0"/>
              <w:jc w:val="left"/>
              <w:textAlignment w:val="auto"/>
              <w:outlineLvl w:val="0"/>
              <w:rPr>
                <w:lang w:val="en-US"/>
              </w:rPr>
            </w:pPr>
            <w:bookmarkStart w:id="321" w:name="_Toc469648904"/>
            <w:bookmarkStart w:id="322" w:name="_Toc469651990"/>
            <w:r>
              <w:rPr>
                <w:rFonts w:ascii="Times New Roman" w:hAnsi="Times New Roman"/>
                <w:b w:val="false"/>
                <w:bCs/>
                <w:sz w:val="22"/>
                <w:szCs w:val="22"/>
                <w:lang w:val="en-US"/>
              </w:rPr>
              <w:t>Determining the optimal strategies for multichain average Markov decision peoblems</w:t>
            </w:r>
            <w:bookmarkEnd w:id="321"/>
            <w:bookmarkEnd w:id="322"/>
            <w:r>
              <w:rPr>
                <w:rFonts w:ascii="Times New Roman" w:hAnsi="Times New Roman"/>
                <w:b w:val="false"/>
                <w:bCs/>
                <w:sz w:val="22"/>
                <w:szCs w:val="22"/>
                <w:lang w:val="en-US"/>
              </w:rPr>
              <w:t xml:space="preserve">  </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lineRule="exact" w:line="240" w:before="240" w:after="60"/>
              <w:ind w:left="0" w:right="0" w:hanging="0"/>
              <w:jc w:val="left"/>
              <w:textAlignment w:val="auto"/>
              <w:outlineLvl w:val="0"/>
              <w:rPr>
                <w:lang w:val="ro-MD"/>
              </w:rPr>
            </w:pPr>
            <w:bookmarkStart w:id="323" w:name="_Toc469648905"/>
            <w:bookmarkStart w:id="324" w:name="_Toc469651991"/>
            <w:bookmarkEnd w:id="323"/>
            <w:bookmarkEnd w:id="324"/>
            <w:r>
              <w:rPr>
                <w:rFonts w:ascii="Times New Roman" w:hAnsi="Times New Roman"/>
                <w:b w:val="false"/>
                <w:bCs/>
                <w:sz w:val="22"/>
                <w:szCs w:val="22"/>
                <w:lang w:val="ro-MD"/>
              </w:rPr>
              <w:t>Raport Plenar</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val="false"/>
              <w:bidi w:val="0"/>
              <w:spacing w:before="0" w:after="60"/>
              <w:ind w:left="624" w:right="0" w:hanging="0"/>
              <w:jc w:val="both"/>
              <w:textAlignment w:val="auto"/>
              <w:rPr>
                <w:rFonts w:ascii="Times New Roman" w:hAnsi="Times New Roman"/>
                <w:sz w:val="22"/>
                <w:szCs w:val="22"/>
                <w:lang w:val="ro-MD"/>
              </w:rPr>
            </w:pPr>
            <w:r>
              <w:rPr>
                <w:sz w:val="22"/>
                <w:szCs w:val="22"/>
                <w:lang w:val="ro-MD"/>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exact" w:line="240" w:before="0" w:after="0"/>
              <w:ind w:left="0" w:right="0" w:hanging="0"/>
              <w:contextualSpacing/>
              <w:jc w:val="left"/>
              <w:textAlignment w:val="auto"/>
              <w:rPr>
                <w:lang w:val="en-US"/>
              </w:rPr>
            </w:pPr>
            <w:r>
              <w:rPr>
                <w:color w:val="131413"/>
                <w:sz w:val="22"/>
                <w:szCs w:val="22"/>
                <w:lang w:val="en-US"/>
              </w:rPr>
              <w:t>M</w:t>
            </w:r>
            <w:r>
              <w:rPr>
                <w:rFonts w:cs="Times New Roman CE" w:ascii="Times New Roman CE" w:hAnsi="Times New Roman CE"/>
                <w:color w:val="131413"/>
                <w:sz w:val="22"/>
                <w:szCs w:val="22"/>
                <w:lang w:val="en-US"/>
              </w:rPr>
              <w:t>iş</w:t>
            </w:r>
            <w:r>
              <w:rPr>
                <w:color w:val="131413"/>
                <w:sz w:val="22"/>
                <w:szCs w:val="22"/>
                <w:lang w:val="en-US"/>
              </w:rPr>
              <w:t>coi Gh. a</w:t>
            </w:r>
            <w:r>
              <w:rPr>
                <w:color w:val="131413"/>
                <w:sz w:val="22"/>
                <w:szCs w:val="22"/>
                <w:lang w:val="ro-RO"/>
              </w:rPr>
              <w:t>cad.</w:t>
            </w:r>
          </w:p>
          <w:p>
            <w:pPr>
              <w:pStyle w:val="ListParagraph"/>
              <w:widowControl/>
              <w:bidi w:val="0"/>
              <w:spacing w:lineRule="exact" w:line="240" w:before="0" w:after="0"/>
              <w:ind w:left="0" w:right="0" w:hanging="0"/>
              <w:contextualSpacing/>
              <w:jc w:val="left"/>
              <w:textAlignment w:val="auto"/>
              <w:rPr/>
            </w:pPr>
            <w:r>
              <w:rPr>
                <w:color w:val="131413"/>
                <w:sz w:val="22"/>
                <w:szCs w:val="22"/>
                <w:lang w:val="en-US"/>
              </w:rPr>
              <w:t xml:space="preserve">Costea A. </w:t>
            </w:r>
          </w:p>
          <w:p>
            <w:pPr>
              <w:pStyle w:val="1"/>
              <w:keepNext/>
              <w:widowControl/>
              <w:numPr>
                <w:ilvl w:val="0"/>
                <w:numId w:val="0"/>
              </w:numPr>
              <w:bidi w:val="0"/>
              <w:spacing w:lineRule="exact" w:line="240" w:before="240" w:after="60"/>
              <w:ind w:left="0" w:right="0" w:hanging="0"/>
              <w:jc w:val="left"/>
              <w:textAlignment w:val="auto"/>
              <w:outlineLvl w:val="0"/>
              <w:rPr>
                <w:lang w:val="en-US"/>
              </w:rPr>
            </w:pPr>
            <w:bookmarkStart w:id="325" w:name="_Toc469648906"/>
            <w:bookmarkStart w:id="326" w:name="_Toc469651992"/>
            <w:r>
              <w:rPr>
                <w:rFonts w:ascii="Times New Roman" w:hAnsi="Times New Roman"/>
                <w:b w:val="false"/>
                <w:bCs/>
                <w:color w:val="131413"/>
                <w:sz w:val="22"/>
                <w:szCs w:val="22"/>
                <w:lang w:val="en-US"/>
              </w:rPr>
              <w:t>Ticu R.</w:t>
            </w:r>
            <w:bookmarkEnd w:id="325"/>
            <w:bookmarkEnd w:id="326"/>
            <w:r>
              <w:rPr>
                <w:rFonts w:ascii="Times New Roman" w:hAnsi="Times New Roman"/>
                <w:b w:val="false"/>
                <w:bCs/>
                <w:color w:val="131413"/>
                <w:sz w:val="22"/>
                <w:szCs w:val="22"/>
                <w:lang w:val="en-US"/>
              </w:rPr>
              <w:t xml:space="preserve"> </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lineRule="exact" w:line="240" w:before="240" w:after="60"/>
              <w:ind w:left="0" w:right="0" w:hanging="0"/>
              <w:jc w:val="left"/>
              <w:textAlignment w:val="auto"/>
              <w:outlineLvl w:val="0"/>
              <w:rPr>
                <w:lang w:val="es-ES"/>
              </w:rPr>
            </w:pPr>
            <w:bookmarkStart w:id="327" w:name="_Toc469648907"/>
            <w:bookmarkStart w:id="328" w:name="_Toc469651993"/>
            <w:r>
              <w:rPr>
                <w:rFonts w:ascii="Times New Roman" w:hAnsi="Times New Roman"/>
                <w:b w:val="false"/>
                <w:bCs/>
                <w:color w:val="131413"/>
                <w:sz w:val="22"/>
                <w:szCs w:val="22"/>
                <w:lang w:val="es-ES"/>
              </w:rPr>
              <w:t xml:space="preserve">Modelarea </w:t>
            </w:r>
            <w:bookmarkEnd w:id="327"/>
            <w:bookmarkEnd w:id="328"/>
            <w:r>
              <w:rPr>
                <w:rFonts w:cs="Times New Roman CE" w:ascii="Times New Roman CE" w:hAnsi="Times New Roman CE"/>
                <w:b w:val="false"/>
                <w:bCs/>
                <w:sz w:val="22"/>
                <w:szCs w:val="22"/>
                <w:lang w:val="fr-FR"/>
              </w:rPr>
              <w:t>activităţii terminalului maritim în baza coeficientului de trafic</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lineRule="exact" w:line="240" w:before="240" w:after="60"/>
              <w:ind w:left="0" w:right="0" w:hanging="0"/>
              <w:jc w:val="left"/>
              <w:textAlignment w:val="auto"/>
              <w:outlineLvl w:val="0"/>
              <w:rPr>
                <w:lang w:val="ro-MD"/>
              </w:rPr>
            </w:pPr>
            <w:bookmarkStart w:id="329" w:name="_Toc469648908"/>
            <w:bookmarkStart w:id="330" w:name="_Toc469651994"/>
            <w:r>
              <w:rPr>
                <w:rFonts w:ascii="Times New Roman" w:hAnsi="Times New Roman"/>
                <w:b w:val="false"/>
                <w:bCs/>
                <w:sz w:val="22"/>
                <w:szCs w:val="22"/>
                <w:lang w:val="ro-MD"/>
              </w:rPr>
              <w:t>Raport sec</w:t>
            </w:r>
            <w:r>
              <w:rPr>
                <w:rFonts w:cs="Times New Roman CE" w:ascii="Times New Roman CE" w:hAnsi="Times New Roman CE"/>
                <w:b w:val="false"/>
                <w:bCs/>
                <w:sz w:val="22"/>
                <w:szCs w:val="22"/>
                <w:lang w:val="ro-MD"/>
              </w:rPr>
              <w:t>ţ</w:t>
            </w:r>
            <w:bookmarkEnd w:id="329"/>
            <w:bookmarkEnd w:id="330"/>
            <w:r>
              <w:rPr>
                <w:rFonts w:ascii="Times New Roman" w:hAnsi="Times New Roman"/>
                <w:b w:val="false"/>
                <w:bCs/>
                <w:sz w:val="22"/>
                <w:szCs w:val="22"/>
                <w:lang w:val="ro-MD"/>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val="false"/>
              <w:bidi w:val="0"/>
              <w:spacing w:before="0" w:after="60"/>
              <w:ind w:left="624" w:right="0" w:hanging="0"/>
              <w:jc w:val="both"/>
              <w:textAlignment w:val="auto"/>
              <w:rPr>
                <w:rFonts w:ascii="Times New Roman" w:hAnsi="Times New Roman"/>
                <w:sz w:val="22"/>
                <w:szCs w:val="22"/>
                <w:lang w:val="ro-MD"/>
              </w:rPr>
            </w:pPr>
            <w:r>
              <w:rPr>
                <w:sz w:val="22"/>
                <w:szCs w:val="22"/>
                <w:lang w:val="ro-MD"/>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lang w:val="es-ES"/>
              </w:rPr>
            </w:pPr>
            <w:bookmarkStart w:id="331" w:name="_Toc469648909"/>
            <w:bookmarkStart w:id="332" w:name="_Toc469651995"/>
            <w:r>
              <w:rPr>
                <w:rFonts w:ascii="Times New Roman" w:hAnsi="Times New Roman"/>
                <w:b w:val="false"/>
                <w:bCs/>
                <w:color w:val="131413"/>
                <w:sz w:val="22"/>
                <w:szCs w:val="22"/>
                <w:lang w:val="es-ES"/>
              </w:rPr>
              <w:t xml:space="preserve">Naval E. </w:t>
            </w:r>
            <w:bookmarkEnd w:id="331"/>
            <w:bookmarkEnd w:id="332"/>
            <w:r>
              <w:rPr>
                <w:rFonts w:ascii="Times New Roman" w:hAnsi="Times New Roman"/>
                <w:b w:val="false"/>
                <w:bCs/>
                <w:sz w:val="22"/>
                <w:szCs w:val="22"/>
                <w:lang w:val="ro-RO"/>
              </w:rPr>
              <w:t>dr.</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lang w:val="it-IT"/>
              </w:rPr>
            </w:pPr>
            <w:bookmarkStart w:id="333" w:name="_Toc469648910"/>
            <w:bookmarkStart w:id="334" w:name="_Toc469651996"/>
            <w:r>
              <w:rPr>
                <w:rFonts w:cs="Times New Roman CE" w:ascii="Times New Roman CE" w:hAnsi="Times New Roman CE"/>
                <w:b w:val="false"/>
                <w:bCs/>
                <w:sz w:val="22"/>
                <w:szCs w:val="22"/>
                <w:lang w:val="it-IT"/>
              </w:rPr>
              <w:t>Impactul sectoarelor cercetare-dezvoltare, tehnologiilor informaţionale şi comunicaţiilor asupra creşterii</w:t>
            </w:r>
            <w:bookmarkEnd w:id="333"/>
            <w:bookmarkEnd w:id="334"/>
            <w:r>
              <w:rPr>
                <w:rFonts w:ascii="Times New Roman" w:hAnsi="Times New Roman"/>
                <w:b w:val="false"/>
                <w:bCs/>
                <w:sz w:val="22"/>
                <w:szCs w:val="22"/>
                <w:lang w:val="it-IT"/>
              </w:rPr>
              <w:t xml:space="preserve"> economice în Republica Moldova</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lang w:val="ro-MD"/>
              </w:rPr>
            </w:pPr>
            <w:bookmarkStart w:id="335" w:name="_Toc469648911"/>
            <w:bookmarkStart w:id="336" w:name="_Toc469651997"/>
            <w:r>
              <w:rPr>
                <w:rFonts w:ascii="Times New Roman" w:hAnsi="Times New Roman"/>
                <w:b w:val="false"/>
                <w:bCs/>
                <w:sz w:val="22"/>
                <w:szCs w:val="22"/>
                <w:lang w:val="ro-MD"/>
              </w:rPr>
              <w:t>Raport sec</w:t>
            </w:r>
            <w:r>
              <w:rPr>
                <w:rFonts w:cs="Times New Roman CE" w:ascii="Times New Roman CE" w:hAnsi="Times New Roman CE"/>
                <w:b w:val="false"/>
                <w:bCs/>
                <w:sz w:val="22"/>
                <w:szCs w:val="22"/>
                <w:lang w:val="ro-MD"/>
              </w:rPr>
              <w:t>ţ</w:t>
            </w:r>
            <w:bookmarkEnd w:id="335"/>
            <w:bookmarkEnd w:id="336"/>
            <w:r>
              <w:rPr>
                <w:rFonts w:ascii="Times New Roman" w:hAnsi="Times New Roman"/>
                <w:b w:val="false"/>
                <w:bCs/>
                <w:sz w:val="22"/>
                <w:szCs w:val="22"/>
                <w:lang w:val="ro-MD"/>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suppressAutoHyphens w:val="true"/>
              <w:bidi w:val="0"/>
              <w:spacing w:before="0" w:after="60"/>
              <w:ind w:left="0" w:right="0" w:hanging="0"/>
              <w:jc w:val="both"/>
              <w:textAlignment w:val="auto"/>
              <w:rPr>
                <w:rFonts w:ascii="Times New Roman" w:hAnsi="Times New Roman"/>
                <w:sz w:val="22"/>
                <w:szCs w:val="22"/>
                <w:lang w:val="ro-MD"/>
              </w:rPr>
            </w:pPr>
            <w:r>
              <w:rPr>
                <w:sz w:val="22"/>
                <w:szCs w:val="22"/>
                <w:lang w:val="ro-MD"/>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0"/>
              <w:ind w:left="0" w:right="0" w:hanging="0"/>
              <w:contextualSpacing/>
              <w:jc w:val="left"/>
              <w:textAlignment w:val="auto"/>
              <w:rPr>
                <w:lang w:val="ro-RO"/>
              </w:rPr>
            </w:pPr>
            <w:r>
              <w:rPr>
                <w:color w:val="131413"/>
                <w:sz w:val="22"/>
                <w:szCs w:val="22"/>
                <w:lang w:val="ro-RO"/>
              </w:rPr>
              <w:t xml:space="preserve">Secrieru G. </w:t>
            </w:r>
            <w:r>
              <w:rPr>
                <w:sz w:val="22"/>
                <w:szCs w:val="22"/>
                <w:lang w:val="ro-RO"/>
              </w:rPr>
              <w:t>dr.</w:t>
            </w:r>
          </w:p>
          <w:p>
            <w:pPr>
              <w:pStyle w:val="1"/>
              <w:keepNext/>
              <w:widowControl/>
              <w:numPr>
                <w:ilvl w:val="0"/>
                <w:numId w:val="0"/>
              </w:numPr>
              <w:bidi w:val="0"/>
              <w:spacing w:before="240" w:after="60"/>
              <w:ind w:left="0" w:right="0" w:hanging="0"/>
              <w:jc w:val="left"/>
              <w:textAlignment w:val="auto"/>
              <w:outlineLvl w:val="0"/>
              <w:rPr>
                <w:lang w:val="en-US"/>
              </w:rPr>
            </w:pPr>
            <w:bookmarkStart w:id="337" w:name="_Toc469648912"/>
            <w:bookmarkStart w:id="338" w:name="_Toc469651998"/>
            <w:r>
              <w:rPr>
                <w:rFonts w:ascii="Times New Roman" w:hAnsi="Times New Roman"/>
                <w:b w:val="false"/>
                <w:bCs/>
                <w:color w:val="131413"/>
                <w:sz w:val="22"/>
                <w:szCs w:val="22"/>
                <w:lang w:val="en-US"/>
              </w:rPr>
              <w:t>Gu</w:t>
            </w:r>
            <w:r>
              <w:rPr>
                <w:rFonts w:cs="Times New Roman CE" w:ascii="Times New Roman CE" w:hAnsi="Times New Roman CE"/>
                <w:b w:val="false"/>
                <w:bCs/>
                <w:color w:val="131413"/>
                <w:sz w:val="22"/>
                <w:szCs w:val="22"/>
                <w:lang w:val="en-US"/>
              </w:rPr>
              <w:t>ţ</w:t>
            </w:r>
            <w:bookmarkEnd w:id="337"/>
            <w:bookmarkEnd w:id="338"/>
            <w:r>
              <w:rPr>
                <w:rFonts w:ascii="Times New Roman" w:hAnsi="Times New Roman"/>
                <w:b w:val="false"/>
                <w:bCs/>
                <w:color w:val="131413"/>
                <w:sz w:val="22"/>
                <w:szCs w:val="22"/>
                <w:lang w:val="en-US"/>
              </w:rPr>
              <w:t>uleac E. dr.</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pPr>
            <w:bookmarkStart w:id="339" w:name="_Toc469648913"/>
            <w:bookmarkStart w:id="340" w:name="_Toc469651999"/>
            <w:bookmarkEnd w:id="339"/>
            <w:bookmarkEnd w:id="340"/>
            <w:r>
              <w:rPr>
                <w:rFonts w:ascii="Times New Roman" w:hAnsi="Times New Roman"/>
                <w:b w:val="false"/>
                <w:bCs/>
                <w:color w:val="131413"/>
                <w:sz w:val="22"/>
                <w:szCs w:val="22"/>
              </w:rPr>
              <w:t>Компьютерное моделирование динамического нагружения заглубленных в грунт конструкций</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lang w:val="ro-MD"/>
              </w:rPr>
            </w:pPr>
            <w:bookmarkStart w:id="341" w:name="_Toc469648914"/>
            <w:bookmarkStart w:id="342" w:name="_Toc469652000"/>
            <w:r>
              <w:rPr>
                <w:rFonts w:ascii="Times New Roman" w:hAnsi="Times New Roman"/>
                <w:b w:val="false"/>
                <w:bCs/>
                <w:sz w:val="22"/>
                <w:szCs w:val="22"/>
                <w:lang w:val="ro-MD"/>
              </w:rPr>
              <w:t>Raport sec</w:t>
            </w:r>
            <w:r>
              <w:rPr>
                <w:rFonts w:cs="Times New Roman CE" w:ascii="Times New Roman CE" w:hAnsi="Times New Roman CE"/>
                <w:b w:val="false"/>
                <w:bCs/>
                <w:sz w:val="22"/>
                <w:szCs w:val="22"/>
                <w:lang w:val="ro-MD"/>
              </w:rPr>
              <w:t>ţ</w:t>
            </w:r>
            <w:bookmarkEnd w:id="341"/>
            <w:bookmarkEnd w:id="342"/>
            <w:r>
              <w:rPr>
                <w:rFonts w:ascii="Times New Roman" w:hAnsi="Times New Roman"/>
                <w:b w:val="false"/>
                <w:bCs/>
                <w:sz w:val="22"/>
                <w:szCs w:val="22"/>
                <w:lang w:val="ro-MD"/>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suppressAutoHyphens w:val="true"/>
              <w:bidi w:val="0"/>
              <w:ind w:left="0" w:right="0" w:hanging="0"/>
              <w:jc w:val="left"/>
              <w:textAlignment w:val="auto"/>
              <w:rPr/>
            </w:pPr>
            <w:hyperlink r:id="rId104">
              <w:r>
                <w:rPr>
                  <w:webHidden/>
                  <w:rStyle w:val="Style5"/>
                  <w:sz w:val="22"/>
                  <w:szCs w:val="22"/>
                  <w:lang w:val="ro-MD"/>
                </w:rPr>
                <w:t>Participarea la</w:t>
              </w:r>
              <w:r>
                <w:rPr>
                  <w:rStyle w:val="Style5"/>
                  <w:color w:val="131413"/>
                  <w:sz w:val="22"/>
                  <w:szCs w:val="22"/>
                  <w:lang w:val="en-US"/>
                </w:rPr>
                <w:t xml:space="preserve"> “International Conference Mathematicals &amp; Information Technologies: research&amp;</w:t>
              </w:r>
            </w:hyperlink>
            <w:r>
              <w:rPr>
                <w:color w:val="131413"/>
                <w:sz w:val="22"/>
                <w:szCs w:val="22"/>
                <w:lang w:val="en-US"/>
              </w:rPr>
              <w:t xml:space="preserve">education (MITRE-2016)”, </w:t>
            </w:r>
            <w:r>
              <w:rPr>
                <w:rFonts w:cs="Times New Roman CE" w:ascii="Times New Roman CE" w:hAnsi="Times New Roman CE"/>
                <w:color w:val="131413"/>
                <w:sz w:val="22"/>
                <w:szCs w:val="22"/>
                <w:lang w:val="en-US"/>
              </w:rPr>
              <w:t>Chişinău, Republica Moldova, 23–26 iunie 2016</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lineRule="exact" w:line="240"/>
              <w:ind w:left="0" w:right="0" w:hanging="0"/>
              <w:jc w:val="left"/>
              <w:textAlignment w:val="auto"/>
              <w:rPr>
                <w:lang w:val="ro-RO"/>
              </w:rPr>
            </w:pPr>
            <w:r>
              <w:rPr>
                <w:sz w:val="22"/>
                <w:szCs w:val="22"/>
                <w:lang w:val="ro-RO"/>
              </w:rPr>
              <w:t>Lozovanu D. dr.h.</w:t>
            </w:r>
          </w:p>
          <w:p>
            <w:pPr>
              <w:pStyle w:val="Normal"/>
              <w:widowControl/>
              <w:bidi w:val="0"/>
              <w:spacing w:lineRule="exact" w:line="240"/>
              <w:ind w:left="0" w:right="0" w:hanging="0"/>
              <w:jc w:val="left"/>
              <w:textAlignment w:val="auto"/>
              <w:rPr>
                <w:rFonts w:ascii="Times New Roman" w:hAnsi="Times New Roman"/>
                <w:b/>
                <w:b/>
                <w:sz w:val="22"/>
                <w:szCs w:val="22"/>
                <w:lang w:val="ro-RO"/>
              </w:rPr>
            </w:pPr>
            <w:r>
              <w:rPr>
                <w:b/>
                <w:sz w:val="22"/>
                <w:szCs w:val="22"/>
                <w:lang w:val="ro-RO"/>
              </w:rPr>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lineRule="exact" w:line="240" w:before="240" w:after="60"/>
              <w:ind w:left="0" w:right="0" w:hanging="0"/>
              <w:jc w:val="left"/>
              <w:textAlignment w:val="auto"/>
              <w:outlineLvl w:val="0"/>
              <w:rPr>
                <w:lang w:val="en-US"/>
              </w:rPr>
            </w:pPr>
            <w:bookmarkStart w:id="343" w:name="_Toc469648915"/>
            <w:bookmarkStart w:id="344" w:name="_Toc469652001"/>
            <w:bookmarkEnd w:id="343"/>
            <w:bookmarkEnd w:id="344"/>
            <w:r>
              <w:rPr>
                <w:rFonts w:ascii="Times New Roman" w:hAnsi="Times New Roman"/>
                <w:b w:val="false"/>
                <w:bCs/>
                <w:sz w:val="22"/>
                <w:szCs w:val="22"/>
                <w:lang w:val="en-US"/>
              </w:rPr>
              <w:t>Determining stationary Nash equilibria for average stochastic games</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lineRule="exact" w:line="240" w:before="240" w:after="60"/>
              <w:ind w:left="0" w:right="0" w:hanging="0"/>
              <w:jc w:val="left"/>
              <w:textAlignment w:val="auto"/>
              <w:outlineLvl w:val="0"/>
              <w:rPr>
                <w:lang w:val="ro-MD"/>
              </w:rPr>
            </w:pPr>
            <w:bookmarkStart w:id="345" w:name="_Toc469648916"/>
            <w:bookmarkStart w:id="346" w:name="_Toc469652002"/>
            <w:bookmarkEnd w:id="345"/>
            <w:bookmarkEnd w:id="346"/>
            <w:r>
              <w:rPr>
                <w:rFonts w:ascii="Times New Roman" w:hAnsi="Times New Roman"/>
                <w:b w:val="false"/>
                <w:bCs/>
                <w:sz w:val="22"/>
                <w:szCs w:val="22"/>
                <w:lang w:val="ro-MD"/>
              </w:rPr>
              <w:t>Raport Plenar</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suppressAutoHyphens w:val="true"/>
              <w:bidi w:val="0"/>
              <w:ind w:left="284" w:right="0" w:hanging="0"/>
              <w:jc w:val="both"/>
              <w:textAlignment w:val="auto"/>
              <w:rPr>
                <w:rFonts w:ascii="Times New Roman" w:hAnsi="Times New Roman"/>
                <w:sz w:val="22"/>
                <w:szCs w:val="22"/>
                <w:lang w:val="it-IT"/>
              </w:rPr>
            </w:pPr>
            <w:r>
              <w:rPr>
                <w:sz w:val="22"/>
                <w:szCs w:val="22"/>
                <w:lang w:val="it-IT"/>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exact" w:line="240" w:before="0" w:after="0"/>
              <w:ind w:left="0" w:right="0" w:hanging="0"/>
              <w:contextualSpacing/>
              <w:jc w:val="left"/>
              <w:textAlignment w:val="auto"/>
              <w:rPr>
                <w:lang w:val="en-US"/>
              </w:rPr>
            </w:pPr>
            <w:r>
              <w:rPr>
                <w:color w:val="131413"/>
                <w:sz w:val="22"/>
                <w:szCs w:val="22"/>
                <w:lang w:val="en-US"/>
              </w:rPr>
              <w:t>M</w:t>
            </w:r>
            <w:r>
              <w:rPr>
                <w:rFonts w:cs="Times New Roman CE" w:ascii="Times New Roman CE" w:hAnsi="Times New Roman CE"/>
                <w:color w:val="131413"/>
                <w:sz w:val="22"/>
                <w:szCs w:val="22"/>
                <w:lang w:val="en-US"/>
              </w:rPr>
              <w:t xml:space="preserve">işcoi </w:t>
            </w:r>
            <w:r>
              <w:rPr>
                <w:color w:val="131413"/>
                <w:sz w:val="22"/>
                <w:szCs w:val="22"/>
                <w:lang w:val="en-US"/>
              </w:rPr>
              <w:t xml:space="preserve">Gh. </w:t>
            </w:r>
            <w:r>
              <w:rPr>
                <w:color w:val="131413"/>
                <w:sz w:val="22"/>
                <w:szCs w:val="22"/>
                <w:lang w:val="ro-RO"/>
              </w:rPr>
              <w:t>acad.</w:t>
            </w:r>
          </w:p>
          <w:p>
            <w:pPr>
              <w:pStyle w:val="ListParagraph"/>
              <w:widowControl/>
              <w:bidi w:val="0"/>
              <w:spacing w:lineRule="exact" w:line="240" w:before="0" w:after="0"/>
              <w:ind w:left="0" w:right="0" w:hanging="0"/>
              <w:contextualSpacing/>
              <w:jc w:val="left"/>
              <w:textAlignment w:val="auto"/>
              <w:rPr>
                <w:lang w:val="en-US"/>
              </w:rPr>
            </w:pPr>
            <w:r>
              <w:rPr>
                <w:color w:val="131413"/>
                <w:sz w:val="22"/>
                <w:szCs w:val="22"/>
                <w:lang w:val="en-US"/>
              </w:rPr>
              <w:t xml:space="preserve">Costea A. </w:t>
            </w:r>
          </w:p>
          <w:p>
            <w:pPr>
              <w:pStyle w:val="Normal"/>
              <w:widowControl/>
              <w:suppressAutoHyphens w:val="true"/>
              <w:bidi w:val="0"/>
              <w:spacing w:lineRule="exact" w:line="240"/>
              <w:ind w:left="0" w:right="0" w:hanging="0"/>
              <w:jc w:val="both"/>
              <w:textAlignment w:val="auto"/>
              <w:rPr>
                <w:lang w:val="en-US"/>
              </w:rPr>
            </w:pPr>
            <w:r>
              <w:rPr>
                <w:color w:val="131413"/>
                <w:sz w:val="22"/>
                <w:szCs w:val="22"/>
                <w:lang w:val="en-US"/>
              </w:rPr>
              <w:t xml:space="preserve">Ticu R., </w:t>
            </w:r>
            <w:r>
              <w:rPr>
                <w:color w:val="333333"/>
                <w:sz w:val="22"/>
                <w:szCs w:val="22"/>
                <w:lang w:val="en-US"/>
              </w:rPr>
              <w:t>Pomazan C.</w:t>
            </w:r>
            <w:r>
              <w:rPr>
                <w:color w:val="131413"/>
                <w:sz w:val="22"/>
                <w:szCs w:val="22"/>
                <w:lang w:val="en-US"/>
              </w:rPr>
              <w:t xml:space="preserve"> </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lineRule="exact" w:line="240" w:before="240" w:after="60"/>
              <w:ind w:left="0" w:right="0" w:hanging="0"/>
              <w:jc w:val="left"/>
              <w:textAlignment w:val="auto"/>
              <w:outlineLvl w:val="0"/>
              <w:rPr>
                <w:lang w:val="en-US"/>
              </w:rPr>
            </w:pPr>
            <w:bookmarkStart w:id="347" w:name="_Toc469648917"/>
            <w:bookmarkStart w:id="348" w:name="_Toc469652003"/>
            <w:bookmarkEnd w:id="347"/>
            <w:bookmarkEnd w:id="348"/>
            <w:r>
              <w:rPr>
                <w:rFonts w:ascii="Times New Roman" w:hAnsi="Times New Roman"/>
                <w:b w:val="false"/>
                <w:bCs/>
                <w:sz w:val="22"/>
                <w:szCs w:val="22"/>
                <w:lang w:val="en-US"/>
              </w:rPr>
              <w:t>Evalution algorithms of the waiting time of ships in a seaport</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lineRule="exact" w:line="240" w:before="240" w:after="60"/>
              <w:ind w:left="0" w:right="0" w:hanging="0"/>
              <w:jc w:val="left"/>
              <w:textAlignment w:val="auto"/>
              <w:outlineLvl w:val="0"/>
              <w:rPr>
                <w:lang w:val="ro-MD"/>
              </w:rPr>
            </w:pPr>
            <w:bookmarkStart w:id="349" w:name="_Toc469648918"/>
            <w:bookmarkStart w:id="350" w:name="_Toc469652004"/>
            <w:r>
              <w:rPr>
                <w:rFonts w:ascii="Times New Roman" w:hAnsi="Times New Roman"/>
                <w:b w:val="false"/>
                <w:bCs/>
                <w:sz w:val="22"/>
                <w:szCs w:val="22"/>
                <w:lang w:val="ro-MD"/>
              </w:rPr>
              <w:t>Raport sec</w:t>
            </w:r>
            <w:r>
              <w:rPr>
                <w:rFonts w:cs="Times New Roman CE" w:ascii="Times New Roman CE" w:hAnsi="Times New Roman CE"/>
                <w:b w:val="false"/>
                <w:bCs/>
                <w:sz w:val="22"/>
                <w:szCs w:val="22"/>
                <w:lang w:val="ro-MD"/>
              </w:rPr>
              <w:t>ţ</w:t>
            </w:r>
            <w:bookmarkEnd w:id="349"/>
            <w:bookmarkEnd w:id="350"/>
            <w:r>
              <w:rPr>
                <w:rFonts w:ascii="Times New Roman" w:hAnsi="Times New Roman"/>
                <w:b w:val="false"/>
                <w:bCs/>
                <w:sz w:val="22"/>
                <w:szCs w:val="22"/>
                <w:lang w:val="ro-MD"/>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rFonts w:ascii="Times New Roman" w:hAnsi="Times New Roman"/>
                <w:b w:val="false"/>
                <w:b w:val="false"/>
                <w:bCs/>
                <w:sz w:val="22"/>
                <w:szCs w:val="22"/>
                <w:lang w:val="ro-MD"/>
              </w:rPr>
            </w:pPr>
            <w:r>
              <w:rPr>
                <w:rFonts w:ascii="Times New Roman" w:hAnsi="Times New Roman"/>
                <w:b w:val="false"/>
                <w:bCs/>
                <w:sz w:val="22"/>
                <w:szCs w:val="22"/>
                <w:lang w:val="ro-MD"/>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exact" w:line="240" w:before="0" w:after="0"/>
              <w:ind w:left="0" w:right="0" w:hanging="0"/>
              <w:contextualSpacing/>
              <w:jc w:val="left"/>
              <w:textAlignment w:val="auto"/>
              <w:rPr>
                <w:lang w:val="ro-RO"/>
              </w:rPr>
            </w:pPr>
            <w:r>
              <w:rPr>
                <w:color w:val="131413"/>
                <w:sz w:val="22"/>
                <w:szCs w:val="22"/>
                <w:lang w:val="ro-RO"/>
              </w:rPr>
              <w:t xml:space="preserve">Secrieru G. </w:t>
            </w:r>
            <w:r>
              <w:rPr>
                <w:sz w:val="22"/>
                <w:szCs w:val="22"/>
                <w:lang w:val="ro-RO"/>
              </w:rPr>
              <w:t>dr.</w:t>
            </w:r>
          </w:p>
          <w:p>
            <w:pPr>
              <w:pStyle w:val="1"/>
              <w:keepNext/>
              <w:widowControl/>
              <w:numPr>
                <w:ilvl w:val="0"/>
                <w:numId w:val="0"/>
              </w:numPr>
              <w:bidi w:val="0"/>
              <w:spacing w:lineRule="exact" w:line="240" w:before="240" w:after="60"/>
              <w:ind w:left="0" w:right="0" w:hanging="0"/>
              <w:jc w:val="left"/>
              <w:textAlignment w:val="auto"/>
              <w:outlineLvl w:val="0"/>
              <w:rPr>
                <w:lang w:val="en-US"/>
              </w:rPr>
            </w:pPr>
            <w:bookmarkStart w:id="351" w:name="_Toc469648919"/>
            <w:bookmarkStart w:id="352" w:name="_Toc469652005"/>
            <w:r>
              <w:rPr>
                <w:rFonts w:ascii="Times New Roman" w:hAnsi="Times New Roman"/>
                <w:b w:val="false"/>
                <w:bCs/>
                <w:color w:val="131413"/>
                <w:sz w:val="22"/>
                <w:szCs w:val="22"/>
                <w:lang w:val="en-US"/>
              </w:rPr>
              <w:t>Gu</w:t>
            </w:r>
            <w:r>
              <w:rPr>
                <w:rFonts w:cs="Times New Roman CE" w:ascii="Times New Roman CE" w:hAnsi="Times New Roman CE"/>
                <w:b w:val="false"/>
                <w:bCs/>
                <w:color w:val="131413"/>
                <w:sz w:val="22"/>
                <w:szCs w:val="22"/>
                <w:lang w:val="en-US"/>
              </w:rPr>
              <w:t>ţ</w:t>
            </w:r>
            <w:bookmarkEnd w:id="351"/>
            <w:bookmarkEnd w:id="352"/>
            <w:r>
              <w:rPr>
                <w:rFonts w:ascii="Times New Roman" w:hAnsi="Times New Roman"/>
                <w:b w:val="false"/>
                <w:bCs/>
                <w:color w:val="131413"/>
                <w:sz w:val="22"/>
                <w:szCs w:val="22"/>
                <w:lang w:val="en-US"/>
              </w:rPr>
              <w:t>uleac E. dr.</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lineRule="exact" w:line="240" w:before="240" w:after="60"/>
              <w:ind w:left="0" w:right="0" w:hanging="0"/>
              <w:jc w:val="left"/>
              <w:textAlignment w:val="auto"/>
              <w:outlineLvl w:val="0"/>
              <w:rPr>
                <w:lang w:val="en-US"/>
              </w:rPr>
            </w:pPr>
            <w:bookmarkStart w:id="353" w:name="_Toc469648920"/>
            <w:bookmarkStart w:id="354" w:name="_Toc469652006"/>
            <w:bookmarkEnd w:id="353"/>
            <w:bookmarkEnd w:id="354"/>
            <w:r>
              <w:rPr>
                <w:rFonts w:ascii="Times New Roman" w:hAnsi="Times New Roman"/>
                <w:b w:val="false"/>
                <w:bCs/>
                <w:color w:val="131413"/>
                <w:sz w:val="22"/>
                <w:szCs w:val="22"/>
                <w:lang w:val="en-US"/>
              </w:rPr>
              <w:t>Numerical vulnerability assessment of hazardous materials storage under dynamic load</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lineRule="exact" w:line="240" w:before="240" w:after="60"/>
              <w:ind w:left="0" w:right="0" w:hanging="0"/>
              <w:jc w:val="left"/>
              <w:textAlignment w:val="auto"/>
              <w:outlineLvl w:val="0"/>
              <w:rPr>
                <w:lang w:val="ro-MD"/>
              </w:rPr>
            </w:pPr>
            <w:bookmarkStart w:id="355" w:name="_Toc469648921"/>
            <w:bookmarkStart w:id="356" w:name="_Toc469652007"/>
            <w:r>
              <w:rPr>
                <w:rFonts w:ascii="Times New Roman" w:hAnsi="Times New Roman"/>
                <w:b w:val="false"/>
                <w:bCs/>
                <w:sz w:val="22"/>
                <w:szCs w:val="22"/>
                <w:lang w:val="ro-MD"/>
              </w:rPr>
              <w:t>Raport sec</w:t>
            </w:r>
            <w:r>
              <w:rPr>
                <w:rFonts w:cs="Times New Roman CE" w:ascii="Times New Roman CE" w:hAnsi="Times New Roman CE"/>
                <w:b w:val="false"/>
                <w:bCs/>
                <w:sz w:val="22"/>
                <w:szCs w:val="22"/>
                <w:lang w:val="ro-MD"/>
              </w:rPr>
              <w:t>ţ</w:t>
            </w:r>
            <w:bookmarkEnd w:id="355"/>
            <w:bookmarkEnd w:id="356"/>
            <w:r>
              <w:rPr>
                <w:rFonts w:ascii="Times New Roman" w:hAnsi="Times New Roman"/>
                <w:b w:val="false"/>
                <w:bCs/>
                <w:sz w:val="22"/>
                <w:szCs w:val="22"/>
                <w:lang w:val="ro-MD"/>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both"/>
              <w:textAlignment w:val="auto"/>
              <w:outlineLvl w:val="0"/>
              <w:rPr>
                <w:lang w:val="ro-MD"/>
              </w:rPr>
            </w:pPr>
            <w:bookmarkStart w:id="357" w:name="_Toc469648922"/>
            <w:bookmarkStart w:id="358" w:name="_Toc469652008"/>
            <w:r>
              <w:rPr>
                <w:rFonts w:ascii="Times New Roman" w:hAnsi="Times New Roman"/>
                <w:b w:val="false"/>
                <w:bCs/>
                <w:sz w:val="22"/>
                <w:szCs w:val="22"/>
                <w:lang w:val="ro-MD"/>
              </w:rPr>
              <w:t>Participarea la „</w:t>
            </w:r>
            <w:r>
              <w:rPr>
                <w:rFonts w:ascii="Times New Roman" w:hAnsi="Times New Roman"/>
                <w:b w:val="false"/>
                <w:bCs/>
                <w:sz w:val="22"/>
                <w:szCs w:val="22"/>
                <w:lang w:val="en-US"/>
              </w:rPr>
              <w:t xml:space="preserve">The </w:t>
            </w:r>
            <w:r>
              <w:rPr>
                <w:rFonts w:ascii="Times New Roman" w:hAnsi="Times New Roman"/>
                <w:b w:val="false"/>
                <w:bCs w:val="false"/>
                <w:sz w:val="22"/>
                <w:szCs w:val="22"/>
                <w:lang w:val="en-US"/>
              </w:rPr>
              <w:t xml:space="preserve">SISOM 2016 and Acoustics Symposium of Romanian Academy”, 12-13 </w:t>
            </w:r>
            <w:bookmarkEnd w:id="357"/>
            <w:bookmarkEnd w:id="358"/>
            <w:r>
              <w:rPr>
                <w:rFonts w:ascii="Times New Roman" w:hAnsi="Times New Roman"/>
                <w:b w:val="false"/>
                <w:bCs/>
                <w:sz w:val="22"/>
                <w:szCs w:val="22"/>
                <w:lang w:val="en-US"/>
              </w:rPr>
              <w:t>May 2016, Bucharest, Romania.</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0"/>
              <w:ind w:left="0" w:right="0" w:hanging="0"/>
              <w:contextualSpacing/>
              <w:jc w:val="left"/>
              <w:textAlignment w:val="auto"/>
              <w:rPr>
                <w:lang w:val="ro-RO"/>
              </w:rPr>
            </w:pPr>
            <w:r>
              <w:rPr>
                <w:color w:val="131413"/>
                <w:sz w:val="22"/>
                <w:szCs w:val="22"/>
                <w:lang w:val="ro-RO"/>
              </w:rPr>
              <w:t xml:space="preserve">Secrieru G. </w:t>
            </w:r>
            <w:r>
              <w:rPr>
                <w:sz w:val="22"/>
                <w:szCs w:val="22"/>
                <w:lang w:val="ro-RO"/>
              </w:rPr>
              <w:t>dr.</w:t>
            </w:r>
          </w:p>
          <w:p>
            <w:pPr>
              <w:pStyle w:val="1"/>
              <w:keepNext/>
              <w:widowControl/>
              <w:numPr>
                <w:ilvl w:val="0"/>
                <w:numId w:val="0"/>
              </w:numPr>
              <w:bidi w:val="0"/>
              <w:spacing w:before="240" w:after="60"/>
              <w:ind w:left="0" w:right="0" w:hanging="0"/>
              <w:jc w:val="left"/>
              <w:textAlignment w:val="auto"/>
              <w:outlineLvl w:val="0"/>
              <w:rPr>
                <w:lang w:val="en-US"/>
              </w:rPr>
            </w:pPr>
            <w:bookmarkStart w:id="359" w:name="_Toc469648923"/>
            <w:bookmarkStart w:id="360" w:name="_Toc469652009"/>
            <w:r>
              <w:rPr>
                <w:rFonts w:ascii="Times New Roman" w:hAnsi="Times New Roman"/>
                <w:b w:val="false"/>
                <w:bCs/>
                <w:color w:val="131413"/>
                <w:sz w:val="22"/>
                <w:szCs w:val="22"/>
                <w:lang w:val="en-US"/>
              </w:rPr>
              <w:t>Gu</w:t>
            </w:r>
            <w:r>
              <w:rPr>
                <w:rFonts w:cs="Times New Roman CE" w:ascii="Times New Roman CE" w:hAnsi="Times New Roman CE"/>
                <w:b w:val="false"/>
                <w:bCs/>
                <w:color w:val="131413"/>
                <w:sz w:val="22"/>
                <w:szCs w:val="22"/>
                <w:lang w:val="en-US"/>
              </w:rPr>
              <w:t>ţ</w:t>
            </w:r>
            <w:bookmarkEnd w:id="359"/>
            <w:bookmarkEnd w:id="360"/>
            <w:r>
              <w:rPr>
                <w:rFonts w:ascii="Times New Roman" w:hAnsi="Times New Roman"/>
                <w:b w:val="false"/>
                <w:bCs/>
                <w:color w:val="131413"/>
                <w:sz w:val="22"/>
                <w:szCs w:val="22"/>
                <w:lang w:val="en-US"/>
              </w:rPr>
              <w:t>uleac E. dr.</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lang w:val="en"/>
              </w:rPr>
            </w:pPr>
            <w:bookmarkStart w:id="361" w:name="_Toc469648924"/>
            <w:bookmarkStart w:id="362" w:name="_Toc469652010"/>
            <w:r>
              <w:rPr>
                <w:rStyle w:val="Hps"/>
                <w:rFonts w:ascii="Times New Roman" w:hAnsi="Times New Roman"/>
                <w:b w:val="false"/>
                <w:bCs/>
                <w:sz w:val="22"/>
                <w:szCs w:val="22"/>
                <w:lang w:val="en"/>
              </w:rPr>
              <w:t>Mathematical modeling of</w:t>
            </w:r>
            <w:r>
              <w:rPr>
                <w:rFonts w:ascii="Times New Roman" w:hAnsi="Times New Roman"/>
                <w:b w:val="false"/>
                <w:bCs/>
                <w:sz w:val="22"/>
                <w:szCs w:val="22"/>
                <w:lang w:val="en"/>
              </w:rPr>
              <w:t xml:space="preserve"> </w:t>
            </w:r>
            <w:r>
              <w:rPr>
                <w:rStyle w:val="Style6"/>
                <w:rFonts w:ascii="Times New Roman" w:hAnsi="Times New Roman"/>
                <w:b w:val="false"/>
                <w:bCs/>
                <w:iCs/>
                <w:sz w:val="22"/>
                <w:szCs w:val="22"/>
                <w:lang w:val="en-US"/>
              </w:rPr>
              <w:t>elastic</w:t>
            </w:r>
            <w:r>
              <w:rPr>
                <w:rStyle w:val="St"/>
                <w:rFonts w:cs="Arial" w:ascii="Times New Roman" w:hAnsi="Times New Roman"/>
                <w:b w:val="false"/>
                <w:bCs/>
                <w:i/>
                <w:sz w:val="22"/>
                <w:szCs w:val="22"/>
                <w:lang w:val="en-US"/>
              </w:rPr>
              <w:t>–</w:t>
            </w:r>
            <w:r>
              <w:rPr>
                <w:rStyle w:val="Style6"/>
                <w:rFonts w:ascii="Times New Roman" w:hAnsi="Times New Roman"/>
                <w:b w:val="false"/>
                <w:bCs/>
                <w:iCs/>
                <w:sz w:val="22"/>
                <w:szCs w:val="22"/>
                <w:lang w:val="en-US"/>
              </w:rPr>
              <w:t>plastic structures</w:t>
            </w:r>
            <w:r>
              <w:rPr>
                <w:rFonts w:ascii="Times New Roman" w:hAnsi="Times New Roman"/>
                <w:b w:val="false"/>
                <w:bCs/>
                <w:i/>
                <w:sz w:val="22"/>
                <w:szCs w:val="22"/>
                <w:lang w:val="en-US"/>
              </w:rPr>
              <w:t xml:space="preserve"> </w:t>
            </w:r>
            <w:r>
              <w:rPr>
                <w:rStyle w:val="Style6"/>
                <w:rFonts w:ascii="Times New Roman" w:hAnsi="Times New Roman"/>
                <w:b w:val="false"/>
                <w:bCs/>
                <w:iCs/>
                <w:sz w:val="22"/>
                <w:szCs w:val="22"/>
                <w:lang w:val="en-US"/>
              </w:rPr>
              <w:t>vulnerability</w:t>
            </w:r>
            <w:r>
              <w:rPr>
                <w:rFonts w:ascii="Times New Roman" w:hAnsi="Times New Roman"/>
                <w:b w:val="false"/>
                <w:bCs/>
                <w:sz w:val="22"/>
                <w:szCs w:val="22"/>
                <w:lang w:val="en"/>
              </w:rPr>
              <w:t xml:space="preserve"> </w:t>
            </w:r>
            <w:r>
              <w:rPr>
                <w:rStyle w:val="Hps"/>
                <w:rFonts w:ascii="Times New Roman" w:hAnsi="Times New Roman"/>
                <w:b w:val="false"/>
                <w:bCs/>
                <w:sz w:val="22"/>
                <w:szCs w:val="22"/>
                <w:lang w:val="en"/>
              </w:rPr>
              <w:t>under intensive</w:t>
            </w:r>
            <w:r>
              <w:rPr>
                <w:rFonts w:ascii="Times New Roman" w:hAnsi="Times New Roman"/>
                <w:b w:val="false"/>
                <w:bCs/>
                <w:sz w:val="22"/>
                <w:szCs w:val="22"/>
                <w:lang w:val="en"/>
              </w:rPr>
              <w:t xml:space="preserve"> </w:t>
            </w:r>
            <w:bookmarkEnd w:id="361"/>
            <w:bookmarkEnd w:id="362"/>
            <w:r>
              <w:rPr>
                <w:rStyle w:val="Hps"/>
                <w:rFonts w:ascii="Times New Roman" w:hAnsi="Times New Roman"/>
                <w:b w:val="false"/>
                <w:bCs/>
                <w:sz w:val="22"/>
                <w:szCs w:val="22"/>
                <w:lang w:val="en"/>
              </w:rPr>
              <w:t>loading</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lang w:val="ro-MD"/>
              </w:rPr>
            </w:pPr>
            <w:bookmarkStart w:id="363" w:name="_Toc469648925"/>
            <w:bookmarkStart w:id="364" w:name="_Toc469652011"/>
            <w:bookmarkEnd w:id="363"/>
            <w:bookmarkEnd w:id="364"/>
            <w:r>
              <w:rPr>
                <w:rFonts w:ascii="Times New Roman" w:hAnsi="Times New Roman"/>
                <w:b w:val="false"/>
                <w:bCs/>
                <w:sz w:val="22"/>
                <w:szCs w:val="22"/>
                <w:lang w:val="ro-MD"/>
              </w:rPr>
              <w:t>Raport Plenar</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lang w:val="ro-MD"/>
              </w:rPr>
            </w:pPr>
            <w:bookmarkStart w:id="365" w:name="_Toc469648926"/>
            <w:bookmarkStart w:id="366" w:name="_Toc469652012"/>
            <w:r>
              <w:rPr>
                <w:rFonts w:ascii="Times New Roman" w:hAnsi="Times New Roman"/>
                <w:b w:val="false"/>
                <w:bCs/>
                <w:sz w:val="22"/>
                <w:szCs w:val="22"/>
                <w:lang w:val="ro-MD"/>
              </w:rPr>
              <w:t>Participarea la</w:t>
            </w:r>
            <w:bookmarkEnd w:id="365"/>
            <w:bookmarkEnd w:id="366"/>
            <w:r>
              <w:rPr>
                <w:rFonts w:ascii="Times New Roman" w:hAnsi="Times New Roman"/>
                <w:b w:val="false"/>
                <w:bCs/>
                <w:sz w:val="22"/>
                <w:szCs w:val="22"/>
                <w:lang w:val="ro-MD"/>
              </w:rPr>
              <w:t xml:space="preserve"> </w:t>
            </w:r>
          </w:p>
          <w:p>
            <w:pPr>
              <w:pStyle w:val="1"/>
              <w:keepNext/>
              <w:widowControl/>
              <w:numPr>
                <w:ilvl w:val="0"/>
                <w:numId w:val="0"/>
              </w:numPr>
              <w:bidi w:val="0"/>
              <w:spacing w:before="240" w:after="60"/>
              <w:ind w:left="0" w:right="0" w:hanging="0"/>
              <w:jc w:val="left"/>
              <w:textAlignment w:val="auto"/>
              <w:outlineLvl w:val="0"/>
              <w:rPr>
                <w:lang w:val="ro-RO"/>
              </w:rPr>
            </w:pPr>
            <w:bookmarkStart w:id="367" w:name="_Toc469648927"/>
            <w:bookmarkStart w:id="368" w:name="_Toc469652013"/>
            <w:r>
              <w:rPr>
                <w:rFonts w:cs="Times New Roman CE" w:ascii="Times New Roman CE" w:hAnsi="Times New Roman CE"/>
                <w:b w:val="false"/>
                <w:bCs/>
                <w:sz w:val="22"/>
                <w:szCs w:val="22"/>
                <w:lang w:val="ro-RO"/>
              </w:rPr>
              <w:t>Conferinţa ştiinţifică “</w:t>
            </w:r>
            <w:bookmarkEnd w:id="367"/>
            <w:bookmarkEnd w:id="368"/>
            <w:r>
              <w:rPr>
                <w:rFonts w:ascii="Times New Roman" w:hAnsi="Times New Roman"/>
                <w:b w:val="false"/>
                <w:bCs/>
                <w:sz w:val="22"/>
                <w:szCs w:val="22"/>
                <w:lang w:val="ro-RO"/>
              </w:rPr>
              <w:t>Дни Объеди-ненного института ядерных иссле-дований (ОИЯИ) в Молдове”, 01-03 iunie 2016, Chishinau, Moldova.</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lang w:val="en-US"/>
              </w:rPr>
            </w:pPr>
            <w:bookmarkStart w:id="369" w:name="_Toc469648928"/>
            <w:bookmarkStart w:id="370" w:name="_Toc469652014"/>
            <w:r>
              <w:rPr>
                <w:rFonts w:ascii="Times New Roman" w:hAnsi="Times New Roman"/>
                <w:b w:val="false"/>
                <w:bCs/>
                <w:sz w:val="22"/>
                <w:szCs w:val="22"/>
                <w:lang w:val="en-US"/>
              </w:rPr>
              <w:t>Tighineanu I. acad.,</w:t>
            </w:r>
            <w:r>
              <w:rPr>
                <w:rFonts w:cs="Arial"/>
                <w:b/>
                <w:bCs/>
                <w:sz w:val="22"/>
                <w:szCs w:val="22"/>
                <w:lang w:val="en-US"/>
              </w:rPr>
              <w:t xml:space="preserve"> </w:t>
            </w:r>
            <w:r>
              <w:rPr>
                <w:rFonts w:ascii="Times New Roman" w:hAnsi="Times New Roman"/>
                <w:b w:val="false"/>
                <w:bCs/>
                <w:color w:val="131413"/>
                <w:sz w:val="22"/>
                <w:szCs w:val="22"/>
                <w:lang w:val="ro-RO"/>
              </w:rPr>
              <w:t xml:space="preserve">Bogatencov P. </w:t>
            </w:r>
            <w:r>
              <w:rPr>
                <w:rFonts w:ascii="Times New Roman" w:hAnsi="Times New Roman"/>
                <w:b w:val="false"/>
                <w:bCs/>
                <w:sz w:val="22"/>
                <w:szCs w:val="22"/>
                <w:lang w:val="ro-RO"/>
              </w:rPr>
              <w:t xml:space="preserve">dr. </w:t>
            </w:r>
            <w:r>
              <w:rPr>
                <w:rFonts w:ascii="Times New Roman" w:hAnsi="Times New Roman"/>
                <w:b w:val="false"/>
                <w:bCs/>
                <w:color w:val="131413"/>
                <w:sz w:val="22"/>
                <w:szCs w:val="22"/>
                <w:lang w:val="ro-RO"/>
              </w:rPr>
              <w:t xml:space="preserve">Secrieru G. </w:t>
            </w:r>
            <w:bookmarkEnd w:id="369"/>
            <w:bookmarkEnd w:id="370"/>
            <w:r>
              <w:rPr>
                <w:rFonts w:ascii="Times New Roman" w:hAnsi="Times New Roman"/>
                <w:b w:val="false"/>
                <w:bCs/>
                <w:sz w:val="22"/>
                <w:szCs w:val="22"/>
                <w:lang w:val="ro-RO"/>
              </w:rPr>
              <w:t>dr.</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lang w:val="ro-RO"/>
              </w:rPr>
            </w:pPr>
            <w:bookmarkStart w:id="371" w:name="_Toc469648929"/>
            <w:bookmarkStart w:id="372" w:name="_Toc469652015"/>
            <w:bookmarkEnd w:id="371"/>
            <w:bookmarkEnd w:id="372"/>
            <w:r>
              <w:rPr>
                <w:rFonts w:ascii="Times New Roman" w:hAnsi="Times New Roman"/>
                <w:b w:val="false"/>
                <w:bCs/>
                <w:sz w:val="22"/>
                <w:szCs w:val="22"/>
                <w:lang w:val="ro-RO"/>
              </w:rPr>
              <w:t>Computer Infrastructure and Services Development for Research and Education in Moldova</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lang w:val="ro-MD"/>
              </w:rPr>
            </w:pPr>
            <w:bookmarkStart w:id="373" w:name="_Toc469648930"/>
            <w:bookmarkStart w:id="374" w:name="_Toc469652016"/>
            <w:r>
              <w:rPr>
                <w:rFonts w:ascii="Times New Roman" w:hAnsi="Times New Roman"/>
                <w:b w:val="false"/>
                <w:bCs/>
                <w:sz w:val="22"/>
                <w:szCs w:val="22"/>
                <w:lang w:val="ro-MD"/>
              </w:rPr>
              <w:t>Raport sec</w:t>
            </w:r>
            <w:r>
              <w:rPr>
                <w:rFonts w:cs="Times New Roman CE" w:ascii="Times New Roman CE" w:hAnsi="Times New Roman CE"/>
                <w:b w:val="false"/>
                <w:bCs/>
                <w:sz w:val="22"/>
                <w:szCs w:val="22"/>
                <w:lang w:val="ro-MD"/>
              </w:rPr>
              <w:t>ţ</w:t>
            </w:r>
            <w:bookmarkEnd w:id="373"/>
            <w:bookmarkEnd w:id="374"/>
            <w:r>
              <w:rPr>
                <w:rFonts w:ascii="Times New Roman" w:hAnsi="Times New Roman"/>
                <w:b w:val="false"/>
                <w:bCs/>
                <w:sz w:val="22"/>
                <w:szCs w:val="22"/>
                <w:lang w:val="ro-MD"/>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suppressAutoHyphens w:val="true"/>
              <w:bidi w:val="0"/>
              <w:spacing w:before="0" w:after="60"/>
              <w:ind w:left="0" w:right="0" w:hanging="0"/>
              <w:jc w:val="both"/>
              <w:textAlignment w:val="auto"/>
              <w:rPr>
                <w:lang w:val="ro-MD"/>
              </w:rPr>
            </w:pPr>
            <w:r>
              <w:rPr>
                <w:sz w:val="22"/>
                <w:szCs w:val="22"/>
                <w:lang w:val="ro-MD"/>
              </w:rPr>
              <w:t>Participarea la „</w:t>
            </w:r>
            <w:r>
              <w:rPr>
                <w:color w:val="131413"/>
                <w:sz w:val="22"/>
                <w:szCs w:val="22"/>
                <w:lang w:val="en-US"/>
              </w:rPr>
              <w:t>15th RoEduNet IEEE International Conference - Networking in Education and Research” , 7-9 September 2016, Bucharest, Romania</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exact" w:line="240" w:before="0" w:after="0"/>
              <w:ind w:left="0" w:right="0" w:hanging="0"/>
              <w:contextualSpacing/>
              <w:jc w:val="left"/>
              <w:textAlignment w:val="auto"/>
              <w:rPr>
                <w:lang w:val="ro-MD"/>
              </w:rPr>
            </w:pPr>
            <w:r>
              <w:rPr>
                <w:bCs/>
                <w:sz w:val="22"/>
                <w:szCs w:val="22"/>
                <w:lang w:val="ro-MD"/>
              </w:rPr>
              <w:t>Golubev A.</w:t>
            </w:r>
            <w:r>
              <w:rPr>
                <w:b/>
                <w:bCs/>
                <w:sz w:val="22"/>
                <w:szCs w:val="22"/>
                <w:lang w:val="ro-MD"/>
              </w:rPr>
              <w:t xml:space="preserve"> </w:t>
            </w:r>
            <w:r>
              <w:rPr>
                <w:color w:val="131413"/>
                <w:sz w:val="22"/>
                <w:szCs w:val="22"/>
                <w:lang w:val="ro-RO"/>
              </w:rPr>
              <w:t xml:space="preserve">Bogatencov P. </w:t>
            </w:r>
            <w:r>
              <w:rPr>
                <w:sz w:val="22"/>
                <w:szCs w:val="22"/>
                <w:lang w:val="ro-RO"/>
              </w:rPr>
              <w:t xml:space="preserve">dr. </w:t>
            </w:r>
            <w:r>
              <w:rPr>
                <w:color w:val="131413"/>
                <w:sz w:val="22"/>
                <w:szCs w:val="22"/>
                <w:lang w:val="ro-RO"/>
              </w:rPr>
              <w:t xml:space="preserve">Secrieru G. </w:t>
            </w:r>
            <w:r>
              <w:rPr>
                <w:sz w:val="22"/>
                <w:szCs w:val="22"/>
                <w:lang w:val="ro-RO"/>
              </w:rPr>
              <w:t>dr.</w:t>
            </w:r>
          </w:p>
          <w:p>
            <w:pPr>
              <w:pStyle w:val="1"/>
              <w:keepNext/>
              <w:widowControl/>
              <w:numPr>
                <w:ilvl w:val="0"/>
                <w:numId w:val="0"/>
              </w:numPr>
              <w:bidi w:val="0"/>
              <w:spacing w:before="240" w:after="60"/>
              <w:ind w:left="0" w:right="0" w:hanging="0"/>
              <w:jc w:val="left"/>
              <w:textAlignment w:val="auto"/>
              <w:outlineLvl w:val="0"/>
              <w:rPr>
                <w:rFonts w:ascii="Times New Roman" w:hAnsi="Times New Roman"/>
                <w:b w:val="false"/>
                <w:b w:val="false"/>
                <w:bCs/>
                <w:sz w:val="22"/>
                <w:szCs w:val="22"/>
                <w:lang w:val="ro-MD"/>
              </w:rPr>
            </w:pPr>
            <w:r>
              <w:rPr>
                <w:rFonts w:ascii="Times New Roman" w:hAnsi="Times New Roman"/>
                <w:b w:val="false"/>
                <w:bCs/>
                <w:sz w:val="22"/>
                <w:szCs w:val="22"/>
                <w:lang w:val="ro-MD"/>
              </w:rPr>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lang w:val="en-US"/>
              </w:rPr>
            </w:pPr>
            <w:bookmarkStart w:id="375" w:name="_Toc469648931"/>
            <w:bookmarkStart w:id="376" w:name="_Toc469652017"/>
            <w:bookmarkEnd w:id="375"/>
            <w:bookmarkEnd w:id="376"/>
            <w:r>
              <w:rPr>
                <w:rFonts w:ascii="Times New Roman" w:hAnsi="Times New Roman"/>
                <w:b w:val="false"/>
                <w:bCs/>
                <w:color w:val="131413"/>
                <w:sz w:val="22"/>
                <w:szCs w:val="22"/>
                <w:lang w:val="en-US"/>
              </w:rPr>
              <w:t>Updating DICOM Network Architecture for its Integration at International Level</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lang w:val="ro-MD"/>
              </w:rPr>
            </w:pPr>
            <w:bookmarkStart w:id="377" w:name="_Toc469648932"/>
            <w:bookmarkStart w:id="378" w:name="_Toc469652018"/>
            <w:r>
              <w:rPr>
                <w:rFonts w:ascii="Times New Roman" w:hAnsi="Times New Roman"/>
                <w:b w:val="false"/>
                <w:bCs/>
                <w:sz w:val="22"/>
                <w:szCs w:val="22"/>
                <w:lang w:val="ro-MD"/>
              </w:rPr>
              <w:t>Raport sec</w:t>
            </w:r>
            <w:r>
              <w:rPr>
                <w:rFonts w:cs="Times New Roman CE" w:ascii="Times New Roman CE" w:hAnsi="Times New Roman CE"/>
                <w:b w:val="false"/>
                <w:bCs/>
                <w:sz w:val="22"/>
                <w:szCs w:val="22"/>
                <w:lang w:val="ro-MD"/>
              </w:rPr>
              <w:t>ţ</w:t>
            </w:r>
            <w:bookmarkEnd w:id="377"/>
            <w:bookmarkEnd w:id="378"/>
            <w:r>
              <w:rPr>
                <w:rFonts w:ascii="Times New Roman" w:hAnsi="Times New Roman"/>
                <w:b w:val="false"/>
                <w:bCs/>
                <w:sz w:val="22"/>
                <w:szCs w:val="22"/>
                <w:lang w:val="ro-MD"/>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suppressAutoHyphens w:val="true"/>
              <w:bidi w:val="0"/>
              <w:spacing w:before="0" w:after="60"/>
              <w:ind w:left="284" w:right="0" w:hanging="0"/>
              <w:jc w:val="both"/>
              <w:textAlignment w:val="auto"/>
              <w:rPr>
                <w:rFonts w:ascii="Times New Roman" w:hAnsi="Times New Roman"/>
                <w:sz w:val="22"/>
                <w:szCs w:val="22"/>
                <w:lang w:val="ro-MD"/>
              </w:rPr>
            </w:pPr>
            <w:r>
              <w:rPr>
                <w:sz w:val="22"/>
                <w:szCs w:val="22"/>
                <w:lang w:val="ro-MD"/>
              </w:rPr>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exact" w:line="240" w:before="0" w:after="0"/>
              <w:ind w:left="0" w:right="0" w:hanging="0"/>
              <w:contextualSpacing/>
              <w:jc w:val="left"/>
              <w:textAlignment w:val="auto"/>
              <w:rPr>
                <w:lang w:val="ro-RO"/>
              </w:rPr>
            </w:pPr>
            <w:r>
              <w:rPr>
                <w:color w:val="131413"/>
                <w:sz w:val="22"/>
                <w:szCs w:val="22"/>
                <w:lang w:val="ro-RO"/>
              </w:rPr>
              <w:t xml:space="preserve">Secrieru G. </w:t>
            </w:r>
            <w:r>
              <w:rPr>
                <w:sz w:val="22"/>
                <w:szCs w:val="22"/>
                <w:lang w:val="ro-RO"/>
              </w:rPr>
              <w:t>dr.</w:t>
            </w:r>
          </w:p>
          <w:p>
            <w:pPr>
              <w:pStyle w:val="ListParagraph"/>
              <w:widowControl/>
              <w:bidi w:val="0"/>
              <w:spacing w:lineRule="exact" w:line="240" w:before="0" w:after="0"/>
              <w:ind w:left="0" w:right="0" w:hanging="0"/>
              <w:contextualSpacing/>
              <w:jc w:val="left"/>
              <w:textAlignment w:val="auto"/>
              <w:rPr/>
            </w:pPr>
            <w:r>
              <w:rPr>
                <w:color w:val="131413"/>
                <w:sz w:val="22"/>
                <w:szCs w:val="22"/>
                <w:lang w:val="ro-RO"/>
              </w:rPr>
              <w:t xml:space="preserve">Bogatencov P. </w:t>
            </w:r>
            <w:r>
              <w:rPr>
                <w:sz w:val="22"/>
                <w:szCs w:val="22"/>
                <w:lang w:val="ro-RO"/>
              </w:rPr>
              <w:t xml:space="preserve">dr. </w:t>
            </w:r>
          </w:p>
          <w:p>
            <w:pPr>
              <w:pStyle w:val="1"/>
              <w:keepNext/>
              <w:widowControl/>
              <w:numPr>
                <w:ilvl w:val="0"/>
                <w:numId w:val="0"/>
              </w:numPr>
              <w:bidi w:val="0"/>
              <w:spacing w:lineRule="exact" w:line="240" w:before="240" w:after="60"/>
              <w:ind w:left="0" w:right="0" w:hanging="0"/>
              <w:jc w:val="left"/>
              <w:textAlignment w:val="auto"/>
              <w:outlineLvl w:val="0"/>
              <w:rPr>
                <w:lang w:val="es-ES"/>
              </w:rPr>
            </w:pPr>
            <w:bookmarkStart w:id="379" w:name="_Toc469648933"/>
            <w:bookmarkStart w:id="380" w:name="_Toc469652019"/>
            <w:bookmarkEnd w:id="379"/>
            <w:bookmarkEnd w:id="380"/>
            <w:r>
              <w:rPr>
                <w:rFonts w:ascii="Times New Roman" w:hAnsi="Times New Roman"/>
                <w:b w:val="false"/>
                <w:bCs/>
                <w:color w:val="131413"/>
                <w:sz w:val="22"/>
                <w:szCs w:val="22"/>
                <w:lang w:val="es-ES"/>
              </w:rPr>
              <w:t>Rusu O., Rosca P.</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lang w:val="en-US"/>
              </w:rPr>
            </w:pPr>
            <w:bookmarkStart w:id="381" w:name="_Toc469648934"/>
            <w:bookmarkStart w:id="382" w:name="_Toc469652020"/>
            <w:bookmarkEnd w:id="381"/>
            <w:bookmarkEnd w:id="382"/>
            <w:r>
              <w:rPr>
                <w:rFonts w:ascii="Times New Roman" w:hAnsi="Times New Roman"/>
                <w:b w:val="false"/>
                <w:bCs/>
                <w:color w:val="131413"/>
                <w:sz w:val="22"/>
                <w:szCs w:val="22"/>
                <w:lang w:val="en-US"/>
              </w:rPr>
              <w:t>RENAM – RoEduNet – GEANT gateway: approaches for connectivity development</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lang w:val="ro-MD"/>
              </w:rPr>
            </w:pPr>
            <w:bookmarkStart w:id="383" w:name="_Toc469648935"/>
            <w:bookmarkStart w:id="384" w:name="_Toc469652021"/>
            <w:r>
              <w:rPr>
                <w:rFonts w:ascii="Times New Roman" w:hAnsi="Times New Roman"/>
                <w:b w:val="false"/>
                <w:bCs/>
                <w:sz w:val="22"/>
                <w:szCs w:val="22"/>
                <w:lang w:val="ro-MD"/>
              </w:rPr>
              <w:t>Raport sec</w:t>
            </w:r>
            <w:r>
              <w:rPr>
                <w:rFonts w:cs="Times New Roman CE" w:ascii="Times New Roman CE" w:hAnsi="Times New Roman CE"/>
                <w:b w:val="false"/>
                <w:bCs/>
                <w:sz w:val="22"/>
                <w:szCs w:val="22"/>
                <w:lang w:val="ro-MD"/>
              </w:rPr>
              <w:t>ţ</w:t>
            </w:r>
            <w:bookmarkEnd w:id="383"/>
            <w:bookmarkEnd w:id="384"/>
            <w:r>
              <w:rPr>
                <w:rFonts w:ascii="Times New Roman" w:hAnsi="Times New Roman"/>
                <w:b w:val="false"/>
                <w:bCs/>
                <w:sz w:val="22"/>
                <w:szCs w:val="22"/>
                <w:lang w:val="ro-MD"/>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suppressAutoHyphens w:val="true"/>
              <w:bidi w:val="0"/>
              <w:spacing w:before="0" w:after="120"/>
              <w:ind w:left="0" w:right="0" w:hanging="0"/>
              <w:jc w:val="both"/>
              <w:textAlignment w:val="auto"/>
              <w:rPr>
                <w:lang w:val="en-US"/>
              </w:rPr>
            </w:pPr>
            <w:r>
              <w:rPr>
                <w:sz w:val="22"/>
                <w:szCs w:val="22"/>
                <w:lang w:val="en-US"/>
              </w:rPr>
              <w:t>Participarea la Forum International: TRIANGLE 2016-2nd Edition International FORUM  "Fostering the Knowledge Triangle in Moldova: Steps towards European integration through education-research-innovation”. Chisinau, Moldova. 11-12 February 2016.</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left"/>
              <w:textAlignment w:val="auto"/>
              <w:rPr>
                <w:lang w:val="en-US"/>
              </w:rPr>
            </w:pPr>
            <w:r>
              <w:rPr>
                <w:sz w:val="22"/>
                <w:szCs w:val="22"/>
                <w:lang w:val="en-US"/>
              </w:rPr>
              <w:t xml:space="preserve">Bostan I.acad., Tighineanu I. acad., </w:t>
            </w:r>
            <w:r>
              <w:rPr>
                <w:color w:val="131413"/>
                <w:sz w:val="22"/>
                <w:szCs w:val="22"/>
                <w:lang w:val="ro-RO"/>
              </w:rPr>
              <w:t xml:space="preserve">Bogatencov P. </w:t>
            </w:r>
            <w:r>
              <w:rPr>
                <w:sz w:val="22"/>
                <w:szCs w:val="22"/>
                <w:lang w:val="ro-RO"/>
              </w:rPr>
              <w:t xml:space="preserve">dr. </w:t>
            </w:r>
            <w:r>
              <w:rPr>
                <w:color w:val="131413"/>
                <w:sz w:val="22"/>
                <w:szCs w:val="22"/>
                <w:lang w:val="ro-RO"/>
              </w:rPr>
              <w:t xml:space="preserve">Secrieru G. </w:t>
            </w:r>
            <w:r>
              <w:rPr>
                <w:sz w:val="22"/>
                <w:szCs w:val="22"/>
                <w:lang w:val="ro-RO"/>
              </w:rPr>
              <w:t>dr.</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en-US"/>
              </w:rPr>
            </w:pPr>
            <w:r>
              <w:rPr>
                <w:sz w:val="22"/>
                <w:szCs w:val="22"/>
                <w:lang w:val="en-US"/>
              </w:rPr>
              <w:t>Participation of Moldova in the Eastern Europe e-Infrastructure Development projects</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lang w:val="ro-MD"/>
              </w:rPr>
            </w:pPr>
            <w:bookmarkStart w:id="385" w:name="_Toc469648936"/>
            <w:bookmarkStart w:id="386" w:name="_Toc469652022"/>
            <w:r>
              <w:rPr>
                <w:rFonts w:ascii="Times New Roman" w:hAnsi="Times New Roman"/>
                <w:b w:val="false"/>
                <w:bCs/>
                <w:sz w:val="22"/>
                <w:szCs w:val="22"/>
                <w:lang w:val="ro-MD"/>
              </w:rPr>
              <w:t>Raport sec</w:t>
            </w:r>
            <w:r>
              <w:rPr>
                <w:rFonts w:cs="Times New Roman CE" w:ascii="Times New Roman CE" w:hAnsi="Times New Roman CE"/>
                <w:b w:val="false"/>
                <w:bCs/>
                <w:sz w:val="22"/>
                <w:szCs w:val="22"/>
                <w:lang w:val="ro-MD"/>
              </w:rPr>
              <w:t>ţ</w:t>
            </w:r>
            <w:bookmarkEnd w:id="385"/>
            <w:bookmarkEnd w:id="386"/>
            <w:r>
              <w:rPr>
                <w:rFonts w:ascii="Times New Roman" w:hAnsi="Times New Roman"/>
                <w:b w:val="false"/>
                <w:bCs/>
                <w:sz w:val="22"/>
                <w:szCs w:val="22"/>
                <w:lang w:val="ro-MD"/>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suppressAutoHyphens w:val="true"/>
              <w:bidi w:val="0"/>
              <w:spacing w:before="0" w:after="60"/>
              <w:ind w:left="0" w:right="0" w:hanging="0"/>
              <w:jc w:val="both"/>
              <w:textAlignment w:val="auto"/>
              <w:rPr>
                <w:lang w:val="ro-MD"/>
              </w:rPr>
            </w:pPr>
            <w:r>
              <w:rPr>
                <w:sz w:val="22"/>
                <w:szCs w:val="22"/>
                <w:lang w:val="ro-MD"/>
              </w:rPr>
              <w:t xml:space="preserve">Participarea la </w:t>
            </w:r>
            <w:r>
              <w:rPr>
                <w:rFonts w:cs="Times New Roman CE" w:ascii="Times New Roman CE" w:hAnsi="Times New Roman CE"/>
                <w:color w:val="131413"/>
                <w:sz w:val="22"/>
                <w:szCs w:val="22"/>
                <w:lang w:val="ro-MD"/>
              </w:rPr>
              <w:t>Simpozion internaţional ştiinţific. UASM, 2016</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lang w:val="it-IT"/>
              </w:rPr>
            </w:pPr>
            <w:bookmarkStart w:id="387" w:name="_Toc469648937"/>
            <w:bookmarkStart w:id="388" w:name="_Toc469652023"/>
            <w:r>
              <w:rPr>
                <w:rFonts w:cs="Times New Roman CE" w:ascii="Times New Roman CE" w:hAnsi="Times New Roman CE"/>
                <w:b w:val="false"/>
                <w:bCs/>
                <w:color w:val="131413"/>
                <w:sz w:val="22"/>
                <w:szCs w:val="22"/>
                <w:lang w:val="it-IT"/>
              </w:rPr>
              <w:t>Ş</w:t>
            </w:r>
            <w:r>
              <w:rPr>
                <w:rFonts w:ascii="Times New Roman" w:hAnsi="Times New Roman"/>
                <w:b w:val="false"/>
                <w:bCs/>
                <w:color w:val="131413"/>
                <w:sz w:val="22"/>
                <w:szCs w:val="22"/>
                <w:lang w:val="it-IT"/>
              </w:rPr>
              <w:t>eremet V. dr.h. Cre</w:t>
            </w:r>
            <w:r>
              <w:rPr>
                <w:rFonts w:cs="Times New Roman CE" w:ascii="Times New Roman CE" w:hAnsi="Times New Roman CE"/>
                <w:b w:val="false"/>
                <w:bCs/>
                <w:color w:val="131413"/>
                <w:sz w:val="22"/>
                <w:szCs w:val="22"/>
                <w:lang w:val="ro-RO"/>
              </w:rPr>
              <w:t>ţ</w:t>
            </w:r>
            <w:bookmarkEnd w:id="387"/>
            <w:bookmarkEnd w:id="388"/>
            <w:r>
              <w:rPr>
                <w:rFonts w:ascii="Times New Roman" w:hAnsi="Times New Roman"/>
                <w:b w:val="false"/>
                <w:bCs/>
                <w:color w:val="131413"/>
                <w:sz w:val="22"/>
                <w:szCs w:val="22"/>
                <w:lang w:val="it-IT"/>
              </w:rPr>
              <w:t>u I.</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lang w:val="it-IT"/>
              </w:rPr>
            </w:pPr>
            <w:bookmarkStart w:id="389" w:name="_Toc469648938"/>
            <w:bookmarkStart w:id="390" w:name="_Toc469652024"/>
            <w:r>
              <w:rPr>
                <w:rFonts w:cs="Times New Roman CE" w:ascii="Times New Roman CE" w:hAnsi="Times New Roman CE"/>
                <w:b w:val="false"/>
                <w:bCs/>
                <w:color w:val="131413"/>
                <w:sz w:val="22"/>
                <w:szCs w:val="22"/>
                <w:lang w:val="it-IT"/>
              </w:rPr>
              <w:t>Reprezentarea grafică a funcţiil</w:t>
            </w:r>
            <w:bookmarkEnd w:id="389"/>
            <w:bookmarkEnd w:id="390"/>
            <w:r>
              <w:rPr>
                <w:rFonts w:ascii="Times New Roman" w:hAnsi="Times New Roman"/>
                <w:b w:val="false"/>
                <w:bCs/>
                <w:color w:val="131413"/>
                <w:sz w:val="22"/>
                <w:szCs w:val="22"/>
                <w:lang w:val="it-IT"/>
              </w:rPr>
              <w:t>or Green pentru tensiunile termice într-un dreptunghi cu aplicarea softului maple 18</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lang w:val="ro-MD"/>
              </w:rPr>
            </w:pPr>
            <w:bookmarkStart w:id="391" w:name="_Toc469648939"/>
            <w:bookmarkStart w:id="392" w:name="_Toc469652025"/>
            <w:r>
              <w:rPr>
                <w:rFonts w:ascii="Times New Roman" w:hAnsi="Times New Roman"/>
                <w:b w:val="false"/>
                <w:bCs/>
                <w:sz w:val="22"/>
                <w:szCs w:val="22"/>
                <w:lang w:val="ro-MD"/>
              </w:rPr>
              <w:t>Raport sec</w:t>
            </w:r>
            <w:r>
              <w:rPr>
                <w:rFonts w:cs="Times New Roman CE" w:ascii="Times New Roman CE" w:hAnsi="Times New Roman CE"/>
                <w:b w:val="false"/>
                <w:bCs/>
                <w:sz w:val="22"/>
                <w:szCs w:val="22"/>
                <w:lang w:val="ro-MD"/>
              </w:rPr>
              <w:t>ţ</w:t>
            </w:r>
            <w:bookmarkEnd w:id="391"/>
            <w:bookmarkEnd w:id="392"/>
            <w:r>
              <w:rPr>
                <w:rFonts w:ascii="Times New Roman" w:hAnsi="Times New Roman"/>
                <w:b w:val="false"/>
                <w:bCs/>
                <w:sz w:val="22"/>
                <w:szCs w:val="22"/>
                <w:lang w:val="ro-MD"/>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exact" w:line="240" w:before="0" w:after="0"/>
              <w:ind w:left="0" w:right="0" w:hanging="0"/>
              <w:contextualSpacing/>
              <w:jc w:val="both"/>
              <w:textAlignment w:val="auto"/>
              <w:rPr>
                <w:lang w:val="ro-MD"/>
              </w:rPr>
            </w:pPr>
            <w:r>
              <w:rPr>
                <w:sz w:val="22"/>
                <w:szCs w:val="22"/>
                <w:lang w:val="ro-MD"/>
              </w:rPr>
              <w:t>Participarea la</w:t>
            </w:r>
            <w:r>
              <w:rPr>
                <w:b/>
                <w:sz w:val="22"/>
                <w:szCs w:val="22"/>
                <w:lang w:val="ro-MD"/>
              </w:rPr>
              <w:t xml:space="preserve"> </w:t>
            </w:r>
            <w:r>
              <w:rPr>
                <w:rFonts w:cs="Times New Roman CE" w:ascii="Times New Roman CE" w:hAnsi="Times New Roman CE"/>
                <w:sz w:val="22"/>
                <w:szCs w:val="22"/>
                <w:lang w:val="it-IT"/>
              </w:rPr>
              <w:t>Conferinţa Ştiinţifică Internaţională a studenţilor şi masteranzilor “Viitorul ne aparţine”, Ediţia a VI-a dedicată aniversării a 70-a de la crearea primelor instituţii de cercetare şi a 55-a de la fondarea AŞ</w:t>
            </w:r>
            <w:r>
              <w:rPr>
                <w:sz w:val="22"/>
                <w:szCs w:val="22"/>
                <w:lang w:val="it-IT"/>
              </w:rPr>
              <w:t xml:space="preserve"> a Moldovei, </w:t>
            </w:r>
            <w:r>
              <w:rPr>
                <w:rFonts w:cs="Times New Roman CE" w:ascii="Times New Roman CE" w:hAnsi="Times New Roman CE"/>
                <w:sz w:val="22"/>
                <w:szCs w:val="22"/>
                <w:lang w:val="it-IT"/>
              </w:rPr>
              <w:t>Chişinău 2016</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it-IT"/>
              </w:rPr>
            </w:pPr>
            <w:r>
              <w:rPr>
                <w:sz w:val="22"/>
                <w:szCs w:val="22"/>
                <w:lang w:val="it-IT"/>
              </w:rPr>
              <w:t>Gereg V.</w:t>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ListParagraph"/>
              <w:widowControl/>
              <w:bidi w:val="0"/>
              <w:spacing w:lineRule="auto" w:line="276" w:before="0" w:after="200"/>
              <w:ind w:left="0" w:right="0" w:hanging="0"/>
              <w:contextualSpacing/>
              <w:jc w:val="both"/>
              <w:textAlignment w:val="auto"/>
              <w:rPr>
                <w:lang w:val="it-IT"/>
              </w:rPr>
            </w:pPr>
            <w:r>
              <w:rPr>
                <w:sz w:val="22"/>
                <w:szCs w:val="22"/>
                <w:lang w:val="it-IT"/>
              </w:rPr>
              <w:t>Aplicarea Modelului Ramsey la evaluarea cre</w:t>
            </w:r>
            <w:r>
              <w:rPr>
                <w:rFonts w:cs="Times New Roman CE" w:ascii="Times New Roman CE" w:hAnsi="Times New Roman CE"/>
                <w:sz w:val="22"/>
                <w:szCs w:val="22"/>
                <w:lang w:val="ro-RO"/>
              </w:rPr>
              <w:t>ş</w:t>
            </w:r>
            <w:r>
              <w:rPr>
                <w:rFonts w:cs="Times New Roman CE" w:ascii="Times New Roman CE" w:hAnsi="Times New Roman CE"/>
                <w:sz w:val="22"/>
                <w:szCs w:val="22"/>
                <w:lang w:val="it-IT"/>
              </w:rPr>
              <w:t>terii economice a Republicii Moldova. Atelierul Matematică şi Şti</w:t>
            </w:r>
            <w:r>
              <w:rPr>
                <w:sz w:val="22"/>
                <w:szCs w:val="22"/>
                <w:lang w:val="it-IT"/>
              </w:rPr>
              <w:t>i</w:t>
            </w:r>
            <w:r>
              <w:rPr>
                <w:rFonts w:cs="Times New Roman CE" w:ascii="Times New Roman CE" w:hAnsi="Times New Roman CE"/>
                <w:sz w:val="22"/>
                <w:szCs w:val="22"/>
                <w:lang w:val="it-IT"/>
              </w:rPr>
              <w:t>nţa Informaţiei</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lang w:val="ro-MD"/>
              </w:rPr>
            </w:pPr>
            <w:bookmarkStart w:id="393" w:name="_Toc469648940"/>
            <w:bookmarkStart w:id="394" w:name="_Toc469652026"/>
            <w:r>
              <w:rPr>
                <w:rFonts w:ascii="Times New Roman" w:hAnsi="Times New Roman"/>
                <w:b w:val="false"/>
                <w:bCs/>
                <w:sz w:val="22"/>
                <w:szCs w:val="22"/>
                <w:lang w:val="ro-MD"/>
              </w:rPr>
              <w:t>Raport sec</w:t>
            </w:r>
            <w:r>
              <w:rPr>
                <w:rFonts w:cs="Times New Roman CE" w:ascii="Times New Roman CE" w:hAnsi="Times New Roman CE"/>
                <w:b w:val="false"/>
                <w:bCs/>
                <w:sz w:val="22"/>
                <w:szCs w:val="22"/>
                <w:lang w:val="ro-MD"/>
              </w:rPr>
              <w:t>ţ</w:t>
            </w:r>
            <w:bookmarkEnd w:id="393"/>
            <w:bookmarkEnd w:id="394"/>
            <w:r>
              <w:rPr>
                <w:rFonts w:ascii="Times New Roman" w:hAnsi="Times New Roman"/>
                <w:b w:val="false"/>
                <w:bCs/>
                <w:sz w:val="22"/>
                <w:szCs w:val="22"/>
                <w:lang w:val="ro-MD"/>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suppressAutoHyphens w:val="true"/>
              <w:bidi w:val="0"/>
              <w:spacing w:before="0" w:after="60"/>
              <w:ind w:left="0" w:right="0" w:hanging="0"/>
              <w:jc w:val="both"/>
              <w:textAlignment w:val="auto"/>
              <w:rPr>
                <w:lang w:val="ro-MD"/>
              </w:rPr>
            </w:pPr>
            <w:r>
              <w:rPr>
                <w:sz w:val="22"/>
                <w:szCs w:val="22"/>
                <w:lang w:val="ro-MD"/>
              </w:rPr>
              <w:t>Participarea la „</w:t>
            </w:r>
            <w:r>
              <w:rPr>
                <w:color w:val="131413"/>
                <w:sz w:val="22"/>
                <w:szCs w:val="22"/>
                <w:lang w:val="en-US"/>
              </w:rPr>
              <w:t>10th international conference GTM2016”, Saint Petersburg, July 7-9 2016</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Lozovanu D. dr.h.</w:t>
            </w:r>
          </w:p>
          <w:p>
            <w:pPr>
              <w:pStyle w:val="Normal"/>
              <w:widowControl/>
              <w:bidi w:val="0"/>
              <w:ind w:left="0" w:right="0" w:hanging="0"/>
              <w:jc w:val="left"/>
              <w:textAlignment w:val="auto"/>
              <w:rPr>
                <w:lang w:val="ro-RO"/>
              </w:rPr>
            </w:pPr>
            <w:r>
              <w:rPr>
                <w:color w:val="131413"/>
                <w:sz w:val="22"/>
                <w:szCs w:val="22"/>
                <w:lang w:val="ro-RO"/>
              </w:rPr>
              <w:t>Pickl S. dr.</w:t>
            </w:r>
          </w:p>
          <w:p>
            <w:pPr>
              <w:pStyle w:val="ListParagraph"/>
              <w:widowControl/>
              <w:bidi w:val="0"/>
              <w:spacing w:lineRule="exact" w:line="240" w:before="0" w:after="0"/>
              <w:ind w:left="0" w:right="0" w:hanging="0"/>
              <w:contextualSpacing/>
              <w:jc w:val="left"/>
              <w:textAlignment w:val="auto"/>
              <w:rPr>
                <w:rFonts w:ascii="Times New Roman" w:hAnsi="Times New Roman"/>
                <w:bCs/>
                <w:sz w:val="22"/>
                <w:szCs w:val="22"/>
                <w:lang w:val="ro-RO"/>
              </w:rPr>
            </w:pPr>
            <w:r>
              <w:rPr>
                <w:bCs/>
                <w:sz w:val="22"/>
                <w:szCs w:val="22"/>
                <w:lang w:val="ro-RO"/>
              </w:rPr>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lang w:val="en-US"/>
              </w:rPr>
            </w:pPr>
            <w:bookmarkStart w:id="395" w:name="_Toc469648941"/>
            <w:bookmarkStart w:id="396" w:name="_Toc469652027"/>
            <w:bookmarkEnd w:id="395"/>
            <w:bookmarkEnd w:id="396"/>
            <w:r>
              <w:rPr>
                <w:rFonts w:ascii="Times New Roman" w:hAnsi="Times New Roman"/>
                <w:b w:val="false"/>
                <w:bCs/>
                <w:color w:val="131413"/>
                <w:sz w:val="22"/>
                <w:szCs w:val="22"/>
                <w:lang w:val="en-US"/>
              </w:rPr>
              <w:t>An approach for determining the optimal strategies in average antagonistic stochastic games</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lang w:val="ro-MD"/>
              </w:rPr>
            </w:pPr>
            <w:bookmarkStart w:id="397" w:name="_Toc469648942"/>
            <w:bookmarkStart w:id="398" w:name="_Toc469652028"/>
            <w:r>
              <w:rPr>
                <w:rFonts w:ascii="Times New Roman" w:hAnsi="Times New Roman"/>
                <w:b w:val="false"/>
                <w:bCs/>
                <w:sz w:val="22"/>
                <w:szCs w:val="22"/>
                <w:lang w:val="ro-MD"/>
              </w:rPr>
              <w:t>Raport sec</w:t>
            </w:r>
            <w:r>
              <w:rPr>
                <w:rFonts w:cs="Times New Roman CE" w:ascii="Times New Roman CE" w:hAnsi="Times New Roman CE"/>
                <w:b w:val="false"/>
                <w:bCs/>
                <w:sz w:val="22"/>
                <w:szCs w:val="22"/>
                <w:lang w:val="ro-MD"/>
              </w:rPr>
              <w:t>ţ</w:t>
            </w:r>
            <w:bookmarkEnd w:id="397"/>
            <w:bookmarkEnd w:id="398"/>
            <w:r>
              <w:rPr>
                <w:rFonts w:ascii="Times New Roman" w:hAnsi="Times New Roman"/>
                <w:b w:val="false"/>
                <w:bCs/>
                <w:sz w:val="22"/>
                <w:szCs w:val="22"/>
                <w:lang w:val="ro-MD"/>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suppressAutoHyphens w:val="true"/>
              <w:bidi w:val="0"/>
              <w:spacing w:before="0" w:after="60"/>
              <w:ind w:left="0" w:right="0" w:hanging="0"/>
              <w:jc w:val="both"/>
              <w:textAlignment w:val="auto"/>
              <w:rPr>
                <w:lang w:val="ro-MD"/>
              </w:rPr>
            </w:pPr>
            <w:r>
              <w:rPr>
                <w:sz w:val="22"/>
                <w:szCs w:val="22"/>
                <w:lang w:val="ro-MD"/>
              </w:rPr>
              <w:t>Participarea la „</w:t>
            </w:r>
            <w:r>
              <w:rPr>
                <w:color w:val="131413"/>
                <w:sz w:val="22"/>
                <w:szCs w:val="22"/>
                <w:lang w:val="en-US"/>
              </w:rPr>
              <w:t>14th CTW2016 conference theory and applications of discrete optimization</w:t>
            </w:r>
            <w:r>
              <w:rPr>
                <w:sz w:val="22"/>
                <w:szCs w:val="22"/>
                <w:lang w:val="en-US"/>
              </w:rPr>
              <w:t xml:space="preserve"> algorithms”,</w:t>
            </w:r>
            <w:r>
              <w:rPr>
                <w:i/>
                <w:sz w:val="22"/>
                <w:szCs w:val="22"/>
                <w:lang w:val="en-US"/>
              </w:rPr>
              <w:t xml:space="preserve"> </w:t>
            </w:r>
            <w:r>
              <w:rPr>
                <w:sz w:val="22"/>
                <w:szCs w:val="22"/>
                <w:lang w:val="en-US"/>
              </w:rPr>
              <w:t>Milano, 2016</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ro-RO"/>
              </w:rPr>
            </w:pPr>
            <w:r>
              <w:rPr>
                <w:sz w:val="22"/>
                <w:szCs w:val="22"/>
                <w:lang w:val="ro-RO"/>
              </w:rPr>
              <w:t>Lozovanu D. dr.h.</w:t>
            </w:r>
          </w:p>
          <w:p>
            <w:pPr>
              <w:pStyle w:val="Normal"/>
              <w:widowControl/>
              <w:bidi w:val="0"/>
              <w:ind w:left="0" w:right="0" w:hanging="0"/>
              <w:jc w:val="left"/>
              <w:textAlignment w:val="auto"/>
              <w:rPr>
                <w:lang w:val="ro-RO"/>
              </w:rPr>
            </w:pPr>
            <w:r>
              <w:rPr>
                <w:color w:val="131413"/>
                <w:sz w:val="22"/>
                <w:szCs w:val="22"/>
                <w:lang w:val="ro-RO"/>
              </w:rPr>
              <w:t>Pickl S. dr.</w:t>
            </w:r>
          </w:p>
          <w:p>
            <w:pPr>
              <w:pStyle w:val="1"/>
              <w:keepNext/>
              <w:widowControl/>
              <w:numPr>
                <w:ilvl w:val="0"/>
                <w:numId w:val="0"/>
              </w:numPr>
              <w:bidi w:val="0"/>
              <w:spacing w:before="240" w:after="60"/>
              <w:ind w:left="0" w:right="0" w:hanging="0"/>
              <w:jc w:val="left"/>
              <w:textAlignment w:val="auto"/>
              <w:outlineLvl w:val="0"/>
              <w:rPr>
                <w:rFonts w:ascii="Times New Roman" w:hAnsi="Times New Roman"/>
                <w:b w:val="false"/>
                <w:b w:val="false"/>
                <w:bCs/>
                <w:sz w:val="22"/>
                <w:szCs w:val="22"/>
                <w:lang w:val="ro-RO"/>
              </w:rPr>
            </w:pPr>
            <w:r>
              <w:rPr>
                <w:rFonts w:ascii="Times New Roman" w:hAnsi="Times New Roman"/>
                <w:b w:val="false"/>
                <w:bCs/>
                <w:sz w:val="22"/>
                <w:szCs w:val="22"/>
                <w:lang w:val="ro-RO"/>
              </w:rPr>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lang w:val="en-US"/>
              </w:rPr>
            </w:pPr>
            <w:bookmarkStart w:id="399" w:name="_Toc469648943"/>
            <w:bookmarkStart w:id="400" w:name="_Toc469652029"/>
            <w:bookmarkEnd w:id="399"/>
            <w:bookmarkEnd w:id="400"/>
            <w:r>
              <w:rPr>
                <w:rFonts w:ascii="Times New Roman" w:hAnsi="Times New Roman"/>
                <w:b w:val="false"/>
                <w:bCs/>
                <w:color w:val="131413"/>
                <w:sz w:val="22"/>
                <w:szCs w:val="22"/>
                <w:lang w:val="en-US"/>
              </w:rPr>
              <w:t>Determining the optimal strstegies for  zero-sum average stochastic positional games</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before="240" w:after="60"/>
              <w:ind w:left="0" w:right="0" w:hanging="0"/>
              <w:jc w:val="left"/>
              <w:textAlignment w:val="auto"/>
              <w:outlineLvl w:val="0"/>
              <w:rPr>
                <w:lang w:val="ro-MD"/>
              </w:rPr>
            </w:pPr>
            <w:bookmarkStart w:id="401" w:name="_Toc469648944"/>
            <w:bookmarkStart w:id="402" w:name="_Toc469652030"/>
            <w:r>
              <w:rPr>
                <w:rFonts w:ascii="Times New Roman" w:hAnsi="Times New Roman"/>
                <w:b w:val="false"/>
                <w:bCs/>
                <w:sz w:val="22"/>
                <w:szCs w:val="22"/>
                <w:lang w:val="ro-MD"/>
              </w:rPr>
              <w:t>Raport sec</w:t>
            </w:r>
            <w:r>
              <w:rPr>
                <w:rFonts w:cs="Times New Roman CE" w:ascii="Times New Roman CE" w:hAnsi="Times New Roman CE"/>
                <w:b w:val="false"/>
                <w:bCs/>
                <w:sz w:val="22"/>
                <w:szCs w:val="22"/>
                <w:lang w:val="ro-MD"/>
              </w:rPr>
              <w:t>ţ</w:t>
            </w:r>
            <w:bookmarkEnd w:id="401"/>
            <w:bookmarkEnd w:id="402"/>
            <w:r>
              <w:rPr>
                <w:rFonts w:ascii="Times New Roman" w:hAnsi="Times New Roman"/>
                <w:b w:val="false"/>
                <w:bCs/>
                <w:sz w:val="22"/>
                <w:szCs w:val="22"/>
                <w:lang w:val="ro-MD"/>
              </w:rPr>
              <w:t>ie</w:t>
            </w:r>
          </w:p>
        </w:tc>
      </w:tr>
      <w:tr>
        <w:trPr/>
        <w:tc>
          <w:tcPr>
            <w:tcW w:w="297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suppressAutoHyphens w:val="true"/>
              <w:bidi w:val="0"/>
              <w:spacing w:before="0" w:after="60"/>
              <w:ind w:left="0" w:right="0" w:hanging="0"/>
              <w:jc w:val="both"/>
              <w:textAlignment w:val="auto"/>
              <w:rPr>
                <w:lang w:val="ro-MD"/>
              </w:rPr>
            </w:pPr>
            <w:r>
              <w:rPr>
                <w:sz w:val="22"/>
                <w:szCs w:val="22"/>
                <w:lang w:val="ro-MD"/>
              </w:rPr>
              <w:t>Participarea la c</w:t>
            </w:r>
            <w:r>
              <w:rPr>
                <w:rFonts w:cs="Times New Roman CE" w:ascii="Times New Roman CE" w:hAnsi="Times New Roman CE"/>
                <w:color w:val="131413"/>
                <w:sz w:val="22"/>
                <w:szCs w:val="22"/>
                <w:lang w:val="es-ES"/>
              </w:rPr>
              <w:t>onferinţ</w:t>
            </w:r>
            <w:r>
              <w:rPr>
                <w:color w:val="131413"/>
                <w:sz w:val="22"/>
                <w:szCs w:val="22"/>
                <w:lang w:val="es-ES"/>
              </w:rPr>
              <w:t>a i</w:t>
            </w:r>
            <w:r>
              <w:rPr>
                <w:rFonts w:cs="Times New Roman CE" w:ascii="Times New Roman CE" w:hAnsi="Times New Roman CE"/>
                <w:color w:val="131413"/>
                <w:sz w:val="22"/>
                <w:szCs w:val="22"/>
                <w:lang w:val="es-ES"/>
              </w:rPr>
              <w:t>nternaţională</w:t>
            </w:r>
            <w:r>
              <w:rPr>
                <w:color w:val="131413"/>
                <w:sz w:val="22"/>
                <w:szCs w:val="22"/>
                <w:lang w:val="es-ES"/>
              </w:rPr>
              <w:t xml:space="preserve"> “Mod</w:t>
            </w:r>
            <w:r>
              <w:rPr>
                <w:rFonts w:cs="Times New Roman CE" w:ascii="Times New Roman CE" w:hAnsi="Times New Roman CE"/>
                <w:color w:val="131413"/>
                <w:sz w:val="22"/>
                <w:szCs w:val="22"/>
                <w:lang w:val="es-ES"/>
              </w:rPr>
              <w:t>elare matematică, optimizare şi tehnologii informaţionale”, ediţia a V-a, Chişinău, ATIC, 22-25 martie</w:t>
            </w:r>
            <w:r>
              <w:rPr>
                <w:color w:val="131413"/>
                <w:sz w:val="22"/>
                <w:szCs w:val="22"/>
                <w:lang w:val="es-ES"/>
              </w:rPr>
              <w:t xml:space="preserve"> 2016</w:t>
            </w:r>
          </w:p>
        </w:tc>
        <w:tc>
          <w:tcPr>
            <w:tcW w:w="26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spacing w:lineRule="exact" w:line="240"/>
              <w:ind w:left="0" w:right="0" w:hanging="0"/>
              <w:jc w:val="left"/>
              <w:textAlignment w:val="auto"/>
              <w:rPr>
                <w:lang w:val="ro-RO"/>
              </w:rPr>
            </w:pPr>
            <w:r>
              <w:rPr>
                <w:sz w:val="22"/>
                <w:szCs w:val="22"/>
                <w:lang w:val="ro-RO"/>
              </w:rPr>
              <w:t>Lozovanu D. dr.h.</w:t>
            </w:r>
          </w:p>
          <w:p>
            <w:pPr>
              <w:pStyle w:val="1"/>
              <w:keepNext/>
              <w:widowControl/>
              <w:numPr>
                <w:ilvl w:val="0"/>
                <w:numId w:val="0"/>
              </w:numPr>
              <w:bidi w:val="0"/>
              <w:spacing w:lineRule="exact" w:line="240" w:before="240" w:after="60"/>
              <w:ind w:left="0" w:right="0" w:hanging="0"/>
              <w:jc w:val="left"/>
              <w:textAlignment w:val="auto"/>
              <w:outlineLvl w:val="0"/>
              <w:rPr>
                <w:rFonts w:ascii="Times New Roman" w:hAnsi="Times New Roman"/>
                <w:b w:val="false"/>
                <w:b w:val="false"/>
                <w:bCs/>
                <w:sz w:val="22"/>
                <w:szCs w:val="22"/>
                <w:lang w:val="ro-RO"/>
              </w:rPr>
            </w:pPr>
            <w:r>
              <w:rPr>
                <w:rFonts w:ascii="Times New Roman" w:hAnsi="Times New Roman"/>
                <w:b w:val="false"/>
                <w:bCs/>
                <w:sz w:val="22"/>
                <w:szCs w:val="22"/>
                <w:lang w:val="ro-RO"/>
              </w:rPr>
            </w:r>
          </w:p>
        </w:tc>
        <w:tc>
          <w:tcPr>
            <w:tcW w:w="27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lineRule="exact" w:line="240" w:before="240" w:after="60"/>
              <w:ind w:left="0" w:right="0" w:hanging="0"/>
              <w:jc w:val="left"/>
              <w:textAlignment w:val="auto"/>
              <w:outlineLvl w:val="0"/>
              <w:rPr>
                <w:lang w:val="en-US"/>
              </w:rPr>
            </w:pPr>
            <w:bookmarkStart w:id="403" w:name="_Toc469648945"/>
            <w:bookmarkStart w:id="404" w:name="_Toc469652031"/>
            <w:r>
              <w:rPr>
                <w:rFonts w:ascii="Times New Roman" w:hAnsi="Times New Roman"/>
                <w:b w:val="false"/>
                <w:bCs/>
                <w:sz w:val="22"/>
                <w:szCs w:val="22"/>
                <w:lang w:val="en-US"/>
              </w:rPr>
              <w:t>Determining the optimal strategies for multichain average Markov decision peoblems</w:t>
            </w:r>
            <w:bookmarkEnd w:id="403"/>
            <w:bookmarkEnd w:id="404"/>
            <w:r>
              <w:rPr>
                <w:rFonts w:ascii="Times New Roman" w:hAnsi="Times New Roman"/>
                <w:b w:val="false"/>
                <w:bCs/>
                <w:sz w:val="22"/>
                <w:szCs w:val="22"/>
                <w:lang w:val="en-US"/>
              </w:rPr>
              <w:t xml:space="preserve">  </w:t>
            </w:r>
          </w:p>
        </w:tc>
        <w:tc>
          <w:tcPr>
            <w:tcW w:w="207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1"/>
              <w:keepNext/>
              <w:widowControl/>
              <w:numPr>
                <w:ilvl w:val="0"/>
                <w:numId w:val="0"/>
              </w:numPr>
              <w:bidi w:val="0"/>
              <w:spacing w:lineRule="exact" w:line="240" w:before="240" w:after="60"/>
              <w:ind w:left="0" w:right="0" w:hanging="0"/>
              <w:jc w:val="left"/>
              <w:textAlignment w:val="auto"/>
              <w:outlineLvl w:val="0"/>
              <w:rPr>
                <w:lang w:val="ro-MD"/>
              </w:rPr>
            </w:pPr>
            <w:bookmarkStart w:id="405" w:name="_Toc469648946"/>
            <w:bookmarkStart w:id="406" w:name="_Toc469652032"/>
            <w:bookmarkEnd w:id="405"/>
            <w:bookmarkEnd w:id="406"/>
            <w:r>
              <w:rPr>
                <w:rFonts w:ascii="Times New Roman" w:hAnsi="Times New Roman"/>
                <w:b w:val="false"/>
                <w:bCs/>
                <w:sz w:val="22"/>
                <w:szCs w:val="22"/>
                <w:lang w:val="ro-MD"/>
              </w:rPr>
              <w:t>Raport Plenar</w:t>
            </w:r>
          </w:p>
        </w:tc>
      </w:tr>
    </w:tbl>
    <w:p>
      <w:pPr>
        <w:pStyle w:val="ListParagraph"/>
        <w:widowControl/>
        <w:numPr>
          <w:ilvl w:val="0"/>
          <w:numId w:val="116"/>
        </w:numPr>
        <w:bidi w:val="0"/>
        <w:spacing w:before="0" w:after="0"/>
        <w:ind w:left="360" w:right="-1" w:hanging="0"/>
        <w:contextualSpacing/>
        <w:jc w:val="left"/>
        <w:textAlignment w:val="auto"/>
        <w:rPr>
          <w:lang w:val="ro-RO"/>
        </w:rPr>
      </w:pPr>
      <w:r>
        <w:rPr>
          <w:rFonts w:cs="Times New Roman CE" w:ascii="Times New Roman CE" w:hAnsi="Times New Roman CE"/>
          <w:lang w:val="ro-RO"/>
        </w:rPr>
        <w:t xml:space="preserve">S. Cojocaru – conducător </w:t>
      </w:r>
      <w:r>
        <w:rPr>
          <w:rFonts w:cs="Times New Roman CE" w:ascii="Times New Roman CE" w:hAnsi="Times New Roman CE"/>
          <w:bCs/>
          <w:lang w:val="ro-RO"/>
        </w:rPr>
        <w:t>ştiinţific</w:t>
      </w:r>
      <w:r>
        <w:rPr>
          <w:lang w:val="ro-RO"/>
        </w:rPr>
        <w:t xml:space="preserve"> la teza de doctor "Human actions recognition with modular neural networks (Recunoa</w:t>
      </w:r>
      <w:r>
        <w:rPr>
          <w:rFonts w:cs="Times New Roman CE" w:ascii="Times New Roman CE" w:hAnsi="Times New Roman CE"/>
          <w:lang w:val="ro-RO"/>
        </w:rPr>
        <w:t>ş</w:t>
      </w:r>
      <w:r>
        <w:rPr>
          <w:lang w:val="ro-RO"/>
        </w:rPr>
        <w:t>terea ac</w:t>
      </w:r>
      <w:r>
        <w:rPr>
          <w:rFonts w:cs="Times New Roman CE" w:ascii="Times New Roman CE" w:hAnsi="Times New Roman CE"/>
          <w:lang w:val="ro-RO"/>
        </w:rPr>
        <w:t>ţiunilor umane în baza reţ</w:t>
      </w:r>
      <w:r>
        <w:rPr>
          <w:lang w:val="ro-RO"/>
        </w:rPr>
        <w:t>elelor neurale modulare)", autor Veaceslav Albu, .s</w:t>
      </w:r>
      <w:r>
        <w:rPr>
          <w:bCs/>
          <w:lang w:val="ro-RO"/>
        </w:rPr>
        <w:t>pecialitatea:</w:t>
      </w:r>
      <w:r>
        <w:rPr>
          <w:lang w:val="ro-RO"/>
        </w:rPr>
        <w:t xml:space="preserve"> 122.03 – „Modelare, metode matematice, produse program”, sus</w:t>
      </w:r>
      <w:r>
        <w:rPr>
          <w:rFonts w:cs="Times New Roman CE" w:ascii="Times New Roman CE" w:hAnsi="Times New Roman CE"/>
          <w:lang w:val="ro-RO"/>
        </w:rPr>
        <w:t xml:space="preserve">ţinută </w:t>
      </w:r>
      <w:r>
        <w:rPr>
          <w:lang w:val="ro-RO"/>
        </w:rPr>
        <w:t>pe 09 noiembrie 2016.</w:t>
      </w:r>
    </w:p>
    <w:p>
      <w:pPr>
        <w:pStyle w:val="ListParagraph"/>
        <w:widowControl/>
        <w:numPr>
          <w:ilvl w:val="0"/>
          <w:numId w:val="116"/>
        </w:numPr>
        <w:bidi w:val="0"/>
        <w:spacing w:before="0" w:after="0"/>
        <w:ind w:left="360" w:right="-1" w:hanging="0"/>
        <w:contextualSpacing/>
        <w:jc w:val="left"/>
        <w:textAlignment w:val="auto"/>
        <w:rPr/>
      </w:pPr>
      <w:r>
        <w:rPr>
          <w:lang w:val="ro-RO"/>
        </w:rPr>
        <w:t>S. Cojocaru –</w:t>
      </w:r>
      <w:r>
        <w:rPr>
          <w:rFonts w:cs="Times New Roman CE" w:ascii="Times New Roman CE" w:hAnsi="Times New Roman CE"/>
          <w:lang w:val="ro-RO"/>
        </w:rPr>
        <w:t xml:space="preserve"> preşedinte al Consiliului Ş</w:t>
      </w:r>
      <w:r>
        <w:rPr>
          <w:lang w:val="ro-RO"/>
        </w:rPr>
        <w:t>tiin</w:t>
      </w:r>
      <w:r>
        <w:rPr>
          <w:rFonts w:cs="Times New Roman CE" w:ascii="Times New Roman CE" w:hAnsi="Times New Roman CE"/>
          <w:lang w:val="ro-RO"/>
        </w:rPr>
        <w:t>ţ</w:t>
      </w:r>
      <w:r>
        <w:rPr>
          <w:lang w:val="ro-RO"/>
        </w:rPr>
        <w:t>ific Specializat pentru sus</w:t>
      </w:r>
      <w:r>
        <w:rPr>
          <w:rFonts w:cs="Times New Roman CE" w:ascii="Times New Roman CE" w:hAnsi="Times New Roman CE"/>
          <w:lang w:val="ro-RO"/>
        </w:rPr>
        <w:t>ţ</w:t>
      </w:r>
      <w:r>
        <w:rPr>
          <w:lang w:val="ro-RO"/>
        </w:rPr>
        <w:t>inerea tezei de doctor dlui Andrei Re</w:t>
      </w:r>
      <w:r>
        <w:rPr>
          <w:rFonts w:cs="Times New Roman CE" w:ascii="Times New Roman CE" w:hAnsi="Times New Roman CE"/>
          <w:lang w:val="ro-RO"/>
        </w:rPr>
        <w:t>ş</w:t>
      </w:r>
      <w:r>
        <w:rPr>
          <w:lang w:val="ro-RO"/>
        </w:rPr>
        <w:t xml:space="preserve">etnicov (IMI) "Проектирование интеллектуального управления автономным роботом на основе мягких и квантовых вычислений" (Proieсtarea controlului inteligent al robotului autonom bazat pe calcul cuantic </w:t>
      </w:r>
      <w:r>
        <w:rPr>
          <w:rFonts w:cs="Times New Roman CE" w:ascii="Times New Roman CE" w:hAnsi="Times New Roman CE"/>
          <w:lang w:val="ro-RO"/>
        </w:rPr>
        <w:t xml:space="preserve">şi soft computing), specialitatea: 122.03 – </w:t>
      </w:r>
      <w:r>
        <w:rPr>
          <w:lang w:val="ro-RO"/>
        </w:rPr>
        <w:t>„Modelare, metode matematice, produse program”, su</w:t>
      </w:r>
      <w:r>
        <w:rPr>
          <w:rFonts w:cs="Times New Roman CE" w:ascii="Times New Roman CE" w:hAnsi="Times New Roman CE"/>
          <w:lang w:val="ro-RO"/>
        </w:rPr>
        <w:t>sţinută la 09 iunie 2016.</w:t>
      </w:r>
    </w:p>
    <w:p>
      <w:pPr>
        <w:pStyle w:val="ListParagraph"/>
        <w:widowControl/>
        <w:numPr>
          <w:ilvl w:val="0"/>
          <w:numId w:val="116"/>
        </w:numPr>
        <w:bidi w:val="0"/>
        <w:spacing w:before="0" w:after="0"/>
        <w:ind w:left="360" w:right="-1" w:hanging="0"/>
        <w:contextualSpacing/>
        <w:jc w:val="left"/>
        <w:textAlignment w:val="auto"/>
        <w:rPr>
          <w:lang w:val="ro-RO"/>
        </w:rPr>
      </w:pPr>
      <w:r>
        <w:rPr>
          <w:lang w:val="ro-RO"/>
        </w:rPr>
        <w:t>S. Cojocaru</w:t>
      </w:r>
      <w:r>
        <w:rPr>
          <w:rFonts w:cs="Times New Roman CE" w:ascii="Times New Roman CE" w:hAnsi="Times New Roman CE"/>
          <w:lang w:val="ro-RO"/>
        </w:rPr>
        <w:t>, I.Ţiţchiev</w:t>
      </w:r>
      <w:r>
        <w:rPr>
          <w:lang w:val="ro-RO"/>
        </w:rPr>
        <w:t xml:space="preserve"> – membri ai </w:t>
      </w:r>
      <w:r>
        <w:rPr>
          <w:rFonts w:cs="Times New Roman CE" w:ascii="Times New Roman CE" w:hAnsi="Times New Roman CE"/>
          <w:lang w:val="ro-RO"/>
        </w:rPr>
        <w:t>Consiliului Ş</w:t>
      </w:r>
      <w:r>
        <w:rPr>
          <w:lang w:val="ro-RO"/>
        </w:rPr>
        <w:t>tiin</w:t>
      </w:r>
      <w:r>
        <w:rPr>
          <w:rFonts w:cs="Times New Roman CE" w:ascii="Times New Roman CE" w:hAnsi="Times New Roman CE"/>
          <w:lang w:val="ro-RO"/>
        </w:rPr>
        <w:t>ţ</w:t>
      </w:r>
      <w:r>
        <w:rPr>
          <w:lang w:val="ro-RO"/>
        </w:rPr>
        <w:t>ific Specializat pentru sus</w:t>
      </w:r>
      <w:r>
        <w:rPr>
          <w:rFonts w:cs="Times New Roman CE" w:ascii="Times New Roman CE" w:hAnsi="Times New Roman CE"/>
          <w:lang w:val="ro-RO"/>
        </w:rPr>
        <w:t>ţ</w:t>
      </w:r>
      <w:r>
        <w:rPr>
          <w:lang w:val="ro-RO"/>
        </w:rPr>
        <w:t>inerea teze de doctor a dnei Angela Globa (Universitatea de Stat din Tiraspol).</w:t>
      </w:r>
    </w:p>
    <w:p>
      <w:pPr>
        <w:pStyle w:val="ListParagraph"/>
        <w:widowControl/>
        <w:numPr>
          <w:ilvl w:val="0"/>
          <w:numId w:val="116"/>
        </w:numPr>
        <w:bidi w:val="0"/>
        <w:spacing w:before="0" w:after="0"/>
        <w:ind w:left="360" w:right="-1" w:hanging="0"/>
        <w:contextualSpacing/>
        <w:jc w:val="left"/>
        <w:textAlignment w:val="auto"/>
        <w:rPr>
          <w:lang w:val="ro-RO"/>
        </w:rPr>
      </w:pPr>
      <w:r>
        <w:rPr>
          <w:lang w:val="ro-RO"/>
        </w:rPr>
        <w:t>S. Cojocaru – referent oficial la sus</w:t>
      </w:r>
      <w:r>
        <w:rPr>
          <w:rFonts w:cs="Times New Roman CE" w:ascii="Times New Roman CE" w:hAnsi="Times New Roman CE"/>
          <w:lang w:val="ro-RO"/>
        </w:rPr>
        <w:t>ţ</w:t>
      </w:r>
      <w:r>
        <w:rPr>
          <w:lang w:val="ro-RO"/>
        </w:rPr>
        <w:t>inerea tezei de doctor a dnei Daniela G</w:t>
      </w:r>
      <w:r>
        <w:rPr>
          <w:rFonts w:cs="Times New Roman CE" w:ascii="Times New Roman CE" w:hAnsi="Times New Roman CE"/>
          <w:lang w:val="ro-RO"/>
        </w:rPr>
        <w:t>â</w:t>
      </w:r>
      <w:r>
        <w:rPr>
          <w:lang w:val="ro-RO"/>
        </w:rPr>
        <w:t>fu (Universitatea A.I.Cuza, Ia</w:t>
      </w:r>
      <w:r>
        <w:rPr>
          <w:rFonts w:cs="Times New Roman CE" w:ascii="Times New Roman CE" w:hAnsi="Times New Roman CE"/>
          <w:lang w:val="ro-RO"/>
        </w:rPr>
        <w:t>ş</w:t>
      </w:r>
      <w:r>
        <w:rPr>
          <w:lang w:val="ro-RO"/>
        </w:rPr>
        <w:t>i).</w:t>
      </w:r>
    </w:p>
    <w:p>
      <w:pPr>
        <w:pStyle w:val="ListParagraph"/>
        <w:widowControl/>
        <w:numPr>
          <w:ilvl w:val="0"/>
          <w:numId w:val="116"/>
        </w:numPr>
        <w:bidi w:val="0"/>
        <w:spacing w:before="0" w:after="0"/>
        <w:ind w:left="360" w:right="-1" w:hanging="0"/>
        <w:contextualSpacing/>
        <w:jc w:val="both"/>
        <w:textAlignment w:val="auto"/>
        <w:rPr>
          <w:lang w:val="ro-RO"/>
        </w:rPr>
      </w:pPr>
      <w:r>
        <w:rPr>
          <w:rFonts w:cs="Times New Roman CE" w:ascii="Times New Roman CE" w:hAnsi="Times New Roman CE"/>
          <w:lang w:val="ro-RO"/>
        </w:rPr>
        <w:t>L. Burţeva</w:t>
      </w:r>
      <w:r>
        <w:rPr>
          <w:lang w:val="ro-RO"/>
        </w:rPr>
        <w:t xml:space="preserve"> – referent oficial la sus</w:t>
      </w:r>
      <w:r>
        <w:rPr>
          <w:rFonts w:cs="Times New Roman CE" w:ascii="Times New Roman CE" w:hAnsi="Times New Roman CE"/>
          <w:lang w:val="ro-RO"/>
        </w:rPr>
        <w:t>ţ</w:t>
      </w:r>
      <w:r>
        <w:rPr>
          <w:lang w:val="ro-RO"/>
        </w:rPr>
        <w:t>inerea tezeisde doctor a dlui Andrei Re</w:t>
      </w:r>
      <w:r>
        <w:rPr>
          <w:rFonts w:cs="Times New Roman CE" w:ascii="Times New Roman CE" w:hAnsi="Times New Roman CE"/>
          <w:lang w:val="ro-RO"/>
        </w:rPr>
        <w:t>ş</w:t>
      </w:r>
      <w:r>
        <w:rPr>
          <w:lang w:val="ro-RO"/>
        </w:rPr>
        <w:t xml:space="preserve">etnicov (IMI) "Проектирование интеллектуального управления автономным роботом на основе мягких и квантовых вычислений" (Proieсtarea controlului inteligent al robotului autonom bazat pe calcul cuantic </w:t>
      </w:r>
      <w:r>
        <w:rPr>
          <w:rFonts w:cs="Times New Roman CE" w:ascii="Times New Roman CE" w:hAnsi="Times New Roman CE"/>
          <w:lang w:val="ro-RO"/>
        </w:rPr>
        <w:t>şi soft computing)</w:t>
      </w:r>
      <w:r>
        <w:rPr>
          <w:lang w:val="ro-RO"/>
        </w:rPr>
        <w:t>, specialitatea: 122.03 – „Modelare, metode matematice, produse program”, sus</w:t>
      </w:r>
      <w:r>
        <w:rPr>
          <w:rFonts w:cs="Times New Roman CE" w:ascii="Times New Roman CE" w:hAnsi="Times New Roman CE"/>
          <w:lang w:val="ro-RO"/>
        </w:rPr>
        <w:t>ţinută la 09 iunie 2016.</w:t>
      </w:r>
    </w:p>
    <w:p>
      <w:pPr>
        <w:pStyle w:val="ListParagraph"/>
        <w:widowControl/>
        <w:numPr>
          <w:ilvl w:val="0"/>
          <w:numId w:val="116"/>
        </w:numPr>
        <w:bidi w:val="0"/>
        <w:spacing w:before="0" w:after="0"/>
        <w:ind w:left="360" w:right="-1" w:hanging="0"/>
        <w:contextualSpacing/>
        <w:jc w:val="left"/>
        <w:textAlignment w:val="auto"/>
        <w:rPr>
          <w:lang w:val="ro-RO"/>
        </w:rPr>
      </w:pPr>
      <w:r>
        <w:rPr>
          <w:lang w:val="ro-RO"/>
        </w:rPr>
        <w:t xml:space="preserve">C.Ciubotaru – secretar </w:t>
      </w:r>
      <w:r>
        <w:rPr>
          <w:rFonts w:cs="Times New Roman CE" w:ascii="Times New Roman CE" w:hAnsi="Times New Roman CE"/>
          <w:lang w:val="ro-RO"/>
        </w:rPr>
        <w:t>ş</w:t>
      </w:r>
      <w:r>
        <w:rPr>
          <w:lang w:val="ro-RO"/>
        </w:rPr>
        <w:t>tiin</w:t>
      </w:r>
      <w:r>
        <w:rPr>
          <w:rFonts w:cs="Times New Roman CE" w:ascii="Times New Roman CE" w:hAnsi="Times New Roman CE"/>
          <w:lang w:val="ro-RO"/>
        </w:rPr>
        <w:t>ţ</w:t>
      </w:r>
      <w:r>
        <w:rPr>
          <w:lang w:val="ro-RO"/>
        </w:rPr>
        <w:t xml:space="preserve">ific al Consiliului </w:t>
      </w:r>
      <w:r>
        <w:rPr>
          <w:rFonts w:cs="Times New Roman CE" w:ascii="Times New Roman CE" w:hAnsi="Times New Roman CE"/>
          <w:lang w:val="ro-RO"/>
        </w:rPr>
        <w:t>Ş</w:t>
      </w:r>
      <w:r>
        <w:rPr>
          <w:lang w:val="ro-RO"/>
        </w:rPr>
        <w:t>tiin</w:t>
      </w:r>
      <w:r>
        <w:rPr>
          <w:rFonts w:cs="Times New Roman CE" w:ascii="Times New Roman CE" w:hAnsi="Times New Roman CE"/>
          <w:lang w:val="ro-RO"/>
        </w:rPr>
        <w:t>ţ</w:t>
      </w:r>
      <w:r>
        <w:rPr>
          <w:lang w:val="ro-RO"/>
        </w:rPr>
        <w:t>ific Specializat pentru sus</w:t>
      </w:r>
      <w:r>
        <w:rPr>
          <w:rFonts w:cs="Times New Roman CE" w:ascii="Times New Roman CE" w:hAnsi="Times New Roman CE"/>
          <w:lang w:val="ro-RO"/>
        </w:rPr>
        <w:t>ţ</w:t>
      </w:r>
      <w:r>
        <w:rPr>
          <w:lang w:val="ro-RO"/>
        </w:rPr>
        <w:t>inerea tezei de doctor a dlui AlbuVeaceslav, s</w:t>
      </w:r>
      <w:r>
        <w:rPr>
          <w:bCs/>
          <w:lang w:val="ro-RO"/>
        </w:rPr>
        <w:t>pecialitatea:</w:t>
      </w:r>
      <w:r>
        <w:rPr>
          <w:lang w:val="ro-RO"/>
        </w:rPr>
        <w:t xml:space="preserve"> 122.03 – „Modelare, metode matematice, produse program”, sus</w:t>
      </w:r>
      <w:r>
        <w:rPr>
          <w:rFonts w:cs="Times New Roman CE" w:ascii="Times New Roman CE" w:hAnsi="Times New Roman CE"/>
          <w:lang w:val="ro-RO"/>
        </w:rPr>
        <w:t>ţinută pe 09 noiembrie 2016.</w:t>
      </w:r>
    </w:p>
    <w:p>
      <w:pPr>
        <w:sectPr>
          <w:type w:val="nextPage"/>
          <w:pgSz w:w="11906" w:h="16838"/>
          <w:pgMar w:left="1560" w:right="720" w:header="0" w:top="284" w:footer="0" w:bottom="426" w:gutter="0"/>
          <w:pgNumType w:fmt="decimal"/>
          <w:formProt w:val="false"/>
          <w:textDirection w:val="lrTb"/>
          <w:docGrid w:type="default" w:linePitch="240" w:charSpace="4294961151"/>
        </w:sectPr>
        <w:pStyle w:val="ListParagraph"/>
        <w:widowControl/>
        <w:numPr>
          <w:ilvl w:val="0"/>
          <w:numId w:val="116"/>
        </w:numPr>
        <w:bidi w:val="0"/>
        <w:spacing w:before="0" w:after="0"/>
        <w:ind w:left="360" w:right="-1" w:hanging="0"/>
        <w:contextualSpacing/>
        <w:jc w:val="left"/>
        <w:textAlignment w:val="auto"/>
        <w:rPr>
          <w:lang w:val="ro-RO"/>
        </w:rPr>
      </w:pPr>
      <w:r>
        <w:rPr>
          <w:lang w:val="ro-RO"/>
        </w:rPr>
        <w:t>L. Bur</w:t>
      </w:r>
      <w:r>
        <w:rPr>
          <w:rFonts w:cs="Times New Roman CE" w:ascii="Times New Roman CE" w:hAnsi="Times New Roman CE"/>
          <w:lang w:val="ro-RO"/>
        </w:rPr>
        <w:t>ţ</w:t>
      </w:r>
      <w:r>
        <w:rPr>
          <w:lang w:val="ro-RO"/>
        </w:rPr>
        <w:t>eva</w:t>
      </w:r>
      <w:r>
        <w:rPr>
          <w:rFonts w:cs="Times New Roman CE" w:ascii="Times New Roman CE" w:hAnsi="Times New Roman CE"/>
          <w:lang w:val="ro-RO"/>
        </w:rPr>
        <w:t>, I.Ţiţchiev</w:t>
      </w:r>
      <w:r>
        <w:rPr>
          <w:lang w:val="ro-RO"/>
        </w:rPr>
        <w:t xml:space="preserve"> – membri Consiliului </w:t>
      </w:r>
      <w:r>
        <w:rPr>
          <w:rFonts w:cs="Times New Roman CE" w:ascii="Times New Roman CE" w:hAnsi="Times New Roman CE"/>
          <w:lang w:val="ro-RO"/>
        </w:rPr>
        <w:t>Ş</w:t>
      </w:r>
      <w:r>
        <w:rPr>
          <w:lang w:val="ro-RO"/>
        </w:rPr>
        <w:t>tiin</w:t>
      </w:r>
      <w:r>
        <w:rPr>
          <w:rFonts w:cs="Times New Roman CE" w:ascii="Times New Roman CE" w:hAnsi="Times New Roman CE"/>
          <w:lang w:val="ro-RO"/>
        </w:rPr>
        <w:t>ţ</w:t>
      </w:r>
      <w:r>
        <w:rPr>
          <w:lang w:val="ro-RO"/>
        </w:rPr>
        <w:t>ific Specializat pentru sus</w:t>
      </w:r>
      <w:r>
        <w:rPr>
          <w:rFonts w:cs="Times New Roman CE" w:ascii="Times New Roman CE" w:hAnsi="Times New Roman CE"/>
          <w:lang w:val="ro-RO"/>
        </w:rPr>
        <w:t>ţ</w:t>
      </w:r>
      <w:r>
        <w:rPr>
          <w:lang w:val="ro-RO"/>
        </w:rPr>
        <w:t>inerea tezei de doctor a dlui Veaceslav Albu, s</w:t>
      </w:r>
      <w:r>
        <w:rPr>
          <w:bCs/>
          <w:lang w:val="ro-RO"/>
        </w:rPr>
        <w:t>pecialitatea:</w:t>
      </w:r>
      <w:r>
        <w:rPr>
          <w:lang w:val="ro-RO"/>
        </w:rPr>
        <w:t xml:space="preserve"> 122.03 – „Modelare, metode matematice, produse program”, sus</w:t>
      </w:r>
      <w:r>
        <w:rPr>
          <w:rFonts w:cs="Times New Roman CE" w:ascii="Times New Roman CE" w:hAnsi="Times New Roman CE"/>
          <w:lang w:val="ro-RO"/>
        </w:rPr>
        <w:t>ţinută pe 09 noiembrie 2016.</w:t>
      </w:r>
    </w:p>
    <w:p>
      <w:pPr>
        <w:pStyle w:val="1"/>
        <w:keepNext/>
        <w:widowControl/>
        <w:numPr>
          <w:ilvl w:val="0"/>
          <w:numId w:val="0"/>
        </w:numPr>
        <w:bidi w:val="0"/>
        <w:spacing w:before="0" w:after="0"/>
        <w:ind w:left="0" w:right="0" w:hanging="0"/>
        <w:jc w:val="left"/>
        <w:textAlignment w:val="auto"/>
        <w:outlineLvl w:val="0"/>
        <w:rPr>
          <w:b w:val="false"/>
          <w:b w:val="false"/>
          <w:color w:val="C00000"/>
          <w:lang w:val="ro-RO"/>
        </w:rPr>
      </w:pPr>
      <w:r>
        <w:rPr>
          <w:b w:val="false"/>
          <w:color w:val="C00000"/>
          <w:lang w:val="ro-RO"/>
        </w:rPr>
      </w:r>
    </w:p>
    <w:p>
      <w:pPr>
        <w:pStyle w:val="1"/>
        <w:keepNext/>
        <w:widowControl/>
        <w:numPr>
          <w:ilvl w:val="0"/>
          <w:numId w:val="0"/>
        </w:numPr>
        <w:bidi w:val="0"/>
        <w:spacing w:before="0" w:after="0"/>
        <w:ind w:left="0" w:right="0" w:hanging="0"/>
        <w:jc w:val="left"/>
        <w:textAlignment w:val="auto"/>
        <w:outlineLvl w:val="0"/>
        <w:rPr>
          <w:b w:val="false"/>
          <w:b w:val="false"/>
          <w:lang w:val="fr-FR"/>
        </w:rPr>
      </w:pPr>
      <w:bookmarkStart w:id="407" w:name="_Toc469652033"/>
      <w:r>
        <w:rPr>
          <w:rFonts w:cs="Times New Roman CE" w:ascii="Times New Roman CE" w:hAnsi="Times New Roman CE"/>
          <w:b w:val="false"/>
          <w:lang w:val="fr-FR"/>
        </w:rPr>
        <w:t>Rezumatul de activitate ştiinţifică în anul 201</w:t>
      </w:r>
      <w:bookmarkEnd w:id="407"/>
      <w:r>
        <w:rPr>
          <w:rFonts w:cs="Times New Roman" w:ascii="Times New Roman" w:hAnsi="Times New Roman"/>
          <w:b w:val="false"/>
          <w:lang w:val="fr-FR"/>
        </w:rPr>
        <w:t>6</w:t>
      </w:r>
    </w:p>
    <w:p>
      <w:pPr>
        <w:pStyle w:val="Normal"/>
        <w:widowControl/>
        <w:bidi w:val="0"/>
        <w:ind w:left="0" w:right="0" w:hanging="0"/>
        <w:jc w:val="left"/>
        <w:textAlignment w:val="auto"/>
        <w:rPr>
          <w:rFonts w:ascii="Times New Roman" w:hAnsi="Times New Roman"/>
          <w:lang w:val="fr-FR"/>
        </w:rPr>
      </w:pPr>
      <w:r>
        <w:rPr>
          <w:lang w:val="fr-FR"/>
        </w:rPr>
      </w:r>
    </w:p>
    <w:p>
      <w:pPr>
        <w:pStyle w:val="Style10"/>
        <w:widowControl/>
        <w:bidi w:val="0"/>
        <w:spacing w:before="0" w:after="0"/>
        <w:ind w:left="0" w:right="0" w:hanging="0"/>
        <w:jc w:val="both"/>
        <w:textAlignment w:val="auto"/>
        <w:rPr>
          <w:lang w:val="pt-BR"/>
        </w:rPr>
      </w:pPr>
      <w:r>
        <w:rPr>
          <w:rFonts w:cs="Times New Roman CE" w:ascii="Times New Roman CE" w:hAnsi="Times New Roman CE"/>
          <w:i/>
          <w:sz w:val="26"/>
          <w:szCs w:val="26"/>
          <w:lang w:val="pt-BR"/>
        </w:rPr>
        <w:t>Laboratorul Algebră şi Topologie</w:t>
      </w:r>
    </w:p>
    <w:p>
      <w:pPr>
        <w:pStyle w:val="Normal"/>
        <w:widowControl/>
        <w:bidi w:val="0"/>
        <w:ind w:left="0" w:right="0" w:hanging="0"/>
        <w:jc w:val="both"/>
        <w:textAlignment w:val="auto"/>
        <w:rPr>
          <w:lang w:val="ro-RO"/>
        </w:rPr>
      </w:pPr>
      <w:r>
        <w:rPr>
          <w:sz w:val="26"/>
          <w:lang w:val="ro-RO"/>
        </w:rPr>
        <w:t>S-</w:t>
      </w:r>
      <w:r>
        <w:rPr>
          <w:rFonts w:cs="Times New Roman CE" w:ascii="Times New Roman CE" w:hAnsi="Times New Roman CE"/>
          <w:lang w:val="ro-RO"/>
        </w:rPr>
        <w:t xml:space="preserve">a demonstrat că în laticea tuturor topologiilor de modul a modulului numărabil </w:t>
      </w:r>
      <w:r>
        <w:rPr>
          <w:i/>
          <w:lang w:val="ro-RO"/>
        </w:rPr>
        <w:t>M</w:t>
      </w:r>
      <w:r>
        <w:rPr>
          <w:rFonts w:cs="Times New Roman CE" w:ascii="Times New Roman CE" w:hAnsi="Times New Roman CE"/>
          <w:lang w:val="ro-RO"/>
        </w:rPr>
        <w:t xml:space="preserve"> peste inelul numărabil discret </w:t>
      </w:r>
      <w:r>
        <w:rPr>
          <w:i/>
          <w:lang w:val="ro-RO"/>
        </w:rPr>
        <w:t>R</w:t>
      </w:r>
      <w:r>
        <w:rPr>
          <w:lang w:val="ro-RO"/>
        </w:rPr>
        <w:t xml:space="preserve"> sunt doi la puterea continuum coatomi (acad.Arnautov V.)  </w:t>
      </w:r>
    </w:p>
    <w:p>
      <w:pPr>
        <w:pStyle w:val="Style10"/>
        <w:widowControl/>
        <w:bidi w:val="0"/>
        <w:spacing w:before="0" w:after="0"/>
        <w:ind w:left="0" w:right="0" w:hanging="0"/>
        <w:jc w:val="both"/>
        <w:textAlignment w:val="auto"/>
        <w:rPr/>
      </w:pPr>
      <w:r>
        <w:rPr/>
        <w:t xml:space="preserve">Garrett Birkhoff a definit cuasigrupurile ecuationale cu ajutorul unei </w:t>
      </w:r>
      <w:r>
        <w:rPr>
          <w:rFonts w:cs="Times New Roman CE" w:ascii="Times New Roman CE" w:hAnsi="Times New Roman CE"/>
        </w:rPr>
        <w:t>mulţimi</w:t>
      </w:r>
      <w:r>
        <w:rPr/>
        <w:t xml:space="preserve"> care </w:t>
      </w:r>
      <w:r>
        <w:rPr>
          <w:rFonts w:cs="Times New Roman CE" w:ascii="Times New Roman CE" w:hAnsi="Times New Roman CE"/>
        </w:rPr>
        <w:t>constă din şase identităţi. În această mulţime au fost  descrise toate submulţimi</w:t>
      </w:r>
      <w:r>
        <w:rPr/>
        <w:t xml:space="preserve">le </w:t>
      </w:r>
      <w:r>
        <w:rPr>
          <w:rFonts w:cs="Times New Roman CE" w:ascii="Times New Roman CE" w:hAnsi="Times New Roman CE"/>
        </w:rPr>
        <w:t xml:space="preserve">din trei şi patru identităţi </w:t>
      </w:r>
      <w:r>
        <w:rPr/>
        <w:t xml:space="preserve">care definesc cuasigrupurile ecuationale (dr.h. </w:t>
      </w:r>
      <w:r>
        <w:rPr>
          <w:rFonts w:cs="Times New Roman CE" w:ascii="Times New Roman CE" w:hAnsi="Times New Roman CE"/>
        </w:rPr>
        <w:t>Şcerbacov V.)</w:t>
      </w:r>
    </w:p>
    <w:p>
      <w:pPr>
        <w:pStyle w:val="Style10"/>
        <w:widowControl/>
        <w:bidi w:val="0"/>
        <w:spacing w:before="0" w:after="0"/>
        <w:ind w:left="0" w:right="0" w:hanging="0"/>
        <w:jc w:val="both"/>
        <w:textAlignment w:val="auto"/>
        <w:rPr>
          <w:lang w:val="pt-BR"/>
        </w:rPr>
      </w:pPr>
      <w:r>
        <w:rPr>
          <w:rFonts w:cs="Times New Roman CE" w:ascii="Times New Roman CE" w:hAnsi="Times New Roman CE"/>
          <w:i/>
          <w:sz w:val="26"/>
          <w:szCs w:val="26"/>
          <w:lang w:val="pt-BR"/>
        </w:rPr>
        <w:t>Laboratorul Ecuaţii Diferenţiale</w:t>
      </w:r>
    </w:p>
    <w:p>
      <w:pPr>
        <w:pStyle w:val="Normal"/>
        <w:widowControl/>
        <w:bidi w:val="0"/>
        <w:ind w:left="0" w:right="0" w:hanging="0"/>
        <w:jc w:val="both"/>
        <w:textAlignment w:val="auto"/>
        <w:rPr>
          <w:lang w:val="ro-RO"/>
        </w:rPr>
      </w:pPr>
      <w:r>
        <w:rPr>
          <w:rFonts w:cs="Times New Roman CE" w:ascii="Times New Roman CE" w:hAnsi="Times New Roman CE"/>
          <w:sz w:val="22"/>
          <w:szCs w:val="22"/>
          <w:lang w:val="ro-RO"/>
        </w:rPr>
        <w:t>S-a demonstrat, că mulţimea de normalitate a unei familii de funcţii olomorfe nu poate fi un compact ce nu separă domeniul pe care familia dată este olomorfă. La fel, s-a arătat că proprietatea ca o familia de funcţii să fie normală într-o vecinătate a unui set de suprafeţe olomorfe se păstrează şi asupra mulţimii limită a acestor suprafeţe. (P.Dovbuş)</w:t>
      </w:r>
    </w:p>
    <w:p>
      <w:pPr>
        <w:pStyle w:val="Normal"/>
        <w:widowControl/>
        <w:bidi w:val="0"/>
        <w:ind w:left="0" w:right="0" w:hanging="0"/>
        <w:jc w:val="both"/>
        <w:textAlignment w:val="auto"/>
        <w:rPr>
          <w:lang w:val="ro-RO"/>
        </w:rPr>
      </w:pPr>
      <w:r>
        <w:rPr>
          <w:sz w:val="22"/>
          <w:szCs w:val="22"/>
          <w:lang w:val="ro-RO"/>
        </w:rPr>
        <w:t>Pentru sistemele diferen</w:t>
      </w:r>
      <w:r>
        <w:rPr>
          <w:rFonts w:cs="Cambria Math" w:ascii="Cambria Math" w:hAnsi="Cambria Math"/>
          <w:sz w:val="22"/>
          <w:szCs w:val="22"/>
          <w:lang w:val="ro-RO"/>
        </w:rPr>
        <w:t>ț</w:t>
      </w:r>
      <w:r>
        <w:rPr>
          <w:sz w:val="22"/>
          <w:szCs w:val="22"/>
          <w:lang w:val="ro-RO"/>
        </w:rPr>
        <w:t>iale ternare de tip Lyapunov-Darboux cu nel</w:t>
      </w:r>
      <w:r>
        <w:rPr>
          <w:rFonts w:cs="Times New Roman CE" w:ascii="Times New Roman CE" w:hAnsi="Times New Roman CE"/>
          <w:sz w:val="22"/>
          <w:szCs w:val="22"/>
          <w:lang w:val="ro-RO"/>
        </w:rPr>
        <w:t>iniarită</w:t>
      </w:r>
      <w:r>
        <w:rPr>
          <w:rFonts w:cs="Cambria Math" w:ascii="Cambria Math" w:hAnsi="Cambria Math"/>
          <w:sz w:val="22"/>
          <w:szCs w:val="22"/>
          <w:lang w:val="ro-RO"/>
        </w:rPr>
        <w:t>ț</w:t>
      </w:r>
      <w:r>
        <w:rPr>
          <w:rFonts w:cs="Times New Roman CE" w:ascii="Times New Roman CE" w:hAnsi="Times New Roman CE"/>
          <w:sz w:val="22"/>
          <w:szCs w:val="22"/>
          <w:lang w:val="ro-RO"/>
        </w:rPr>
        <w:t>i pătratice</w:t>
      </w:r>
      <w:r>
        <w:rPr>
          <w:sz w:val="22"/>
          <w:szCs w:val="22"/>
          <w:lang w:val="ro-RO"/>
        </w:rPr>
        <w:t xml:space="preserve"> au fost stabilite </w:t>
      </w:r>
      <w:r>
        <w:rPr>
          <w:rFonts w:cs="Times New Roman CE" w:ascii="Times New Roman CE" w:hAnsi="Times New Roman CE"/>
          <w:sz w:val="22"/>
          <w:szCs w:val="22"/>
          <w:lang w:val="ro-RO"/>
        </w:rPr>
        <w:t>condiţiile centroafin-invariante ce permit construcţia integralei olomorfe care determină stabilitatea mişcărilor periodice neperturbate ale acestor sisteme (</w:t>
      </w:r>
      <w:r>
        <w:rPr>
          <w:sz w:val="22"/>
          <w:szCs w:val="22"/>
          <w:lang w:val="ro-RO"/>
        </w:rPr>
        <w:t xml:space="preserve">dr.h. Popa M., doctoranda Neagu N.) </w:t>
      </w:r>
    </w:p>
    <w:p>
      <w:pPr>
        <w:pStyle w:val="Normal"/>
        <w:widowControl/>
        <w:bidi w:val="0"/>
        <w:ind w:left="0" w:right="0" w:hanging="0"/>
        <w:jc w:val="both"/>
        <w:textAlignment w:val="auto"/>
        <w:rPr>
          <w:lang w:val="ro-RO"/>
        </w:rPr>
      </w:pPr>
      <w:r>
        <w:rPr>
          <w:sz w:val="22"/>
          <w:szCs w:val="22"/>
          <w:lang w:val="ro-RO"/>
        </w:rPr>
        <w:t>Pentru sistemele difer</w:t>
      </w:r>
      <w:r>
        <w:rPr>
          <w:rFonts w:cs="Times New Roman CE" w:ascii="Times New Roman CE" w:hAnsi="Times New Roman CE"/>
          <w:sz w:val="22"/>
          <w:szCs w:val="22"/>
          <w:lang w:val="ro-RO"/>
        </w:rPr>
        <w:t xml:space="preserve">enţiale ale oscilaţiilor neliniare au fost obţinute condiţiile necesare şi suficiente de existenţă a punctului singular de tip centru </w:t>
      </w:r>
      <w:r>
        <w:rPr>
          <w:sz w:val="22"/>
          <w:szCs w:val="22"/>
          <w:lang w:val="ro-RO"/>
        </w:rPr>
        <w:t xml:space="preserve">(dr.h. A.Roudenok, dr.h. </w:t>
      </w:r>
      <w:r>
        <w:rPr>
          <w:rFonts w:cs="Times New Roman CE" w:ascii="Times New Roman CE" w:hAnsi="Times New Roman CE"/>
          <w:sz w:val="22"/>
          <w:szCs w:val="22"/>
          <w:lang w:val="ro-RO"/>
        </w:rPr>
        <w:t>A.Şubă)</w:t>
      </w:r>
    </w:p>
    <w:p>
      <w:pPr>
        <w:pStyle w:val="Style10"/>
        <w:widowControl/>
        <w:bidi w:val="0"/>
        <w:spacing w:before="0" w:after="0"/>
        <w:ind w:left="0" w:right="0" w:hanging="0"/>
        <w:jc w:val="both"/>
        <w:textAlignment w:val="auto"/>
        <w:rPr>
          <w:lang w:val="pt-BR"/>
        </w:rPr>
      </w:pPr>
      <w:r>
        <w:rPr>
          <w:i/>
          <w:sz w:val="26"/>
          <w:szCs w:val="26"/>
          <w:lang w:val="pt-BR"/>
        </w:rPr>
        <w:t>Laboratorul Modelare M</w:t>
      </w:r>
      <w:r>
        <w:rPr>
          <w:rFonts w:cs="Times New Roman CE" w:ascii="Times New Roman CE" w:hAnsi="Times New Roman CE"/>
          <w:i/>
          <w:sz w:val="26"/>
          <w:szCs w:val="26"/>
          <w:lang w:val="pt-BR"/>
        </w:rPr>
        <w:t>atematică</w:t>
      </w:r>
    </w:p>
    <w:p>
      <w:pPr>
        <w:pStyle w:val="Normal"/>
        <w:widowControl/>
        <w:bidi w:val="0"/>
        <w:ind w:left="0" w:right="0" w:hanging="0"/>
        <w:jc w:val="both"/>
        <w:textAlignment w:val="auto"/>
        <w:rPr>
          <w:lang w:val="ro-RO"/>
        </w:rPr>
      </w:pPr>
      <w:r>
        <w:rPr>
          <w:rFonts w:cs="Times New Roman CE" w:ascii="Times New Roman CE" w:hAnsi="Times New Roman CE"/>
          <w:sz w:val="22"/>
          <w:szCs w:val="22"/>
          <w:lang w:val="ro-RO"/>
        </w:rPr>
        <w:t>A fost obţinută ecuaţia integrală pentru densitatea de tr</w:t>
      </w:r>
      <w:r>
        <w:rPr>
          <w:sz w:val="22"/>
          <w:szCs w:val="22"/>
          <w:lang w:val="ro-RO"/>
        </w:rPr>
        <w:t>anzi</w:t>
      </w:r>
      <w:r>
        <w:rPr>
          <w:rFonts w:cs="Times New Roman CE" w:ascii="Times New Roman CE" w:hAnsi="Times New Roman CE"/>
          <w:sz w:val="22"/>
          <w:szCs w:val="22"/>
          <w:lang w:val="ro-RO"/>
        </w:rPr>
        <w:t>ţ</w:t>
      </w:r>
      <w:r>
        <w:rPr>
          <w:sz w:val="22"/>
          <w:szCs w:val="22"/>
          <w:lang w:val="ro-RO"/>
        </w:rPr>
        <w:t>ie a evolu</w:t>
      </w:r>
      <w:r>
        <w:rPr>
          <w:rFonts w:cs="Times New Roman CE" w:ascii="Times New Roman CE" w:hAnsi="Times New Roman CE"/>
          <w:sz w:val="22"/>
          <w:szCs w:val="22"/>
          <w:lang w:val="ro-RO"/>
        </w:rPr>
        <w:t>ţ</w:t>
      </w:r>
      <w:r>
        <w:rPr>
          <w:sz w:val="22"/>
          <w:szCs w:val="22"/>
          <w:lang w:val="ro-RO"/>
        </w:rPr>
        <w:t xml:space="preserve">iei markoviene aleatoare multidimensionale </w:t>
      </w:r>
      <w:r>
        <w:rPr>
          <w:rFonts w:cs="Times New Roman CE" w:ascii="Times New Roman CE" w:hAnsi="Times New Roman CE"/>
          <w:sz w:val="22"/>
          <w:szCs w:val="22"/>
          <w:lang w:val="ro-RO"/>
        </w:rPr>
        <w:t>ş</w:t>
      </w:r>
      <w:r>
        <w:rPr>
          <w:sz w:val="22"/>
          <w:szCs w:val="22"/>
          <w:lang w:val="ro-RO"/>
        </w:rPr>
        <w:t>i a fost ob</w:t>
      </w:r>
      <w:r>
        <w:rPr>
          <w:rFonts w:cs="Times New Roman CE" w:ascii="Times New Roman CE" w:hAnsi="Times New Roman CE"/>
          <w:sz w:val="22"/>
          <w:szCs w:val="22"/>
          <w:lang w:val="ro-RO"/>
        </w:rPr>
        <w:t>ţ</w:t>
      </w:r>
      <w:r>
        <w:rPr>
          <w:sz w:val="22"/>
          <w:szCs w:val="22"/>
          <w:lang w:val="ro-RO"/>
        </w:rPr>
        <w:t>inut</w:t>
      </w:r>
      <w:r>
        <w:rPr>
          <w:rFonts w:cs="Times New Roman CE" w:ascii="Times New Roman CE" w:hAnsi="Times New Roman CE"/>
          <w:sz w:val="22"/>
          <w:szCs w:val="22"/>
          <w:lang w:val="ro-RO"/>
        </w:rPr>
        <w:t>ă soluţia ei</w:t>
      </w:r>
      <w:r>
        <w:rPr>
          <w:sz w:val="22"/>
          <w:szCs w:val="22"/>
          <w:lang w:val="ro-RO"/>
        </w:rPr>
        <w:t xml:space="preserve">  (dr.h.A. Kolesnik).</w:t>
      </w:r>
    </w:p>
    <w:p>
      <w:pPr>
        <w:pStyle w:val="Normal"/>
        <w:widowControl/>
        <w:bidi w:val="0"/>
        <w:ind w:left="0" w:right="0" w:hanging="0"/>
        <w:jc w:val="both"/>
        <w:textAlignment w:val="auto"/>
        <w:rPr>
          <w:lang w:val="ro-RO"/>
        </w:rPr>
      </w:pPr>
      <w:r>
        <w:rPr>
          <w:rFonts w:cs="Times New Roman CE" w:ascii="Times New Roman CE" w:hAnsi="Times New Roman CE"/>
          <w:sz w:val="22"/>
          <w:szCs w:val="22"/>
          <w:lang w:val="ro-RO"/>
        </w:rPr>
        <w:t>S-au formulat condiţii necesare ş</w:t>
      </w:r>
      <w:r>
        <w:rPr>
          <w:sz w:val="22"/>
          <w:szCs w:val="22"/>
          <w:lang w:val="ro-RO"/>
        </w:rPr>
        <w:t>i  suficiente pentru existen</w:t>
      </w:r>
      <w:r>
        <w:rPr>
          <w:rFonts w:cs="Times New Roman CE" w:ascii="Times New Roman CE" w:hAnsi="Times New Roman CE"/>
          <w:sz w:val="22"/>
          <w:szCs w:val="22"/>
          <w:lang w:val="ro-RO"/>
        </w:rPr>
        <w:t>ţ</w:t>
      </w:r>
      <w:r>
        <w:rPr>
          <w:sz w:val="22"/>
          <w:szCs w:val="22"/>
          <w:lang w:val="ro-RO"/>
        </w:rPr>
        <w:t>a echilibrului Nash sta</w:t>
      </w:r>
      <w:r>
        <w:rPr>
          <w:rFonts w:cs="Times New Roman CE" w:ascii="Times New Roman CE" w:hAnsi="Times New Roman CE"/>
          <w:sz w:val="22"/>
          <w:szCs w:val="22"/>
          <w:lang w:val="ro-RO"/>
        </w:rPr>
        <w:t>ţ</w:t>
      </w:r>
      <w:r>
        <w:rPr>
          <w:sz w:val="22"/>
          <w:szCs w:val="22"/>
          <w:lang w:val="ro-RO"/>
        </w:rPr>
        <w:t xml:space="preserve">ionar </w:t>
      </w:r>
      <w:r>
        <w:rPr>
          <w:rFonts w:cs="Times New Roman CE" w:ascii="Times New Roman CE" w:hAnsi="Times New Roman CE"/>
          <w:sz w:val="22"/>
          <w:szCs w:val="22"/>
          <w:lang w:val="ro-RO"/>
        </w:rPr>
        <w:t>ş</w:t>
      </w:r>
      <w:r>
        <w:rPr>
          <w:sz w:val="22"/>
          <w:szCs w:val="22"/>
          <w:lang w:val="ro-RO"/>
        </w:rPr>
        <w:t>i s-au elaborat algoritmi de aflare a strategiilor optime sta</w:t>
      </w:r>
      <w:r>
        <w:rPr>
          <w:rFonts w:cs="Times New Roman CE" w:ascii="Times New Roman CE" w:hAnsi="Times New Roman CE"/>
          <w:sz w:val="22"/>
          <w:szCs w:val="22"/>
          <w:lang w:val="ro-RO"/>
        </w:rPr>
        <w:t xml:space="preserve">ţionare a jucătorilor în jocurile stocastice dinamice </w:t>
      </w:r>
      <w:r>
        <w:rPr>
          <w:sz w:val="22"/>
          <w:szCs w:val="22"/>
          <w:lang w:val="ro-RO"/>
        </w:rPr>
        <w:t>(dr.h. D. Lozovanu)</w:t>
      </w:r>
    </w:p>
    <w:p>
      <w:pPr>
        <w:pStyle w:val="Style10"/>
        <w:widowControl/>
        <w:bidi w:val="0"/>
        <w:spacing w:before="0" w:after="0"/>
        <w:ind w:left="0" w:right="0" w:hanging="0"/>
        <w:jc w:val="both"/>
        <w:textAlignment w:val="auto"/>
        <w:rPr/>
      </w:pPr>
      <w:r>
        <w:rPr>
          <w:i/>
          <w:color w:val="C00000"/>
        </w:rPr>
        <w:t xml:space="preserve"> </w:t>
      </w:r>
      <w:r>
        <w:rPr>
          <w:i/>
          <w:sz w:val="26"/>
          <w:szCs w:val="26"/>
          <w:lang w:val="pt-BR"/>
        </w:rPr>
        <w:t>Laboratorul Sisteme de Programare</w:t>
      </w:r>
    </w:p>
    <w:p>
      <w:pPr>
        <w:pStyle w:val="ListParagraph"/>
        <w:widowControl/>
        <w:bidi w:val="0"/>
        <w:spacing w:before="0" w:after="0"/>
        <w:ind w:left="0" w:right="0" w:hanging="0"/>
        <w:contextualSpacing/>
        <w:jc w:val="both"/>
        <w:textAlignment w:val="baseline"/>
        <w:rPr>
          <w:lang w:val="fr-FR"/>
        </w:rPr>
      </w:pPr>
      <w:r>
        <w:rPr>
          <w:lang w:val="fr-FR"/>
        </w:rPr>
        <w:t xml:space="preserve">Au fost cercetate extensiunile curente ale P sistemelor. </w:t>
      </w:r>
      <w:r>
        <w:rPr>
          <w:rFonts w:cs="Times New Roman CE" w:ascii="Times New Roman CE" w:hAnsi="Times New Roman CE"/>
          <w:lang w:val="en-US"/>
        </w:rPr>
        <w:t xml:space="preserve">A fost studiat framework-ul general pentru P sisteme cu stări. S-au studiat variaţii de P sisteme cu o membrană activă fără polarizări şi P sisteme neurale spiking cu două stări. A fost demonstrată completitudinea computaţională a reţelelor procesoarelor evoluţioniste hibride cu cinci noduri (dr.h. A.Alhazov, dr. </w:t>
      </w:r>
      <w:r>
        <w:rPr>
          <w:lang w:val="fr-FR"/>
        </w:rPr>
        <w:t xml:space="preserve">S.Ivanov). </w:t>
      </w:r>
    </w:p>
    <w:p>
      <w:pPr>
        <w:pStyle w:val="ListParagraph"/>
        <w:widowControl/>
        <w:bidi w:val="0"/>
        <w:spacing w:before="0" w:after="0"/>
        <w:ind w:left="0" w:right="0" w:hanging="0"/>
        <w:contextualSpacing/>
        <w:jc w:val="both"/>
        <w:textAlignment w:val="baseline"/>
        <w:rPr/>
      </w:pPr>
      <w:r>
        <w:rPr>
          <w:lang w:val="fr-FR"/>
        </w:rPr>
        <w:t>A fost elab</w:t>
      </w:r>
      <w:r>
        <w:rPr>
          <w:rFonts w:cs="Times New Roman CE" w:ascii="Times New Roman CE" w:hAnsi="Times New Roman CE"/>
          <w:lang w:val="fr-FR"/>
        </w:rPr>
        <w:t>orată tehnologia de generare a lexiconului chirilic românesc pentru perioada 1967-1989. A fost dezvoltată  tehnologia pentru digitizarea şi recunoaşterea patrimoniului istoric şi lingvistic românesc tipărit cu alfabet chirilic în secolele 17-20. Tehnologia include: alfabete pentru ABBYY FineReader, dicţionare (liste de cuvinte), modele de recunoaştere, fonturi care acoperă glifurile rare şi un manual de utilizare (dr.h. S.Cojocaru, dr. C.Ciubotaru, dr. A.Colesnicov, L.Malahova, V.Demidova, T.Bumbu, Ş.Ungur)</w:t>
      </w:r>
    </w:p>
    <w:p>
      <w:pPr>
        <w:pStyle w:val="Normal"/>
        <w:widowControl/>
        <w:bidi w:val="0"/>
        <w:ind w:left="0" w:right="0" w:hanging="0"/>
        <w:jc w:val="left"/>
        <w:textAlignment w:val="auto"/>
        <w:rPr>
          <w:lang w:val="ro-RO"/>
        </w:rPr>
      </w:pPr>
      <w:r>
        <w:rPr>
          <w:i/>
          <w:sz w:val="26"/>
          <w:szCs w:val="26"/>
          <w:lang w:val="ro-RO"/>
        </w:rPr>
        <w:t>Laboratorul Sisteme Informatice</w:t>
      </w:r>
    </w:p>
    <w:p>
      <w:pPr>
        <w:pStyle w:val="ListParagraph"/>
        <w:widowControl/>
        <w:bidi w:val="0"/>
        <w:spacing w:before="0" w:after="0"/>
        <w:ind w:left="0" w:right="0" w:hanging="0"/>
        <w:contextualSpacing/>
        <w:jc w:val="both"/>
        <w:textAlignment w:val="baseline"/>
        <w:rPr>
          <w:lang w:val="ro-RO"/>
        </w:rPr>
      </w:pPr>
      <w:r>
        <w:rPr>
          <w:color w:val="000000"/>
          <w:lang w:val="ro-RO"/>
        </w:rPr>
        <w:t>A fost propus conceptul de remode</w:t>
      </w:r>
      <w:r>
        <w:rPr>
          <w:rFonts w:cs="Times New Roman CE" w:ascii="Times New Roman CE" w:hAnsi="Times New Roman CE"/>
          <w:color w:val="000000"/>
          <w:lang w:val="ro-RO"/>
        </w:rPr>
        <w:t xml:space="preserve">lare a bazei de cunoştinţe SonaRes cu scopul utilizării acesteia în triajul medical la locul accidentelor cu multiple victime. Abordarea permite diferenţierea procesului de triaj la faţa locului, în funcţie de timpul disponibil pentru luarea deciziilor (dr.h. C.Gaindric, Iu.Secrieru, O.Popcova, D.Macari). </w:t>
      </w:r>
    </w:p>
    <w:p>
      <w:pPr>
        <w:pStyle w:val="ListParagraph"/>
        <w:widowControl/>
        <w:bidi w:val="0"/>
        <w:spacing w:before="0" w:after="0"/>
        <w:ind w:left="0" w:right="0" w:hanging="0"/>
        <w:contextualSpacing/>
        <w:jc w:val="both"/>
        <w:textAlignment w:val="baseline"/>
        <w:rPr>
          <w:lang w:val="ro-MD"/>
        </w:rPr>
      </w:pPr>
      <w:r>
        <w:rPr>
          <w:rFonts w:cs="Times New Roman CE" w:ascii="Times New Roman CE" w:hAnsi="Times New Roman CE"/>
          <w:color w:val="000000"/>
          <w:lang w:val="ro-MD"/>
        </w:rPr>
        <w:t>Au fost instalate, examinate şi testate soluţiile bazate pe ”middleware” Open source pentru ingineri</w:t>
      </w:r>
      <w:r>
        <w:rPr>
          <w:color w:val="000000"/>
          <w:lang w:val="ro-RO"/>
        </w:rPr>
        <w:t>a</w:t>
      </w:r>
      <w:r>
        <w:rPr>
          <w:color w:val="000000"/>
          <w:lang w:val="ro-MD"/>
        </w:rPr>
        <w:t xml:space="preserve"> sistemelor de perspectiv</w:t>
      </w:r>
      <w:r>
        <w:rPr>
          <w:rFonts w:cs="Times New Roman CE" w:ascii="Times New Roman CE" w:hAnsi="Times New Roman CE"/>
          <w:color w:val="000000"/>
          <w:lang w:val="ro-RO"/>
        </w:rPr>
        <w:t>ă</w:t>
      </w:r>
      <w:r>
        <w:rPr>
          <w:color w:val="000000"/>
          <w:lang w:val="ro-MD"/>
        </w:rPr>
        <w:t xml:space="preserve"> pentru org</w:t>
      </w:r>
      <w:r>
        <w:rPr>
          <w:rFonts w:cs="Times New Roman CE" w:ascii="Times New Roman CE" w:hAnsi="Times New Roman CE"/>
          <w:color w:val="000000"/>
          <w:lang w:val="ro-MD"/>
        </w:rPr>
        <w:t>anizarea funcţionării resurselor de calcul distribuit tip „calcul de cloud ştiinţific”. A fost instalat şi testat softul open source pentru desfăşurare a cluster-OpenStack folosind soluţii pentru proiecte Mirantis Fuel (v7, v8) şi creat model optim de desfăşurare a infrastructurii OpenStack Cloud (dr. P.Bogatencov, N.Iliuha, N.Dectearev, Gr.Horoş).</w:t>
      </w:r>
    </w:p>
    <w:p>
      <w:pPr>
        <w:pStyle w:val="ListParagraph"/>
        <w:widowControl/>
        <w:bidi w:val="0"/>
        <w:spacing w:before="0" w:after="0"/>
        <w:ind w:left="0" w:right="0" w:hanging="0"/>
        <w:contextualSpacing/>
        <w:jc w:val="both"/>
        <w:textAlignment w:val="baseline"/>
        <w:rPr>
          <w:lang w:val="ro-MD"/>
        </w:rPr>
      </w:pPr>
      <w:r>
        <w:rPr>
          <w:rFonts w:cs="Times New Roman CE" w:ascii="Times New Roman CE" w:hAnsi="Times New Roman CE"/>
          <w:color w:val="000000"/>
          <w:lang w:val="ro-MD"/>
        </w:rPr>
        <w:t>În baza reţelelor generalizate stocastice Petri a fost propusă o metodă de modelare a procesului de evacuare a persoanelor din clădire luând în considerare  viteza de deplasare şi alţi parametri (dr. I.Ţiţchiev).</w:t>
      </w:r>
    </w:p>
    <w:p>
      <w:pPr>
        <w:pStyle w:val="ListParagraph"/>
        <w:widowControl/>
        <w:bidi w:val="0"/>
        <w:spacing w:before="0" w:after="0"/>
        <w:ind w:left="0" w:right="0" w:hanging="0"/>
        <w:contextualSpacing/>
        <w:jc w:val="both"/>
        <w:textAlignment w:val="baseline"/>
        <w:rPr>
          <w:rFonts w:ascii="Times New Roman" w:hAnsi="Times New Roman"/>
          <w:color w:val="000000"/>
          <w:lang w:val="ro-MD"/>
        </w:rPr>
      </w:pPr>
      <w:r>
        <w:rPr>
          <w:color w:val="000000"/>
          <w:lang w:val="ro-MD"/>
        </w:rPr>
      </w:r>
    </w:p>
    <w:p>
      <w:pPr>
        <w:pStyle w:val="ListParagraph"/>
        <w:widowControl/>
        <w:bidi w:val="0"/>
        <w:spacing w:before="0" w:after="0"/>
        <w:ind w:left="0" w:right="0" w:hanging="0"/>
        <w:contextualSpacing/>
        <w:jc w:val="both"/>
        <w:textAlignment w:val="baseline"/>
        <w:rPr>
          <w:rFonts w:ascii="Times New Roman" w:hAnsi="Times New Roman"/>
          <w:color w:val="000000"/>
          <w:lang w:val="ro-MD"/>
        </w:rPr>
      </w:pPr>
      <w:r>
        <w:rPr>
          <w:color w:val="000000"/>
          <w:lang w:val="ro-MD"/>
        </w:rPr>
      </w:r>
    </w:p>
    <w:p>
      <w:pPr>
        <w:pStyle w:val="1"/>
        <w:keepNext/>
        <w:widowControl/>
        <w:numPr>
          <w:ilvl w:val="0"/>
          <w:numId w:val="0"/>
        </w:numPr>
        <w:bidi w:val="0"/>
        <w:spacing w:before="240" w:after="60"/>
        <w:ind w:left="0" w:right="0" w:hanging="0"/>
        <w:jc w:val="left"/>
        <w:textAlignment w:val="auto"/>
        <w:outlineLvl w:val="0"/>
        <w:rPr>
          <w:b w:val="false"/>
          <w:b w:val="false"/>
          <w:lang w:val="ro-MD"/>
        </w:rPr>
      </w:pPr>
      <w:bookmarkStart w:id="408" w:name="_Toc469652034"/>
      <w:bookmarkEnd w:id="408"/>
      <w:r>
        <w:rPr>
          <w:rFonts w:cs="Times New Roman CE" w:ascii="Times New Roman CE" w:hAnsi="Times New Roman CE"/>
          <w:b w:val="false"/>
          <w:lang w:val="ro-MD"/>
        </w:rPr>
        <w:t>Propuneri de perspectivă</w:t>
      </w:r>
    </w:p>
    <w:p>
      <w:pPr>
        <w:pStyle w:val="Normal"/>
        <w:widowControl/>
        <w:bidi w:val="0"/>
        <w:ind w:left="0" w:right="0" w:hanging="0"/>
        <w:jc w:val="both"/>
        <w:textAlignment w:val="auto"/>
        <w:rPr>
          <w:lang w:val="ro-RO"/>
        </w:rPr>
      </w:pPr>
      <w:r>
        <w:rPr>
          <w:rFonts w:cs="Times New Roman CE" w:ascii="Times New Roman CE" w:hAnsi="Times New Roman CE"/>
          <w:b/>
          <w:lang w:val="ro-RO"/>
        </w:rPr>
        <w:t>Drecţiile principale de cercetare</w:t>
      </w:r>
    </w:p>
    <w:p>
      <w:pPr>
        <w:pStyle w:val="Normal"/>
        <w:widowControl/>
        <w:bidi w:val="0"/>
        <w:ind w:left="0" w:right="0" w:hanging="0"/>
        <w:jc w:val="both"/>
        <w:textAlignment w:val="auto"/>
        <w:rPr>
          <w:rFonts w:ascii="Times New Roman" w:hAnsi="Times New Roman"/>
          <w:b/>
          <w:b/>
          <w:sz w:val="26"/>
          <w:szCs w:val="26"/>
          <w:lang w:val="ro-RO"/>
        </w:rPr>
      </w:pPr>
      <w:r>
        <w:rPr>
          <w:b/>
          <w:sz w:val="26"/>
          <w:szCs w:val="26"/>
          <w:lang w:val="ro-RO"/>
        </w:rPr>
      </w:r>
    </w:p>
    <w:p>
      <w:pPr>
        <w:pStyle w:val="Normal"/>
        <w:widowControl/>
        <w:tabs>
          <w:tab w:val="left" w:pos="1260" w:leader="none"/>
        </w:tabs>
        <w:bidi w:val="0"/>
        <w:ind w:left="0" w:right="0" w:hanging="0"/>
        <w:jc w:val="both"/>
        <w:textAlignment w:val="auto"/>
        <w:rPr>
          <w:lang w:val="ro-RO"/>
        </w:rPr>
      </w:pPr>
      <w:r>
        <w:rPr>
          <w:rFonts w:cs="Times New Roman CE" w:ascii="Times New Roman CE" w:hAnsi="Times New Roman CE"/>
          <w:sz w:val="22"/>
          <w:szCs w:val="22"/>
          <w:lang w:val="ro-RO"/>
        </w:rPr>
        <w:t>În cadrul direcţiei “Cercetări fundamentale şi aplicative în algebră şi domenii adiacente, în ecuaţii diferenţiale, modelare matematică şi informatică” sunt stabilite două priorităţi majore:</w:t>
      </w:r>
    </w:p>
    <w:p>
      <w:pPr>
        <w:pStyle w:val="Normal"/>
        <w:widowControl/>
        <w:tabs>
          <w:tab w:val="left" w:pos="1260" w:leader="none"/>
        </w:tabs>
        <w:bidi w:val="0"/>
        <w:ind w:left="0" w:right="0" w:hanging="0"/>
        <w:jc w:val="both"/>
        <w:textAlignment w:val="auto"/>
        <w:rPr>
          <w:rFonts w:ascii="Times New Roman" w:hAnsi="Times New Roman"/>
          <w:sz w:val="22"/>
          <w:szCs w:val="22"/>
          <w:lang w:val="ro-RO"/>
        </w:rPr>
      </w:pPr>
      <w:r>
        <w:rPr>
          <w:sz w:val="22"/>
          <w:szCs w:val="22"/>
          <w:lang w:val="ro-RO"/>
        </w:rPr>
      </w:r>
    </w:p>
    <w:p>
      <w:pPr>
        <w:pStyle w:val="Normal"/>
        <w:widowControl/>
        <w:tabs>
          <w:tab w:val="left" w:pos="1260" w:leader="none"/>
        </w:tabs>
        <w:bidi w:val="0"/>
        <w:spacing w:lineRule="auto" w:line="360"/>
        <w:ind w:left="0" w:right="0" w:hanging="0"/>
        <w:jc w:val="both"/>
        <w:textAlignment w:val="auto"/>
        <w:rPr>
          <w:lang w:val="ro-RO"/>
        </w:rPr>
      </w:pPr>
      <w:r>
        <w:rPr>
          <w:rFonts w:cs="Times New Roman CE" w:ascii="Times New Roman CE" w:hAnsi="Times New Roman CE"/>
          <w:sz w:val="22"/>
          <w:szCs w:val="22"/>
          <w:lang w:val="ro-RO"/>
        </w:rPr>
        <w:t xml:space="preserve">I.Direcţia prioritară: </w:t>
      </w:r>
      <w:r>
        <w:rPr>
          <w:rFonts w:cs="Times New Roman CE" w:ascii="Times New Roman CE" w:hAnsi="Times New Roman CE"/>
          <w:i/>
          <w:sz w:val="22"/>
          <w:szCs w:val="22"/>
          <w:lang w:val="ro-RO"/>
        </w:rPr>
        <w:t>Suport matematic la soluţionarea problemelor complexe ale ţării.</w:t>
      </w:r>
    </w:p>
    <w:p>
      <w:pPr>
        <w:pStyle w:val="Normal"/>
        <w:widowControl/>
        <w:tabs>
          <w:tab w:val="left" w:pos="1260" w:leader="none"/>
        </w:tabs>
        <w:bidi w:val="0"/>
        <w:spacing w:lineRule="auto" w:line="360"/>
        <w:ind w:left="0" w:right="0" w:hanging="0"/>
        <w:jc w:val="both"/>
        <w:textAlignment w:val="auto"/>
        <w:rPr>
          <w:lang w:val="ro-RO"/>
        </w:rPr>
      </w:pPr>
      <w:r>
        <w:rPr>
          <w:sz w:val="22"/>
          <w:szCs w:val="22"/>
          <w:lang w:val="ro-RO"/>
        </w:rPr>
        <w:t>Obiective:</w:t>
      </w:r>
    </w:p>
    <w:p>
      <w:pPr>
        <w:pStyle w:val="Normal"/>
        <w:widowControl/>
        <w:tabs>
          <w:tab w:val="left" w:pos="1260" w:leader="none"/>
        </w:tabs>
        <w:bidi w:val="0"/>
        <w:ind w:left="0" w:right="0" w:hanging="0"/>
        <w:jc w:val="both"/>
        <w:textAlignment w:val="auto"/>
        <w:rPr>
          <w:lang w:val="ro-RO"/>
        </w:rPr>
      </w:pPr>
      <w:r>
        <w:rPr>
          <w:sz w:val="22"/>
          <w:szCs w:val="22"/>
          <w:lang w:val="ro-RO"/>
        </w:rPr>
        <w:t>1.</w:t>
      </w:r>
      <w:r>
        <w:rPr>
          <w:i/>
          <w:sz w:val="22"/>
          <w:szCs w:val="22"/>
          <w:lang w:val="ro-RO"/>
        </w:rPr>
        <w:t xml:space="preserve"> </w:t>
      </w:r>
      <w:r>
        <w:rPr>
          <w:rFonts w:cs="Times New Roman CE" w:ascii="Times New Roman CE" w:hAnsi="Times New Roman CE"/>
          <w:sz w:val="22"/>
          <w:szCs w:val="22"/>
          <w:lang w:val="ro-RO"/>
        </w:rPr>
        <w:t xml:space="preserve">Sisteme algebrice  şi </w:t>
      </w:r>
      <w:r>
        <w:rPr>
          <w:sz w:val="22"/>
          <w:szCs w:val="22"/>
          <w:lang w:val="ro-RO"/>
        </w:rPr>
        <w:t xml:space="preserve">de </w:t>
      </w:r>
      <w:r>
        <w:rPr>
          <w:rFonts w:cs="Times New Roman CE" w:ascii="Times New Roman CE" w:hAnsi="Times New Roman CE"/>
          <w:sz w:val="22"/>
          <w:szCs w:val="22"/>
          <w:lang w:val="ro-RO"/>
        </w:rPr>
        <w:t xml:space="preserve">ecuaţii diferenţiale pentru aplicaţii în criptografie, biologie, ecologie, energetică. </w:t>
      </w:r>
    </w:p>
    <w:p>
      <w:pPr>
        <w:pStyle w:val="Normal"/>
        <w:widowControl/>
        <w:tabs>
          <w:tab w:val="left" w:pos="1260" w:leader="none"/>
        </w:tabs>
        <w:bidi w:val="0"/>
        <w:ind w:left="0" w:right="0" w:hanging="0"/>
        <w:jc w:val="both"/>
        <w:textAlignment w:val="auto"/>
        <w:rPr/>
      </w:pPr>
      <w:r>
        <w:rPr>
          <w:rFonts w:cs="Times New Roman CE" w:ascii="Times New Roman CE" w:hAnsi="Times New Roman CE"/>
          <w:sz w:val="22"/>
          <w:szCs w:val="22"/>
          <w:lang w:val="ro-RO"/>
        </w:rPr>
        <w:t>2. Modelarea matematică a proceselor dinamice deterministe  şi stocastice ca suport pentru dezvoltarea societăţii.</w:t>
      </w:r>
    </w:p>
    <w:p>
      <w:pPr>
        <w:pStyle w:val="Normal"/>
        <w:widowControl/>
        <w:tabs>
          <w:tab w:val="left" w:pos="1260" w:leader="none"/>
        </w:tabs>
        <w:bidi w:val="0"/>
        <w:ind w:left="0" w:right="0" w:hanging="0"/>
        <w:jc w:val="both"/>
        <w:textAlignment w:val="auto"/>
        <w:rPr/>
      </w:pPr>
      <w:r>
        <w:rPr>
          <w:rFonts w:cs="Times New Roman CE" w:ascii="Times New Roman CE" w:hAnsi="Times New Roman CE"/>
          <w:sz w:val="22"/>
          <w:szCs w:val="22"/>
          <w:lang w:val="ro-RO"/>
        </w:rPr>
        <w:t xml:space="preserve">3. Metode matematice  şi de calcul performant pentru utilizare în cercetările  ştiinţifice  şi în învăţămîntul inovaţional, algoritmi numerici avansaţi şi tehnologii pe supercalculatoare. </w:t>
      </w:r>
    </w:p>
    <w:p>
      <w:pPr>
        <w:pStyle w:val="Normal"/>
        <w:widowControl/>
        <w:tabs>
          <w:tab w:val="left" w:pos="1260" w:leader="none"/>
        </w:tabs>
        <w:bidi w:val="0"/>
        <w:ind w:left="0" w:right="0" w:hanging="0"/>
        <w:jc w:val="both"/>
        <w:textAlignment w:val="auto"/>
        <w:rPr/>
      </w:pPr>
      <w:r>
        <w:rPr>
          <w:rFonts w:cs="Times New Roman CE" w:ascii="Times New Roman CE" w:hAnsi="Times New Roman CE"/>
          <w:sz w:val="22"/>
          <w:szCs w:val="22"/>
          <w:lang w:val="ro-RO"/>
        </w:rPr>
        <w:t xml:space="preserve">4. Structuri topologico-algebrice  şi aplicaţii în analiză, teoria automatelor  şi modelarea economică. </w:t>
      </w:r>
    </w:p>
    <w:p>
      <w:pPr>
        <w:pStyle w:val="Normal"/>
        <w:widowControl/>
        <w:tabs>
          <w:tab w:val="left" w:pos="1260" w:leader="none"/>
        </w:tabs>
        <w:bidi w:val="0"/>
        <w:ind w:left="0" w:right="0" w:hanging="0"/>
        <w:jc w:val="both"/>
        <w:textAlignment w:val="auto"/>
        <w:rPr/>
      </w:pPr>
      <w:r>
        <w:rPr>
          <w:rFonts w:cs="Times New Roman CE" w:ascii="Times New Roman CE" w:hAnsi="Times New Roman CE"/>
          <w:sz w:val="22"/>
          <w:szCs w:val="22"/>
          <w:lang w:val="ro-RO"/>
        </w:rPr>
        <w:t>5. Studii fundamentale în geometria discretă, control optimal  şi sisteme de evoluţie cu aspec</w:t>
      </w:r>
      <w:r>
        <w:rPr>
          <w:sz w:val="22"/>
          <w:szCs w:val="22"/>
          <w:lang w:val="ro-RO"/>
        </w:rPr>
        <w:t xml:space="preserve">te practice pentru cuasicristale. </w:t>
      </w:r>
    </w:p>
    <w:p>
      <w:pPr>
        <w:pStyle w:val="Normal"/>
        <w:widowControl/>
        <w:tabs>
          <w:tab w:val="left" w:pos="1260" w:leader="none"/>
        </w:tabs>
        <w:bidi w:val="0"/>
        <w:ind w:left="0" w:right="0" w:hanging="0"/>
        <w:jc w:val="both"/>
        <w:textAlignment w:val="auto"/>
        <w:rPr>
          <w:rFonts w:ascii="Times New Roman" w:hAnsi="Times New Roman"/>
          <w:i/>
          <w:i/>
          <w:color w:val="FF0000"/>
          <w:sz w:val="22"/>
          <w:szCs w:val="22"/>
          <w:lang w:val="ro-RO"/>
        </w:rPr>
      </w:pPr>
      <w:r>
        <w:rPr>
          <w:i/>
          <w:color w:val="FF0000"/>
          <w:sz w:val="22"/>
          <w:szCs w:val="22"/>
          <w:lang w:val="ro-RO"/>
        </w:rPr>
      </w:r>
    </w:p>
    <w:p>
      <w:pPr>
        <w:pStyle w:val="Normal"/>
        <w:widowControl/>
        <w:tabs>
          <w:tab w:val="left" w:pos="1260" w:leader="none"/>
        </w:tabs>
        <w:bidi w:val="0"/>
        <w:ind w:left="0" w:right="0" w:hanging="0"/>
        <w:jc w:val="both"/>
        <w:textAlignment w:val="auto"/>
        <w:rPr>
          <w:lang w:val="ro-RO"/>
        </w:rPr>
      </w:pPr>
      <w:r>
        <w:rPr>
          <w:rFonts w:cs="Times New Roman CE" w:ascii="Times New Roman CE" w:hAnsi="Times New Roman CE"/>
          <w:sz w:val="22"/>
          <w:szCs w:val="22"/>
          <w:lang w:val="ro-RO"/>
        </w:rPr>
        <w:t xml:space="preserve">II.Direcţia prioritară: </w:t>
      </w:r>
      <w:r>
        <w:rPr>
          <w:rFonts w:cs="Times New Roman CE" w:ascii="Times New Roman CE" w:hAnsi="Times New Roman CE"/>
          <w:i/>
          <w:sz w:val="22"/>
          <w:szCs w:val="22"/>
          <w:lang w:val="ro-RO"/>
        </w:rPr>
        <w:t>Sisteme şi tehnologii informaţionale</w:t>
      </w:r>
    </w:p>
    <w:p>
      <w:pPr>
        <w:pStyle w:val="Normal"/>
        <w:widowControl/>
        <w:tabs>
          <w:tab w:val="left" w:pos="1260" w:leader="none"/>
        </w:tabs>
        <w:bidi w:val="0"/>
        <w:ind w:left="0" w:right="0" w:hanging="0"/>
        <w:jc w:val="both"/>
        <w:textAlignment w:val="auto"/>
        <w:rPr/>
      </w:pPr>
      <w:r>
        <w:rPr>
          <w:sz w:val="22"/>
          <w:szCs w:val="22"/>
          <w:lang w:val="ro-RO"/>
        </w:rPr>
        <w:t>Obiective:</w:t>
      </w:r>
    </w:p>
    <w:p>
      <w:pPr>
        <w:pStyle w:val="Normal"/>
        <w:widowControl/>
        <w:tabs>
          <w:tab w:val="left" w:pos="1260" w:leader="none"/>
        </w:tabs>
        <w:bidi w:val="0"/>
        <w:ind w:left="0" w:right="0" w:hanging="0"/>
        <w:jc w:val="both"/>
        <w:textAlignment w:val="auto"/>
        <w:rPr>
          <w:lang w:val="ro-RO"/>
        </w:rPr>
      </w:pPr>
      <w:r>
        <w:rPr>
          <w:rFonts w:cs="Times New Roman CE" w:ascii="Times New Roman CE" w:hAnsi="Times New Roman CE"/>
          <w:sz w:val="22"/>
          <w:szCs w:val="22"/>
          <w:lang w:val="ro-RO"/>
        </w:rPr>
        <w:t>1.Cercetări pentru tehnologii avansate şi de perspectivă (calcule distribuite: metode, instrumente, medii de execuţie a aplicaţiilor; calcule molecu</w:t>
      </w:r>
      <w:r>
        <w:rPr>
          <w:sz w:val="22"/>
          <w:szCs w:val="22"/>
          <w:lang w:val="ro-RO"/>
        </w:rPr>
        <w:t>lare).</w:t>
      </w:r>
    </w:p>
    <w:p>
      <w:pPr>
        <w:pStyle w:val="Normal"/>
        <w:widowControl/>
        <w:tabs>
          <w:tab w:val="left" w:pos="1260" w:leader="none"/>
        </w:tabs>
        <w:bidi w:val="0"/>
        <w:ind w:left="0" w:right="0" w:hanging="0"/>
        <w:jc w:val="both"/>
        <w:textAlignment w:val="auto"/>
        <w:rPr>
          <w:lang w:val="ro-RO"/>
        </w:rPr>
      </w:pPr>
      <w:r>
        <w:rPr>
          <w:rFonts w:cs="Times New Roman CE" w:ascii="Times New Roman CE" w:hAnsi="Times New Roman CE"/>
          <w:sz w:val="22"/>
          <w:szCs w:val="22"/>
          <w:lang w:val="ro-RO"/>
        </w:rPr>
        <w:t>2. Sisteme informatice de gestiune a activităţii economice.</w:t>
      </w:r>
    </w:p>
    <w:p>
      <w:pPr>
        <w:pStyle w:val="Normal"/>
        <w:widowControl/>
        <w:tabs>
          <w:tab w:val="left" w:pos="1260" w:leader="none"/>
        </w:tabs>
        <w:bidi w:val="0"/>
        <w:ind w:left="0" w:right="0" w:hanging="0"/>
        <w:jc w:val="both"/>
        <w:textAlignment w:val="auto"/>
        <w:rPr>
          <w:lang w:val="ro-RO"/>
        </w:rPr>
      </w:pPr>
      <w:r>
        <w:rPr>
          <w:rFonts w:cs="Times New Roman CE" w:ascii="Times New Roman CE" w:hAnsi="Times New Roman CE"/>
          <w:sz w:val="22"/>
          <w:szCs w:val="22"/>
          <w:lang w:val="ro-RO"/>
        </w:rPr>
        <w:t>3. Sisteme informatice pentru managementul activităţilor de cercetare-dezvoltare-inovare.</w:t>
      </w:r>
    </w:p>
    <w:p>
      <w:pPr>
        <w:pStyle w:val="Normal"/>
        <w:widowControl/>
        <w:tabs>
          <w:tab w:val="left" w:pos="1260" w:leader="none"/>
        </w:tabs>
        <w:bidi w:val="0"/>
        <w:ind w:left="0" w:right="0" w:hanging="0"/>
        <w:jc w:val="both"/>
        <w:textAlignment w:val="auto"/>
        <w:rPr>
          <w:lang w:val="ro-RO"/>
        </w:rPr>
      </w:pPr>
      <w:r>
        <w:rPr>
          <w:rFonts w:cs="Times New Roman CE" w:ascii="Times New Roman CE" w:hAnsi="Times New Roman CE"/>
          <w:sz w:val="22"/>
          <w:szCs w:val="22"/>
          <w:lang w:val="ro-RO"/>
        </w:rPr>
        <w:t>4. Instrumente informatice pentru reţele colaborative şi comunităţi</w:t>
      </w:r>
      <w:r>
        <w:rPr>
          <w:sz w:val="22"/>
          <w:szCs w:val="22"/>
          <w:lang w:val="ro-RO"/>
        </w:rPr>
        <w:t>i virtuale.</w:t>
      </w:r>
    </w:p>
    <w:p>
      <w:pPr>
        <w:pStyle w:val="Normal"/>
        <w:widowControl/>
        <w:tabs>
          <w:tab w:val="left" w:pos="1260" w:leader="none"/>
        </w:tabs>
        <w:bidi w:val="0"/>
        <w:ind w:left="0" w:right="0" w:hanging="0"/>
        <w:jc w:val="both"/>
        <w:textAlignment w:val="auto"/>
        <w:rPr/>
      </w:pPr>
      <w:r>
        <w:rPr>
          <w:sz w:val="22"/>
          <w:szCs w:val="22"/>
          <w:lang w:val="ro-RO"/>
        </w:rPr>
        <w:t>5. Elaborarea sistem</w:t>
      </w:r>
      <w:r>
        <w:rPr>
          <w:rFonts w:cs="Times New Roman CE" w:ascii="Times New Roman CE" w:hAnsi="Times New Roman CE"/>
          <w:sz w:val="22"/>
          <w:szCs w:val="22"/>
          <w:lang w:val="ro-RO"/>
        </w:rPr>
        <w:t>elor inteligente cu impact asupra serviciilor oferite cetăţeanului în societatea informaţională.</w:t>
      </w:r>
    </w:p>
    <w:p>
      <w:pPr>
        <w:pStyle w:val="Normal"/>
        <w:widowControl/>
        <w:tabs>
          <w:tab w:val="left" w:pos="1260" w:leader="none"/>
        </w:tabs>
        <w:bidi w:val="0"/>
        <w:ind w:left="0" w:right="0" w:hanging="0"/>
        <w:jc w:val="both"/>
        <w:textAlignment w:val="auto"/>
        <w:rPr/>
      </w:pPr>
      <w:r>
        <w:rPr>
          <w:rFonts w:cs="Times New Roman CE" w:ascii="Times New Roman CE" w:hAnsi="Times New Roman CE"/>
          <w:sz w:val="22"/>
          <w:szCs w:val="22"/>
          <w:lang w:val="ro-RO"/>
        </w:rPr>
        <w:t>6. Securitatea informaţională.</w:t>
      </w:r>
    </w:p>
    <w:p>
      <w:pPr>
        <w:pStyle w:val="Normal"/>
        <w:widowControl/>
        <w:tabs>
          <w:tab w:val="left" w:pos="1260" w:leader="none"/>
        </w:tabs>
        <w:bidi w:val="0"/>
        <w:ind w:left="0" w:right="0" w:hanging="0"/>
        <w:jc w:val="both"/>
        <w:textAlignment w:val="auto"/>
        <w:rPr>
          <w:rFonts w:ascii="Times New Roman" w:hAnsi="Times New Roman"/>
          <w:color w:val="FF0000"/>
          <w:sz w:val="22"/>
          <w:szCs w:val="22"/>
          <w:lang w:val="ro-RO"/>
        </w:rPr>
      </w:pPr>
      <w:r>
        <w:rPr>
          <w:color w:val="FF0000"/>
          <w:sz w:val="22"/>
          <w:szCs w:val="22"/>
          <w:lang w:val="ro-RO"/>
        </w:rPr>
      </w:r>
    </w:p>
    <w:p>
      <w:pPr>
        <w:pStyle w:val="Normal"/>
        <w:widowControl/>
        <w:bidi w:val="0"/>
        <w:ind w:left="0" w:right="0" w:hanging="0"/>
        <w:jc w:val="both"/>
        <w:textAlignment w:val="auto"/>
        <w:rPr>
          <w:lang w:val="ro-MD"/>
        </w:rPr>
      </w:pPr>
      <w:r>
        <w:rPr>
          <w:rFonts w:cs="Times New Roman CE" w:ascii="Times New Roman CE" w:hAnsi="Times New Roman CE"/>
          <w:b/>
          <w:bCs/>
          <w:i/>
          <w:sz w:val="22"/>
          <w:szCs w:val="22"/>
          <w:lang w:val="ro-MD"/>
        </w:rPr>
        <w:t>Rezultatele obţinute susţin tendinţele de orientare în direcţia aplicaţiilor în arealul socio-economic, extind spaţiul de utilizare şi de interferenţă cu alte direcţii de cercetare</w:t>
      </w:r>
    </w:p>
    <w:p>
      <w:pPr>
        <w:pStyle w:val="Normal"/>
        <w:widowControl/>
        <w:bidi w:val="0"/>
        <w:ind w:left="0" w:right="0" w:hanging="0"/>
        <w:jc w:val="both"/>
        <w:textAlignment w:val="auto"/>
        <w:rPr>
          <w:rFonts w:ascii="Times New Roman" w:hAnsi="Times New Roman"/>
          <w:b/>
          <w:b/>
          <w:bCs/>
          <w:i/>
          <w:i/>
          <w:lang w:val="ro-MD"/>
        </w:rPr>
      </w:pPr>
      <w:r>
        <w:rPr>
          <w:b/>
          <w:bCs/>
          <w:i/>
          <w:lang w:val="ro-MD"/>
        </w:rPr>
      </w:r>
    </w:p>
    <w:p>
      <w:pPr>
        <w:pStyle w:val="Normal"/>
        <w:widowControl/>
        <w:bidi w:val="0"/>
        <w:ind w:left="0" w:right="0" w:hanging="0"/>
        <w:jc w:val="both"/>
        <w:textAlignment w:val="auto"/>
        <w:rPr>
          <w:lang w:val="ro-MD"/>
        </w:rPr>
      </w:pPr>
      <w:r>
        <w:rPr>
          <w:rFonts w:cs="Times New Roman CE" w:ascii="Times New Roman CE" w:hAnsi="Times New Roman CE"/>
          <w:b/>
          <w:bCs/>
          <w:i/>
          <w:sz w:val="22"/>
          <w:szCs w:val="22"/>
          <w:lang w:val="ro-MD"/>
        </w:rPr>
        <w:t>Recomandări</w:t>
      </w:r>
      <w:r>
        <w:rPr>
          <w:bCs/>
          <w:sz w:val="22"/>
          <w:szCs w:val="22"/>
          <w:lang w:val="ro-RO"/>
        </w:rPr>
        <w:t xml:space="preserve"> </w:t>
      </w:r>
    </w:p>
    <w:p>
      <w:pPr>
        <w:pStyle w:val="Normal"/>
        <w:widowControl/>
        <w:bidi w:val="0"/>
        <w:ind w:left="0" w:right="0" w:hanging="0"/>
        <w:jc w:val="both"/>
        <w:textAlignment w:val="auto"/>
        <w:rPr>
          <w:lang w:val="ro-RO"/>
        </w:rPr>
      </w:pPr>
      <w:r>
        <w:rPr>
          <w:rFonts w:cs="Times New Roman CE" w:ascii="Times New Roman CE" w:hAnsi="Times New Roman CE"/>
          <w:bCs/>
          <w:sz w:val="22"/>
          <w:szCs w:val="22"/>
          <w:lang w:val="ro-RO"/>
        </w:rPr>
        <w:t>În scopul eficientizării cercetărilor se propune:</w:t>
      </w:r>
    </w:p>
    <w:p>
      <w:pPr>
        <w:pStyle w:val="Normal"/>
        <w:widowControl/>
        <w:numPr>
          <w:ilvl w:val="0"/>
          <w:numId w:val="6"/>
        </w:numPr>
        <w:tabs>
          <w:tab w:val="left" w:pos="113" w:leader="none"/>
        </w:tabs>
        <w:bidi w:val="0"/>
        <w:ind w:left="227" w:right="0" w:hanging="0"/>
        <w:jc w:val="both"/>
        <w:textAlignment w:val="auto"/>
        <w:rPr>
          <w:lang w:val="ro-RO"/>
        </w:rPr>
      </w:pPr>
      <w:r>
        <w:rPr>
          <w:rFonts w:cs="Times New Roman CE" w:ascii="Times New Roman CE" w:hAnsi="Times New Roman CE"/>
          <w:lang w:val="ro-RO"/>
        </w:rPr>
        <w:t>Analiza necesităţilor de produse soft cu licenţă şi identificarea mijloacelor de alternativă (extrabugetare) pentru procurarea acestora</w:t>
      </w:r>
      <w:r>
        <w:rPr>
          <w:bCs/>
          <w:sz w:val="22"/>
          <w:szCs w:val="22"/>
          <w:lang w:val="ro-RO"/>
        </w:rPr>
        <w:t xml:space="preserve"> St</w:t>
      </w:r>
      <w:r>
        <w:rPr>
          <w:rFonts w:cs="Times New Roman CE" w:ascii="Times New Roman CE" w:hAnsi="Times New Roman CE"/>
          <w:bCs/>
          <w:sz w:val="22"/>
          <w:szCs w:val="22"/>
          <w:lang w:val="ro-RO"/>
        </w:rPr>
        <w:t xml:space="preserve">imularea participării </w:t>
      </w:r>
      <w:r>
        <w:rPr>
          <w:bCs/>
          <w:sz w:val="22"/>
          <w:szCs w:val="22"/>
          <w:lang w:val="ro-RO"/>
        </w:rPr>
        <w:t>la concursurile de proiecte Orizont-2020</w:t>
      </w:r>
      <w:r>
        <w:rPr>
          <w:rFonts w:cs="Times New Roman CE" w:ascii="Times New Roman CE" w:hAnsi="Times New Roman CE"/>
          <w:bCs/>
          <w:sz w:val="22"/>
          <w:szCs w:val="22"/>
          <w:lang w:val="ro-RO"/>
        </w:rPr>
        <w:t xml:space="preserve"> şi alte proiecte internaţionale.</w:t>
      </w:r>
    </w:p>
    <w:p>
      <w:pPr>
        <w:pStyle w:val="Normal"/>
        <w:widowControl/>
        <w:numPr>
          <w:ilvl w:val="0"/>
          <w:numId w:val="6"/>
        </w:numPr>
        <w:tabs>
          <w:tab w:val="left" w:pos="113" w:leader="none"/>
        </w:tabs>
        <w:bidi w:val="0"/>
        <w:ind w:left="227" w:right="0" w:hanging="0"/>
        <w:jc w:val="both"/>
        <w:textAlignment w:val="auto"/>
        <w:rPr>
          <w:lang w:val="ro-RO"/>
        </w:rPr>
      </w:pPr>
      <w:r>
        <w:rPr>
          <w:rFonts w:cs="Times New Roman CE" w:ascii="Times New Roman CE" w:hAnsi="Times New Roman CE"/>
          <w:lang w:val="ro-RO"/>
        </w:rPr>
        <w:t xml:space="preserve">Iniţierea activităţilor în vederea digitizării lucrărilor din domeniul matematicii </w:t>
      </w:r>
      <w:r>
        <w:rPr>
          <w:rFonts w:cs="Cambria Math" w:ascii="Cambria Math" w:hAnsi="Cambria Math"/>
          <w:lang w:val="ro-RO"/>
        </w:rPr>
        <w:t>ș</w:t>
      </w:r>
      <w:r>
        <w:rPr>
          <w:lang w:val="ro-RO"/>
        </w:rPr>
        <w:t xml:space="preserve">i informaticii. </w:t>
      </w:r>
    </w:p>
    <w:p>
      <w:pPr>
        <w:pStyle w:val="Normal"/>
        <w:widowControl/>
        <w:numPr>
          <w:ilvl w:val="0"/>
          <w:numId w:val="6"/>
        </w:numPr>
        <w:tabs>
          <w:tab w:val="left" w:pos="113" w:leader="none"/>
        </w:tabs>
        <w:bidi w:val="0"/>
        <w:ind w:left="227" w:right="0" w:hanging="0"/>
        <w:jc w:val="both"/>
        <w:textAlignment w:val="auto"/>
        <w:rPr>
          <w:lang w:val="ro-RO"/>
        </w:rPr>
      </w:pPr>
      <w:r>
        <w:rPr>
          <w:rFonts w:cs="Times New Roman CE" w:ascii="Times New Roman CE" w:hAnsi="Times New Roman CE"/>
          <w:bCs/>
          <w:sz w:val="22"/>
          <w:szCs w:val="22"/>
          <w:lang w:val="ro-RO"/>
        </w:rPr>
        <w:t>Stimularea publicării de monografii, capitole din monografii în ediţii prestigioase de peste hotare şi articolelor în reviste ISI cu factor de impact.</w:t>
      </w:r>
    </w:p>
    <w:p>
      <w:pPr>
        <w:pStyle w:val="Normal"/>
        <w:widowControl/>
        <w:numPr>
          <w:ilvl w:val="0"/>
          <w:numId w:val="6"/>
        </w:numPr>
        <w:tabs>
          <w:tab w:val="left" w:pos="113" w:leader="none"/>
        </w:tabs>
        <w:bidi w:val="0"/>
        <w:ind w:left="227" w:right="0" w:hanging="0"/>
        <w:jc w:val="both"/>
        <w:textAlignment w:val="auto"/>
        <w:rPr>
          <w:lang w:val="fr-FR"/>
        </w:rPr>
      </w:pPr>
      <w:r>
        <w:rPr>
          <w:rFonts w:cs="Times New Roman CE" w:ascii="Times New Roman CE" w:hAnsi="Times New Roman CE"/>
          <w:lang w:val="fr-FR"/>
        </w:rPr>
        <w:t>Să se întreprindă măsuri sporite privitor la promovarea revistelor în diverse baze de date, inclusiv Thomson Reuters</w:t>
      </w:r>
      <w:r>
        <w:rPr>
          <w:bCs/>
          <w:sz w:val="22"/>
          <w:szCs w:val="22"/>
          <w:lang w:val="ro-RO"/>
        </w:rPr>
        <w:t xml:space="preserve"> </w:t>
      </w:r>
    </w:p>
    <w:p>
      <w:pPr>
        <w:pStyle w:val="Normal"/>
        <w:widowControl/>
        <w:numPr>
          <w:ilvl w:val="0"/>
          <w:numId w:val="6"/>
        </w:numPr>
        <w:tabs>
          <w:tab w:val="left" w:pos="113" w:leader="none"/>
        </w:tabs>
        <w:bidi w:val="0"/>
        <w:ind w:left="227" w:right="0" w:hanging="0"/>
        <w:jc w:val="both"/>
        <w:textAlignment w:val="auto"/>
        <w:rPr>
          <w:lang w:val="en-US"/>
        </w:rPr>
      </w:pPr>
      <w:r>
        <w:rPr>
          <w:rFonts w:cs="Times New Roman CE" w:ascii="Times New Roman CE" w:hAnsi="Times New Roman CE"/>
          <w:bCs/>
          <w:iCs/>
          <w:lang w:val="en-US"/>
        </w:rPr>
        <w:t>Activizarea lucrului seminarelor şiin</w:t>
      </w:r>
      <w:r>
        <w:rPr>
          <w:rFonts w:cs="Cambria Math" w:ascii="Cambria Math" w:hAnsi="Cambria Math"/>
          <w:bCs/>
          <w:iCs/>
          <w:lang w:val="en-US"/>
        </w:rPr>
        <w:t>ț</w:t>
      </w:r>
      <w:r>
        <w:rPr>
          <w:bCs/>
          <w:iCs/>
          <w:lang w:val="en-US"/>
        </w:rPr>
        <w:t>ifice cu i</w:t>
      </w:r>
      <w:r>
        <w:rPr>
          <w:rFonts w:cs="Times New Roman CE" w:ascii="Times New Roman CE" w:hAnsi="Times New Roman CE"/>
          <w:bCs/>
          <w:iCs/>
          <w:lang w:val="en-US"/>
        </w:rPr>
        <w:t xml:space="preserve">mplicarea specialiştilor notorii de peste hotare, </w:t>
      </w:r>
      <w:r>
        <w:rPr>
          <w:bCs/>
          <w:iCs/>
          <w:lang w:val="en-US"/>
        </w:rPr>
        <w:t xml:space="preserve">inslusiv </w:t>
      </w:r>
      <w:r>
        <w:rPr>
          <w:rFonts w:cs="Cambria Math" w:ascii="Cambria Math" w:hAnsi="Cambria Math"/>
          <w:bCs/>
          <w:iCs/>
          <w:lang w:val="en-US"/>
        </w:rPr>
        <w:t>ș</w:t>
      </w:r>
      <w:r>
        <w:rPr>
          <w:bCs/>
          <w:iCs/>
          <w:lang w:val="en-US"/>
        </w:rPr>
        <w:t>i prin utilizarea TIC</w:t>
      </w:r>
      <w:r>
        <w:rPr>
          <w:bCs/>
          <w:sz w:val="22"/>
          <w:szCs w:val="22"/>
          <w:lang w:val="ro-RO"/>
        </w:rPr>
        <w:t xml:space="preserve"> </w:t>
      </w:r>
    </w:p>
    <w:p>
      <w:pPr>
        <w:pStyle w:val="Normal"/>
        <w:widowControl/>
        <w:numPr>
          <w:ilvl w:val="0"/>
          <w:numId w:val="6"/>
        </w:numPr>
        <w:tabs>
          <w:tab w:val="left" w:pos="113" w:leader="none"/>
        </w:tabs>
        <w:bidi w:val="0"/>
        <w:ind w:left="227" w:right="0" w:hanging="0"/>
        <w:jc w:val="both"/>
        <w:textAlignment w:val="auto"/>
        <w:rPr>
          <w:lang w:val="ro-RO"/>
        </w:rPr>
      </w:pPr>
      <w:r>
        <w:rPr>
          <w:bCs/>
          <w:sz w:val="22"/>
          <w:szCs w:val="22"/>
          <w:lang w:val="ro-RO"/>
        </w:rPr>
        <w:t xml:space="preserve">Conlucrare cu </w:t>
      </w:r>
      <w:r>
        <w:rPr>
          <w:rFonts w:cs="Times New Roman CE" w:ascii="Times New Roman CE" w:hAnsi="Times New Roman CE"/>
          <w:bCs/>
          <w:sz w:val="22"/>
          <w:szCs w:val="22"/>
          <w:lang w:val="ro-RO"/>
        </w:rPr>
        <w:t>instituţii</w:t>
      </w:r>
      <w:r>
        <w:rPr>
          <w:bCs/>
          <w:sz w:val="22"/>
          <w:szCs w:val="22"/>
          <w:lang w:val="ro-RO"/>
        </w:rPr>
        <w:t>le</w:t>
      </w:r>
      <w:r>
        <w:rPr>
          <w:rFonts w:cs="Times New Roman CE" w:ascii="Times New Roman CE" w:hAnsi="Times New Roman CE"/>
          <w:bCs/>
          <w:sz w:val="22"/>
          <w:szCs w:val="22"/>
          <w:lang w:val="ro-RO"/>
        </w:rPr>
        <w:t xml:space="preserve"> academice, de învăţământ superior şi </w:t>
      </w:r>
      <w:r>
        <w:rPr>
          <w:bCs/>
          <w:sz w:val="22"/>
          <w:szCs w:val="22"/>
          <w:lang w:val="ro-RO"/>
        </w:rPr>
        <w:t xml:space="preserve">cu mediul de afaceri </w:t>
      </w:r>
      <w:r>
        <w:rPr>
          <w:rFonts w:cs="Times New Roman CE" w:ascii="Times New Roman CE" w:hAnsi="Times New Roman CE"/>
          <w:bCs/>
          <w:sz w:val="22"/>
          <w:szCs w:val="22"/>
          <w:lang w:val="ro-RO"/>
        </w:rPr>
        <w:t>în vederea abordării, soluţionării şi implementării rezultatelor cercetărilor com</w:t>
      </w:r>
      <w:r>
        <w:rPr>
          <w:bCs/>
          <w:sz w:val="22"/>
          <w:szCs w:val="22"/>
          <w:lang w:val="ro-RO"/>
        </w:rPr>
        <w:t xml:space="preserve">une. </w:t>
      </w:r>
    </w:p>
    <w:p>
      <w:pPr>
        <w:pStyle w:val="Normal"/>
        <w:widowControl/>
        <w:numPr>
          <w:ilvl w:val="0"/>
          <w:numId w:val="6"/>
        </w:numPr>
        <w:tabs>
          <w:tab w:val="left" w:pos="113" w:leader="none"/>
        </w:tabs>
        <w:bidi w:val="0"/>
        <w:ind w:left="227" w:right="0" w:hanging="0"/>
        <w:jc w:val="both"/>
        <w:textAlignment w:val="auto"/>
        <w:rPr>
          <w:lang w:val="it-IT"/>
        </w:rPr>
      </w:pPr>
      <w:r>
        <w:rPr>
          <w:bCs/>
          <w:sz w:val="22"/>
          <w:szCs w:val="22"/>
          <w:lang w:val="it-IT"/>
        </w:rPr>
        <w:t xml:space="preserve">Promovarea unei politici active în vederea </w:t>
      </w:r>
      <w:r>
        <w:rPr>
          <w:rFonts w:cs="Times New Roman CE" w:ascii="Times New Roman CE" w:hAnsi="Times New Roman CE"/>
          <w:bCs/>
          <w:sz w:val="22"/>
          <w:szCs w:val="22"/>
          <w:lang w:val="it-IT"/>
        </w:rPr>
        <w:t>diseminării</w:t>
      </w:r>
      <w:r>
        <w:rPr>
          <w:bCs/>
          <w:sz w:val="22"/>
          <w:szCs w:val="22"/>
          <w:lang w:val="it-IT"/>
        </w:rPr>
        <w:t xml:space="preserve"> prin mass-</w:t>
      </w:r>
      <w:r>
        <w:rPr>
          <w:rFonts w:cs="Times New Roman CE" w:ascii="Times New Roman CE" w:hAnsi="Times New Roman CE"/>
          <w:bCs/>
          <w:sz w:val="22"/>
          <w:szCs w:val="22"/>
          <w:lang w:val="it-IT"/>
        </w:rPr>
        <w:t>media, lecţii publice, articole de popularizare  a rezultatelor cercetă</w:t>
      </w:r>
      <w:r>
        <w:rPr>
          <w:bCs/>
          <w:sz w:val="22"/>
          <w:szCs w:val="22"/>
          <w:lang w:val="it-IT"/>
        </w:rPr>
        <w:t xml:space="preserve">rii. </w:t>
      </w:r>
    </w:p>
    <w:p>
      <w:pPr>
        <w:pStyle w:val="Normal"/>
        <w:widowControl/>
        <w:bidi w:val="0"/>
        <w:ind w:left="227" w:right="0" w:hanging="0"/>
        <w:jc w:val="both"/>
        <w:textAlignment w:val="auto"/>
        <w:rPr>
          <w:rFonts w:ascii="Times New Roman" w:hAnsi="Times New Roman"/>
          <w:bCs/>
          <w:color w:val="FF0000"/>
          <w:sz w:val="22"/>
          <w:szCs w:val="22"/>
          <w:lang w:val="ro-RO"/>
        </w:rPr>
      </w:pPr>
      <w:r>
        <w:rPr>
          <w:bCs/>
          <w:color w:val="FF0000"/>
          <w:sz w:val="22"/>
          <w:szCs w:val="22"/>
          <w:lang w:val="ro-RO"/>
        </w:rPr>
      </w:r>
    </w:p>
    <w:p>
      <w:pPr>
        <w:pStyle w:val="Normal"/>
        <w:widowControl/>
        <w:bidi w:val="0"/>
        <w:ind w:left="227" w:right="0" w:hanging="0"/>
        <w:jc w:val="both"/>
        <w:textAlignment w:val="auto"/>
        <w:rPr>
          <w:rFonts w:ascii="Times New Roman" w:hAnsi="Times New Roman"/>
          <w:bCs/>
          <w:color w:val="FF0000"/>
          <w:sz w:val="22"/>
          <w:szCs w:val="22"/>
          <w:lang w:val="ro-RO"/>
        </w:rPr>
      </w:pPr>
      <w:r>
        <w:rPr>
          <w:bCs/>
          <w:color w:val="FF0000"/>
          <w:sz w:val="22"/>
          <w:szCs w:val="22"/>
          <w:lang w:val="ro-RO"/>
        </w:rPr>
      </w:r>
    </w:p>
    <w:p>
      <w:pPr>
        <w:pStyle w:val="Normal"/>
        <w:widowControl/>
        <w:bidi w:val="0"/>
        <w:ind w:left="227" w:right="0" w:hanging="0"/>
        <w:jc w:val="both"/>
        <w:textAlignment w:val="auto"/>
        <w:rPr>
          <w:rFonts w:ascii="Times New Roman" w:hAnsi="Times New Roman"/>
          <w:bCs/>
          <w:color w:val="FF0000"/>
          <w:sz w:val="22"/>
          <w:szCs w:val="22"/>
          <w:lang w:val="ro-RO"/>
        </w:rPr>
      </w:pPr>
      <w:r>
        <w:rPr>
          <w:bCs/>
          <w:color w:val="FF0000"/>
          <w:sz w:val="22"/>
          <w:szCs w:val="22"/>
          <w:lang w:val="ro-RO"/>
        </w:rPr>
      </w:r>
    </w:p>
    <w:p>
      <w:pPr>
        <w:pStyle w:val="Normal"/>
        <w:widowControl/>
        <w:bidi w:val="0"/>
        <w:ind w:left="227" w:right="0" w:hanging="0"/>
        <w:jc w:val="both"/>
        <w:textAlignment w:val="auto"/>
        <w:rPr>
          <w:lang w:val="ro-RO"/>
        </w:rPr>
      </w:pPr>
      <w:r>
        <w:rPr>
          <w:bCs/>
          <w:color w:val="FF0000"/>
          <w:sz w:val="22"/>
          <w:szCs w:val="22"/>
          <w:lang w:val="ro-RO"/>
        </w:rPr>
        <w:tab/>
      </w:r>
    </w:p>
    <w:p>
      <w:pPr>
        <w:pStyle w:val="Normal"/>
        <w:widowControl/>
        <w:bidi w:val="0"/>
        <w:ind w:left="0" w:right="0" w:hanging="0"/>
        <w:jc w:val="both"/>
        <w:textAlignment w:val="auto"/>
        <w:rPr>
          <w:rFonts w:ascii="Times New Roman" w:hAnsi="Times New Roman"/>
          <w:b/>
          <w:b/>
          <w:sz w:val="26"/>
          <w:szCs w:val="26"/>
          <w:lang w:val="ro-RO"/>
        </w:rPr>
      </w:pPr>
      <w:r>
        <w:rPr>
          <w:b/>
          <w:sz w:val="26"/>
          <w:szCs w:val="26"/>
          <w:lang w:val="ro-RO"/>
        </w:rPr>
      </w:r>
    </w:p>
    <w:p>
      <w:pPr>
        <w:pStyle w:val="Normal"/>
        <w:widowControl/>
        <w:bidi w:val="0"/>
        <w:ind w:left="0" w:right="0" w:hanging="0"/>
        <w:jc w:val="both"/>
        <w:textAlignment w:val="auto"/>
        <w:rPr>
          <w:rFonts w:ascii="Times New Roman" w:hAnsi="Times New Roman"/>
          <w:b/>
          <w:b/>
          <w:bCs/>
          <w:i/>
          <w:i/>
          <w:lang w:val="ro-MD"/>
        </w:rPr>
      </w:pPr>
      <w:r>
        <w:rPr>
          <w:b/>
          <w:bCs/>
          <w:i/>
          <w:lang w:val="ro-MD"/>
        </w:rPr>
      </w:r>
    </w:p>
    <w:p>
      <w:pPr>
        <w:pStyle w:val="1"/>
        <w:keepNext/>
        <w:widowControl/>
        <w:numPr>
          <w:ilvl w:val="0"/>
          <w:numId w:val="0"/>
        </w:numPr>
        <w:bidi w:val="0"/>
        <w:spacing w:before="240" w:after="60"/>
        <w:ind w:left="0" w:right="0" w:hanging="0"/>
        <w:jc w:val="left"/>
        <w:textAlignment w:val="auto"/>
        <w:outlineLvl w:val="0"/>
        <w:rPr>
          <w:b w:val="false"/>
          <w:b w:val="false"/>
          <w:lang w:val="ro-MD"/>
        </w:rPr>
      </w:pPr>
      <w:bookmarkStart w:id="409" w:name="_Toc469652035"/>
      <w:bookmarkEnd w:id="409"/>
      <w:r>
        <w:rPr>
          <w:rFonts w:cs="Times New Roman" w:ascii="Times New Roman" w:hAnsi="Times New Roman"/>
          <w:b w:val="false"/>
          <w:lang w:val="ro-MD"/>
        </w:rPr>
        <w:t>Anexe (f3.xls, f2.xls)</w:t>
      </w:r>
    </w:p>
    <w:p>
      <w:pPr>
        <w:pStyle w:val="Normal"/>
        <w:widowControl/>
        <w:bidi w:val="0"/>
        <w:ind w:left="0" w:right="0" w:hanging="0"/>
        <w:jc w:val="both"/>
        <w:textAlignment w:val="auto"/>
        <w:rPr>
          <w:rFonts w:ascii="Times New Roman" w:hAnsi="Times New Roman"/>
          <w:lang w:val="ro-MD"/>
        </w:rPr>
      </w:pPr>
      <w:r>
        <w:rPr>
          <w:lang w:val="ro-MD"/>
        </w:rPr>
      </w:r>
    </w:p>
    <w:p>
      <w:pPr>
        <w:pStyle w:val="2"/>
        <w:keepNext/>
        <w:widowControl/>
        <w:numPr>
          <w:ilvl w:val="0"/>
          <w:numId w:val="0"/>
        </w:numPr>
        <w:bidi w:val="0"/>
        <w:ind w:left="0" w:right="0" w:hanging="0"/>
        <w:jc w:val="left"/>
        <w:textAlignment w:val="auto"/>
        <w:outlineLvl w:val="1"/>
        <w:rPr/>
      </w:pPr>
      <w:bookmarkStart w:id="410" w:name="_Toc311818472"/>
      <w:bookmarkStart w:id="411" w:name="_Toc469652036"/>
      <w:bookmarkStart w:id="412" w:name="_Toc375219617"/>
      <w:bookmarkStart w:id="413" w:name="_Toc311820815"/>
      <w:bookmarkStart w:id="414" w:name="_Toc311820491"/>
      <w:bookmarkStart w:id="415" w:name="_Toc311820011"/>
      <w:bookmarkStart w:id="416" w:name="_Toc311819742"/>
      <w:bookmarkStart w:id="417" w:name="_Toc311818804"/>
      <w:r>
        <w:rPr>
          <w:rFonts w:cs="Times New Roman CE" w:ascii="Times New Roman CE" w:hAnsi="Times New Roman CE"/>
          <w:i/>
          <w:sz w:val="26"/>
          <w:szCs w:val="26"/>
        </w:rPr>
        <w:t>Anexa I. Forma indicatorilor de activitate a Institutului de Matematică şi Informa</w:t>
      </w:r>
      <w:r>
        <w:rPr>
          <w:i/>
          <w:sz w:val="26"/>
          <w:szCs w:val="26"/>
        </w:rPr>
        <w:t>tic</w:t>
      </w:r>
      <w:bookmarkEnd w:id="410"/>
      <w:bookmarkEnd w:id="411"/>
      <w:bookmarkEnd w:id="412"/>
      <w:bookmarkEnd w:id="413"/>
      <w:bookmarkEnd w:id="414"/>
      <w:bookmarkEnd w:id="415"/>
      <w:bookmarkEnd w:id="416"/>
      <w:bookmarkEnd w:id="417"/>
      <w:r>
        <w:rPr>
          <w:rFonts w:cs="Times New Roman CE" w:ascii="Times New Roman CE" w:hAnsi="Times New Roman CE"/>
          <w:i/>
          <w:sz w:val="26"/>
          <w:lang w:val="it-IT" w:eastAsia="ru-RU"/>
        </w:rPr>
        <w:t>ă</w:t>
      </w:r>
    </w:p>
    <w:tbl>
      <w:tblPr>
        <w:tblW w:w="9827" w:type="dxa"/>
        <w:jc w:val="left"/>
        <w:tblInd w:w="-109" w:type="dxa"/>
        <w:tblBorders/>
        <w:tblCellMar>
          <w:top w:w="0" w:type="dxa"/>
          <w:left w:w="108" w:type="dxa"/>
          <w:bottom w:w="0" w:type="dxa"/>
          <w:right w:w="108" w:type="dxa"/>
        </w:tblCellMar>
      </w:tblPr>
      <w:tblGrid>
        <w:gridCol w:w="1100"/>
        <w:gridCol w:w="3287"/>
        <w:gridCol w:w="5440"/>
      </w:tblGrid>
      <w:tr>
        <w:trPr>
          <w:trHeight w:val="174" w:hRule="atLeast"/>
        </w:trPr>
        <w:tc>
          <w:tcPr>
            <w:tcW w:w="9827" w:type="dxa"/>
            <w:gridSpan w:val="3"/>
            <w:tcBorders/>
            <w:shd w:fill="auto" w:val="clear"/>
            <w:vAlign w:val="bottom"/>
          </w:tcPr>
          <w:p>
            <w:pPr>
              <w:pStyle w:val="Normal"/>
              <w:widowControl/>
              <w:bidi w:val="0"/>
              <w:ind w:left="0" w:right="0" w:hanging="0"/>
              <w:jc w:val="center"/>
              <w:textAlignment w:val="auto"/>
              <w:rPr>
                <w:lang w:val="fr-FR"/>
              </w:rPr>
            </w:pPr>
            <w:bookmarkStart w:id="418" w:name="RANGE!A6:C34"/>
            <w:bookmarkStart w:id="419" w:name="RANGE!A6"/>
            <w:bookmarkStart w:id="420" w:name="RANGE!A6:C34"/>
            <w:bookmarkStart w:id="421" w:name="RANGE!A6"/>
            <w:bookmarkEnd w:id="420"/>
            <w:bookmarkEnd w:id="421"/>
            <w:r>
              <w:rPr>
                <w:lang w:val="fr-FR"/>
              </w:rPr>
            </w:r>
          </w:p>
          <w:p>
            <w:pPr>
              <w:pStyle w:val="Normal"/>
              <w:widowControl/>
              <w:bidi w:val="0"/>
              <w:ind w:left="0" w:right="0" w:hanging="0"/>
              <w:jc w:val="center"/>
              <w:textAlignment w:val="auto"/>
              <w:rPr/>
            </w:pPr>
            <w:r>
              <w:rPr>
                <w:b/>
                <w:bCs/>
                <w:sz w:val="22"/>
                <w:szCs w:val="22"/>
              </w:rPr>
              <w:t>1. DATE GENERALE</w:t>
            </w:r>
          </w:p>
        </w:tc>
      </w:tr>
      <w:tr>
        <w:trPr>
          <w:trHeight w:val="184" w:hRule="atLeast"/>
        </w:trPr>
        <w:tc>
          <w:tcPr>
            <w:tcW w:w="1100" w:type="dxa"/>
            <w:tcBorders/>
            <w:shd w:fill="auto" w:val="clear"/>
            <w:vAlign w:val="bottom"/>
          </w:tcPr>
          <w:p>
            <w:pPr>
              <w:pStyle w:val="Normal"/>
              <w:widowControl/>
              <w:bidi w:val="0"/>
              <w:ind w:left="0" w:right="0" w:hanging="0"/>
              <w:jc w:val="center"/>
              <w:textAlignment w:val="auto"/>
              <w:rPr>
                <w:rFonts w:ascii="Times New Roman" w:hAnsi="Times New Roman"/>
                <w:b/>
                <w:b/>
                <w:bCs/>
                <w:sz w:val="22"/>
                <w:szCs w:val="22"/>
              </w:rPr>
            </w:pPr>
            <w:r>
              <w:rPr>
                <w:b/>
                <w:bCs/>
                <w:sz w:val="22"/>
                <w:szCs w:val="22"/>
              </w:rPr>
            </w:r>
          </w:p>
        </w:tc>
        <w:tc>
          <w:tcPr>
            <w:tcW w:w="3287" w:type="dxa"/>
            <w:tcBorders/>
            <w:shd w:fill="auto" w:val="clear"/>
            <w:vAlign w:val="bottom"/>
          </w:tcPr>
          <w:p>
            <w:pPr>
              <w:pStyle w:val="Normal"/>
              <w:widowControl/>
              <w:bidi w:val="0"/>
              <w:ind w:left="0" w:right="0" w:hanging="0"/>
              <w:jc w:val="center"/>
              <w:textAlignment w:val="auto"/>
              <w:rPr>
                <w:rFonts w:ascii="Times New Roman" w:hAnsi="Times New Roman"/>
                <w:b/>
                <w:b/>
                <w:bCs/>
                <w:sz w:val="22"/>
                <w:szCs w:val="22"/>
              </w:rPr>
            </w:pPr>
            <w:r>
              <w:rPr>
                <w:b/>
                <w:bCs/>
                <w:sz w:val="22"/>
                <w:szCs w:val="22"/>
              </w:rPr>
            </w:r>
          </w:p>
        </w:tc>
        <w:tc>
          <w:tcPr>
            <w:tcW w:w="5440" w:type="dxa"/>
            <w:tcBorders/>
            <w:shd w:fill="auto" w:val="clear"/>
            <w:vAlign w:val="bottom"/>
          </w:tcPr>
          <w:p>
            <w:pPr>
              <w:pStyle w:val="Normal"/>
              <w:widowControl/>
              <w:bidi w:val="0"/>
              <w:ind w:left="0" w:right="0" w:hanging="0"/>
              <w:jc w:val="center"/>
              <w:textAlignment w:val="auto"/>
              <w:rPr>
                <w:rFonts w:ascii="Times New Roman" w:hAnsi="Times New Roman"/>
                <w:b/>
                <w:b/>
                <w:bCs/>
                <w:sz w:val="22"/>
                <w:szCs w:val="22"/>
              </w:rPr>
            </w:pPr>
            <w:r>
              <w:rPr>
                <w:b/>
                <w:bCs/>
                <w:sz w:val="22"/>
                <w:szCs w:val="22"/>
              </w:rPr>
            </w:r>
          </w:p>
        </w:tc>
      </w:tr>
      <w:tr>
        <w:trPr>
          <w:trHeight w:val="184" w:hRule="atLeast"/>
        </w:trPr>
        <w:tc>
          <w:tcPr>
            <w:tcW w:w="110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pPr>
            <w:r>
              <w:rPr>
                <w:b/>
                <w:bCs/>
                <w:sz w:val="22"/>
                <w:szCs w:val="22"/>
              </w:rPr>
              <w:t>1.1.</w:t>
            </w:r>
          </w:p>
        </w:tc>
        <w:tc>
          <w:tcPr>
            <w:tcW w:w="3287" w:type="dxa"/>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b/>
                <w:bCs/>
                <w:sz w:val="22"/>
                <w:szCs w:val="22"/>
              </w:rPr>
              <w:t>Denumirea</w:t>
            </w:r>
          </w:p>
        </w:tc>
        <w:tc>
          <w:tcPr>
            <w:tcW w:w="5440" w:type="dxa"/>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2"/>
                <w:szCs w:val="22"/>
                <w:lang w:val="fr-FR"/>
              </w:rPr>
              <w:t>Institutul de Matematică şi Informatică</w:t>
            </w:r>
          </w:p>
        </w:tc>
      </w:tr>
      <w:tr>
        <w:trPr>
          <w:trHeight w:val="184" w:hRule="atLeast"/>
        </w:trPr>
        <w:tc>
          <w:tcPr>
            <w:tcW w:w="110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pPr>
            <w:r>
              <w:rPr>
                <w:b/>
                <w:bCs/>
                <w:sz w:val="22"/>
                <w:szCs w:val="22"/>
              </w:rPr>
              <w:t>1.2.</w:t>
            </w:r>
          </w:p>
        </w:tc>
        <w:tc>
          <w:tcPr>
            <w:tcW w:w="328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rFonts w:cs="Times New Roman CE" w:ascii="Times New Roman CE" w:hAnsi="Times New Roman CE"/>
                <w:b/>
                <w:bCs/>
                <w:sz w:val="22"/>
                <w:szCs w:val="22"/>
              </w:rPr>
              <w:t>Tipul organizaţiei</w:t>
            </w:r>
          </w:p>
        </w:tc>
        <w:tc>
          <w:tcPr>
            <w:tcW w:w="544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rFonts w:cs="Times New Roman CE" w:ascii="Times New Roman CE" w:hAnsi="Times New Roman CE"/>
                <w:sz w:val="22"/>
                <w:szCs w:val="22"/>
              </w:rPr>
              <w:t>Membru instituţional</w:t>
            </w:r>
          </w:p>
        </w:tc>
      </w:tr>
      <w:tr>
        <w:trPr>
          <w:trHeight w:val="511" w:hRule="atLeast"/>
        </w:trPr>
        <w:tc>
          <w:tcPr>
            <w:tcW w:w="110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pPr>
            <w:r>
              <w:rPr>
                <w:b/>
                <w:bCs/>
                <w:sz w:val="22"/>
                <w:szCs w:val="22"/>
              </w:rPr>
              <w:t>1.3.</w:t>
            </w:r>
          </w:p>
        </w:tc>
        <w:tc>
          <w:tcPr>
            <w:tcW w:w="3287"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2"/>
                <w:szCs w:val="22"/>
              </w:rPr>
              <w:t>Profiluri acreditate:</w:t>
            </w:r>
          </w:p>
        </w:tc>
        <w:tc>
          <w:tcPr>
            <w:tcW w:w="5440"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bCs/>
                <w:sz w:val="22"/>
                <w:szCs w:val="22"/>
                <w:lang w:val="en-US"/>
              </w:rPr>
              <w:t>Matematică şi  Informatică</w:t>
            </w:r>
            <w:r>
              <w:rPr>
                <w:bCs/>
                <w:sz w:val="22"/>
                <w:szCs w:val="22"/>
                <w:lang w:val="en-US"/>
              </w:rPr>
              <w:t xml:space="preserve">                                                                                                       </w:t>
            </w:r>
          </w:p>
        </w:tc>
      </w:tr>
      <w:tr>
        <w:trPr>
          <w:trHeight w:val="184" w:hRule="atLeast"/>
        </w:trPr>
        <w:tc>
          <w:tcPr>
            <w:tcW w:w="1100" w:type="dxa"/>
            <w:tcBorders>
              <w:left w:val="single" w:sz="8" w:space="0" w:color="000001"/>
              <w:bottom w:val="single" w:sz="8" w:space="0" w:color="000001"/>
              <w:right w:val="single" w:sz="8" w:space="0" w:color="000001"/>
              <w:insideH w:val="single" w:sz="8" w:space="0" w:color="000001"/>
              <w:insideV w:val="single" w:sz="8" w:space="0" w:color="000001"/>
            </w:tcBorders>
            <w:shd w:color="auto" w:fill="CCFFCC"/>
            <w:tcMar>
              <w:left w:w="98" w:type="dxa"/>
            </w:tcMar>
          </w:tcPr>
          <w:p>
            <w:pPr>
              <w:pStyle w:val="Normal"/>
              <w:widowControl/>
              <w:bidi w:val="0"/>
              <w:ind w:left="0" w:right="0" w:hanging="0"/>
              <w:jc w:val="left"/>
              <w:textAlignment w:val="auto"/>
              <w:rPr>
                <w:lang w:val="en-US"/>
              </w:rPr>
            </w:pPr>
            <w:r>
              <w:rPr>
                <w:b/>
                <w:bCs/>
                <w:sz w:val="22"/>
                <w:szCs w:val="22"/>
                <w:lang w:val="en-US"/>
              </w:rPr>
              <w:t>1.4.</w:t>
            </w:r>
          </w:p>
        </w:tc>
        <w:tc>
          <w:tcPr>
            <w:tcW w:w="8727" w:type="dxa"/>
            <w:gridSpan w:val="2"/>
            <w:tcBorders>
              <w:top w:val="single" w:sz="8" w:space="0" w:color="000001"/>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lang w:val="en-US"/>
              </w:rPr>
            </w:pPr>
            <w:r>
              <w:rPr>
                <w:rFonts w:cs="Times New Roman CE" w:ascii="Times New Roman CE" w:hAnsi="Times New Roman CE"/>
                <w:b/>
                <w:bCs/>
                <w:sz w:val="22"/>
                <w:szCs w:val="22"/>
                <w:lang w:val="en-US"/>
              </w:rPr>
              <w:t>Direcţiile ştiinţifice (conform statutului organizaţiei):</w:t>
            </w:r>
          </w:p>
        </w:tc>
      </w:tr>
      <w:tr>
        <w:trPr>
          <w:trHeight w:val="583" w:hRule="atLeast"/>
        </w:trPr>
        <w:tc>
          <w:tcPr>
            <w:tcW w:w="1100" w:type="dxa"/>
            <w:tcBorders>
              <w:left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2"/>
                <w:szCs w:val="22"/>
                <w:lang w:val="en-US"/>
              </w:rPr>
              <w:t> </w:t>
            </w:r>
          </w:p>
        </w:tc>
        <w:tc>
          <w:tcPr>
            <w:tcW w:w="8727"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rFonts w:cs="Times New Roman CE" w:ascii="Times New Roman CE" w:hAnsi="Times New Roman CE"/>
                <w:bCs/>
                <w:sz w:val="22"/>
                <w:szCs w:val="22"/>
                <w:lang w:val="en-US"/>
              </w:rPr>
              <w:t xml:space="preserve">a) Cercetări fundamentale în algebră, logica matematică, geometrie, topologie şi ecuaţii diferenţiale                                                                                                                                                                                b) probleme actuale ale matematicii aplicate, modelarea matematică şi optimizarea                                                        </w:t>
            </w:r>
            <w:r>
              <w:rPr>
                <w:bCs/>
                <w:sz w:val="22"/>
                <w:szCs w:val="22"/>
                <w:lang w:val="en-US"/>
              </w:rPr>
              <w:t xml:space="preserve">                                                                                                                                                                                                                                                        c) infor</w:t>
            </w:r>
            <w:r>
              <w:rPr>
                <w:rFonts w:cs="Times New Roman CE" w:ascii="Times New Roman CE" w:hAnsi="Times New Roman CE"/>
                <w:bCs/>
                <w:sz w:val="22"/>
                <w:szCs w:val="22"/>
                <w:lang w:val="en-US"/>
              </w:rPr>
              <w:t>matică, tehnologii informaţionale</w:t>
            </w:r>
          </w:p>
        </w:tc>
      </w:tr>
      <w:tr>
        <w:trPr>
          <w:trHeight w:val="184" w:hRule="atLeast"/>
        </w:trPr>
        <w:tc>
          <w:tcPr>
            <w:tcW w:w="110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pPr>
            <w:r>
              <w:rPr>
                <w:b/>
                <w:bCs/>
                <w:sz w:val="22"/>
                <w:szCs w:val="22"/>
              </w:rPr>
              <w:t>1.5.</w:t>
            </w:r>
          </w:p>
        </w:tc>
        <w:tc>
          <w:tcPr>
            <w:tcW w:w="328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rFonts w:cs="Times New Roman CE" w:ascii="Times New Roman CE" w:hAnsi="Times New Roman CE"/>
                <w:b/>
                <w:bCs/>
                <w:sz w:val="22"/>
                <w:szCs w:val="22"/>
              </w:rPr>
              <w:t>Anul creării</w:t>
            </w:r>
          </w:p>
        </w:tc>
        <w:tc>
          <w:tcPr>
            <w:tcW w:w="544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sz w:val="22"/>
                <w:szCs w:val="22"/>
              </w:rPr>
              <w:t> </w:t>
            </w:r>
            <w:r>
              <w:rPr>
                <w:sz w:val="22"/>
                <w:szCs w:val="22"/>
                <w:lang w:val="ro-RO"/>
              </w:rPr>
              <w:t>1964</w:t>
            </w:r>
          </w:p>
        </w:tc>
      </w:tr>
      <w:tr>
        <w:trPr>
          <w:trHeight w:val="184" w:hRule="atLeast"/>
        </w:trPr>
        <w:tc>
          <w:tcPr>
            <w:tcW w:w="1100" w:type="dxa"/>
            <w:tcBorders>
              <w:left w:val="single" w:sz="8" w:space="0" w:color="000001"/>
              <w:bottom w:val="single" w:sz="8" w:space="0" w:color="000001"/>
              <w:right w:val="single" w:sz="8" w:space="0" w:color="000001"/>
              <w:insideH w:val="single" w:sz="8" w:space="0" w:color="000001"/>
              <w:insideV w:val="single" w:sz="8" w:space="0" w:color="000001"/>
            </w:tcBorders>
            <w:shd w:color="auto" w:fill="CCFFCC"/>
            <w:tcMar>
              <w:left w:w="98" w:type="dxa"/>
            </w:tcMar>
            <w:vAlign w:val="bottom"/>
          </w:tcPr>
          <w:p>
            <w:pPr>
              <w:pStyle w:val="Normal"/>
              <w:widowControl/>
              <w:bidi w:val="0"/>
              <w:ind w:left="0" w:right="0" w:hanging="0"/>
              <w:jc w:val="left"/>
              <w:textAlignment w:val="auto"/>
              <w:rPr/>
            </w:pPr>
            <w:r>
              <w:rPr>
                <w:b/>
                <w:bCs/>
                <w:sz w:val="22"/>
                <w:szCs w:val="22"/>
              </w:rPr>
              <w:t>1.6.</w:t>
            </w:r>
          </w:p>
        </w:tc>
        <w:tc>
          <w:tcPr>
            <w:tcW w:w="8727" w:type="dxa"/>
            <w:gridSpan w:val="2"/>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pPr>
            <w:r>
              <w:rPr>
                <w:rFonts w:cs="Times New Roman CE" w:ascii="Times New Roman CE" w:hAnsi="Times New Roman CE"/>
                <w:b/>
                <w:bCs/>
                <w:sz w:val="22"/>
                <w:szCs w:val="22"/>
              </w:rPr>
              <w:t>Conducătorul organizaţiei:</w:t>
            </w:r>
          </w:p>
        </w:tc>
      </w:tr>
      <w:tr>
        <w:trPr>
          <w:trHeight w:val="184" w:hRule="atLeast"/>
        </w:trPr>
        <w:tc>
          <w:tcPr>
            <w:tcW w:w="110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220"/>
              <w:jc w:val="both"/>
              <w:textAlignment w:val="auto"/>
              <w:rPr/>
            </w:pPr>
            <w:r>
              <w:rPr>
                <w:sz w:val="22"/>
                <w:szCs w:val="22"/>
              </w:rPr>
              <w:t>1.6.1.</w:t>
            </w:r>
          </w:p>
        </w:tc>
        <w:tc>
          <w:tcPr>
            <w:tcW w:w="328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20"/>
              <w:jc w:val="left"/>
              <w:textAlignment w:val="auto"/>
              <w:rPr/>
            </w:pPr>
            <w:r>
              <w:rPr>
                <w:sz w:val="22"/>
                <w:szCs w:val="22"/>
              </w:rPr>
              <w:t>Numele de familie</w:t>
            </w:r>
          </w:p>
        </w:tc>
        <w:tc>
          <w:tcPr>
            <w:tcW w:w="544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sz w:val="22"/>
                <w:szCs w:val="22"/>
              </w:rPr>
              <w:t>Cojocaru</w:t>
            </w:r>
          </w:p>
        </w:tc>
      </w:tr>
      <w:tr>
        <w:trPr>
          <w:trHeight w:val="184" w:hRule="atLeast"/>
        </w:trPr>
        <w:tc>
          <w:tcPr>
            <w:tcW w:w="110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220"/>
              <w:jc w:val="both"/>
              <w:textAlignment w:val="auto"/>
              <w:rPr/>
            </w:pPr>
            <w:r>
              <w:rPr>
                <w:sz w:val="22"/>
                <w:szCs w:val="22"/>
              </w:rPr>
              <w:t>1.6.2.</w:t>
            </w:r>
          </w:p>
        </w:tc>
        <w:tc>
          <w:tcPr>
            <w:tcW w:w="328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20"/>
              <w:jc w:val="left"/>
              <w:textAlignment w:val="auto"/>
              <w:rPr/>
            </w:pPr>
            <w:r>
              <w:rPr>
                <w:sz w:val="22"/>
                <w:szCs w:val="22"/>
              </w:rPr>
              <w:t>Prenumele</w:t>
            </w:r>
          </w:p>
        </w:tc>
        <w:tc>
          <w:tcPr>
            <w:tcW w:w="544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sz w:val="22"/>
                <w:szCs w:val="22"/>
              </w:rPr>
              <w:t>Svetlana</w:t>
            </w:r>
          </w:p>
        </w:tc>
      </w:tr>
      <w:tr>
        <w:trPr>
          <w:trHeight w:val="184" w:hRule="atLeast"/>
        </w:trPr>
        <w:tc>
          <w:tcPr>
            <w:tcW w:w="110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220"/>
              <w:jc w:val="both"/>
              <w:textAlignment w:val="auto"/>
              <w:rPr/>
            </w:pPr>
            <w:r>
              <w:rPr>
                <w:sz w:val="22"/>
                <w:szCs w:val="22"/>
              </w:rPr>
              <w:t xml:space="preserve">1.6.3. </w:t>
            </w:r>
          </w:p>
        </w:tc>
        <w:tc>
          <w:tcPr>
            <w:tcW w:w="328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20"/>
              <w:jc w:val="left"/>
              <w:textAlignment w:val="auto"/>
              <w:rPr/>
            </w:pPr>
            <w:r>
              <w:rPr>
                <w:rFonts w:cs="Times New Roman CE" w:ascii="Times New Roman CE" w:hAnsi="Times New Roman CE"/>
                <w:sz w:val="22"/>
                <w:szCs w:val="22"/>
              </w:rPr>
              <w:t>Gradul ştiinţific</w:t>
            </w:r>
          </w:p>
        </w:tc>
        <w:tc>
          <w:tcPr>
            <w:tcW w:w="544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rFonts w:cs="Times New Roman CE" w:ascii="Times New Roman CE" w:hAnsi="Times New Roman CE"/>
                <w:sz w:val="22"/>
                <w:szCs w:val="22"/>
              </w:rPr>
              <w:t xml:space="preserve">Doctor habilitat în ştiinţă </w:t>
            </w:r>
          </w:p>
        </w:tc>
      </w:tr>
      <w:tr>
        <w:trPr>
          <w:trHeight w:val="184" w:hRule="atLeast"/>
        </w:trPr>
        <w:tc>
          <w:tcPr>
            <w:tcW w:w="110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220"/>
              <w:jc w:val="both"/>
              <w:textAlignment w:val="auto"/>
              <w:rPr/>
            </w:pPr>
            <w:r>
              <w:rPr>
                <w:sz w:val="22"/>
                <w:szCs w:val="22"/>
              </w:rPr>
              <w:t xml:space="preserve">1.6.4. </w:t>
            </w:r>
          </w:p>
        </w:tc>
        <w:tc>
          <w:tcPr>
            <w:tcW w:w="328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20"/>
              <w:jc w:val="left"/>
              <w:textAlignment w:val="auto"/>
              <w:rPr/>
            </w:pPr>
            <w:r>
              <w:rPr>
                <w:rFonts w:cs="Times New Roman CE" w:ascii="Times New Roman CE" w:hAnsi="Times New Roman CE"/>
                <w:sz w:val="22"/>
                <w:szCs w:val="22"/>
              </w:rPr>
              <w:t>Titlul ştiinţific/ştiinţifico-</w:t>
            </w:r>
            <w:r>
              <w:rPr>
                <w:sz w:val="22"/>
                <w:szCs w:val="22"/>
                <w:lang w:val="ro-RO"/>
              </w:rPr>
              <w:t xml:space="preserve">  </w:t>
            </w:r>
            <w:r>
              <w:rPr>
                <w:sz w:val="22"/>
                <w:szCs w:val="22"/>
              </w:rPr>
              <w:t>didactic</w:t>
            </w:r>
          </w:p>
        </w:tc>
        <w:tc>
          <w:tcPr>
            <w:tcW w:w="544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22"/>
                <w:szCs w:val="22"/>
                <w:lang w:val="en-US"/>
              </w:rPr>
              <w:t>Profesor</w:t>
            </w:r>
            <w:r>
              <w:rPr>
                <w:rFonts w:cs="Times New Roman CE" w:ascii="Times New Roman CE" w:hAnsi="Times New Roman CE"/>
                <w:sz w:val="22"/>
                <w:szCs w:val="22"/>
              </w:rPr>
              <w:t xml:space="preserve"> cercetător</w:t>
            </w:r>
          </w:p>
        </w:tc>
      </w:tr>
      <w:tr>
        <w:trPr>
          <w:trHeight w:val="184" w:hRule="atLeast"/>
        </w:trPr>
        <w:tc>
          <w:tcPr>
            <w:tcW w:w="110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220"/>
              <w:jc w:val="both"/>
              <w:textAlignment w:val="auto"/>
              <w:rPr/>
            </w:pPr>
            <w:r>
              <w:rPr>
                <w:sz w:val="22"/>
                <w:szCs w:val="22"/>
              </w:rPr>
              <w:t>1.6.5.</w:t>
            </w:r>
          </w:p>
        </w:tc>
        <w:tc>
          <w:tcPr>
            <w:tcW w:w="328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20"/>
              <w:jc w:val="left"/>
              <w:textAlignment w:val="auto"/>
              <w:rPr/>
            </w:pPr>
            <w:r>
              <w:rPr>
                <w:sz w:val="22"/>
                <w:szCs w:val="22"/>
              </w:rPr>
              <w:t>Titlul academic</w:t>
            </w:r>
          </w:p>
        </w:tc>
        <w:tc>
          <w:tcPr>
            <w:tcW w:w="544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sz w:val="22"/>
                <w:szCs w:val="22"/>
              </w:rPr>
              <w:t> </w:t>
            </w:r>
          </w:p>
        </w:tc>
      </w:tr>
      <w:tr>
        <w:trPr>
          <w:trHeight w:val="184" w:hRule="atLeast"/>
        </w:trPr>
        <w:tc>
          <w:tcPr>
            <w:tcW w:w="110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220"/>
              <w:jc w:val="both"/>
              <w:textAlignment w:val="auto"/>
              <w:rPr/>
            </w:pPr>
            <w:r>
              <w:rPr>
                <w:sz w:val="22"/>
                <w:szCs w:val="22"/>
              </w:rPr>
              <w:t>1.6.1.</w:t>
            </w:r>
          </w:p>
        </w:tc>
        <w:tc>
          <w:tcPr>
            <w:tcW w:w="328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20"/>
              <w:jc w:val="left"/>
              <w:textAlignment w:val="auto"/>
              <w:rPr/>
            </w:pPr>
            <w:r>
              <w:rPr>
                <w:sz w:val="22"/>
                <w:szCs w:val="22"/>
              </w:rPr>
              <w:t>Telefon</w:t>
            </w:r>
          </w:p>
        </w:tc>
        <w:tc>
          <w:tcPr>
            <w:tcW w:w="544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sz w:val="22"/>
                <w:szCs w:val="22"/>
              </w:rPr>
              <w:t>72-84-14</w:t>
            </w:r>
          </w:p>
        </w:tc>
      </w:tr>
      <w:tr>
        <w:trPr>
          <w:trHeight w:val="184" w:hRule="atLeast"/>
        </w:trPr>
        <w:tc>
          <w:tcPr>
            <w:tcW w:w="110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220"/>
              <w:jc w:val="both"/>
              <w:textAlignment w:val="auto"/>
              <w:rPr/>
            </w:pPr>
            <w:r>
              <w:rPr>
                <w:sz w:val="22"/>
                <w:szCs w:val="22"/>
              </w:rPr>
              <w:t>1.7.2.</w:t>
            </w:r>
          </w:p>
        </w:tc>
        <w:tc>
          <w:tcPr>
            <w:tcW w:w="328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20"/>
              <w:jc w:val="left"/>
              <w:textAlignment w:val="auto"/>
              <w:rPr/>
            </w:pPr>
            <w:r>
              <w:rPr>
                <w:sz w:val="22"/>
                <w:szCs w:val="22"/>
              </w:rPr>
              <w:t>Fax</w:t>
            </w:r>
          </w:p>
        </w:tc>
        <w:tc>
          <w:tcPr>
            <w:tcW w:w="544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sz w:val="22"/>
                <w:szCs w:val="22"/>
              </w:rPr>
              <w:t>73-80-27</w:t>
            </w:r>
          </w:p>
        </w:tc>
      </w:tr>
      <w:tr>
        <w:trPr>
          <w:trHeight w:val="184" w:hRule="atLeast"/>
        </w:trPr>
        <w:tc>
          <w:tcPr>
            <w:tcW w:w="110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220"/>
              <w:jc w:val="both"/>
              <w:textAlignment w:val="auto"/>
              <w:rPr/>
            </w:pPr>
            <w:r>
              <w:rPr>
                <w:sz w:val="22"/>
                <w:szCs w:val="22"/>
              </w:rPr>
              <w:t>1.7.3.</w:t>
            </w:r>
          </w:p>
        </w:tc>
        <w:tc>
          <w:tcPr>
            <w:tcW w:w="328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20"/>
              <w:jc w:val="left"/>
              <w:textAlignment w:val="auto"/>
              <w:rPr/>
            </w:pPr>
            <w:r>
              <w:rPr>
                <w:sz w:val="22"/>
                <w:szCs w:val="22"/>
              </w:rPr>
              <w:t xml:space="preserve">E-mail </w:t>
            </w:r>
          </w:p>
        </w:tc>
        <w:tc>
          <w:tcPr>
            <w:tcW w:w="544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hyperlink r:id="rId105">
              <w:r>
                <w:rPr>
                  <w:webHidden/>
                  <w:rStyle w:val="Style5"/>
                  <w:color w:val="0000FF"/>
                  <w:sz w:val="22"/>
                  <w:szCs w:val="22"/>
                  <w:u w:val="single"/>
                </w:rPr>
                <w:t>Svetlana.Cojocaru@math.md</w:t>
              </w:r>
            </w:hyperlink>
          </w:p>
        </w:tc>
      </w:tr>
      <w:tr>
        <w:trPr>
          <w:trHeight w:val="184" w:hRule="atLeast"/>
        </w:trPr>
        <w:tc>
          <w:tcPr>
            <w:tcW w:w="110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220"/>
              <w:jc w:val="both"/>
              <w:textAlignment w:val="auto"/>
              <w:rPr/>
            </w:pPr>
            <w:r>
              <w:rPr>
                <w:sz w:val="22"/>
                <w:szCs w:val="22"/>
              </w:rPr>
              <w:t>1.7.4.</w:t>
            </w:r>
          </w:p>
        </w:tc>
        <w:tc>
          <w:tcPr>
            <w:tcW w:w="328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20"/>
              <w:jc w:val="left"/>
              <w:textAlignment w:val="auto"/>
              <w:rPr/>
            </w:pPr>
            <w:r>
              <w:rPr>
                <w:sz w:val="22"/>
                <w:szCs w:val="22"/>
              </w:rPr>
              <w:t>Pagina WEB a subdiviziunii</w:t>
            </w:r>
          </w:p>
        </w:tc>
        <w:tc>
          <w:tcPr>
            <w:tcW w:w="544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hyperlink r:id="rId106">
              <w:r>
                <w:rPr>
                  <w:webHidden/>
                  <w:rStyle w:val="Style5"/>
                  <w:color w:val="0000FF"/>
                  <w:sz w:val="22"/>
                  <w:szCs w:val="22"/>
                  <w:u w:val="single"/>
                </w:rPr>
                <w:t>www.math.md</w:t>
              </w:r>
            </w:hyperlink>
          </w:p>
        </w:tc>
      </w:tr>
      <w:tr>
        <w:trPr>
          <w:trHeight w:val="184" w:hRule="atLeast"/>
        </w:trPr>
        <w:tc>
          <w:tcPr>
            <w:tcW w:w="1100" w:type="dxa"/>
            <w:tcBorders>
              <w:left w:val="single" w:sz="8" w:space="0" w:color="000001"/>
              <w:right w:val="single" w:sz="8" w:space="0" w:color="000001"/>
              <w:insideV w:val="single" w:sz="8" w:space="0" w:color="000001"/>
            </w:tcBorders>
            <w:shd w:color="auto" w:fill="CCFFCC"/>
            <w:tcMar>
              <w:left w:w="98" w:type="dxa"/>
            </w:tcMar>
            <w:vAlign w:val="bottom"/>
          </w:tcPr>
          <w:p>
            <w:pPr>
              <w:pStyle w:val="Normal"/>
              <w:widowControl/>
              <w:bidi w:val="0"/>
              <w:ind w:left="0" w:right="0" w:hanging="0"/>
              <w:jc w:val="left"/>
              <w:textAlignment w:val="auto"/>
              <w:rPr/>
            </w:pPr>
            <w:r>
              <w:rPr>
                <w:b/>
                <w:bCs/>
                <w:sz w:val="22"/>
                <w:szCs w:val="22"/>
              </w:rPr>
              <w:t>1.8.</w:t>
            </w:r>
          </w:p>
        </w:tc>
        <w:tc>
          <w:tcPr>
            <w:tcW w:w="8727" w:type="dxa"/>
            <w:gridSpan w:val="2"/>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lang w:val="fr-FR"/>
              </w:rPr>
            </w:pPr>
            <w:r>
              <w:rPr>
                <w:rFonts w:cs="Times New Roman CE" w:ascii="Times New Roman CE" w:hAnsi="Times New Roman CE"/>
                <w:b/>
                <w:bCs/>
                <w:sz w:val="22"/>
                <w:szCs w:val="22"/>
                <w:lang w:val="fr-FR"/>
              </w:rPr>
              <w:t>Persoana responsabilă de completarea formularului:</w:t>
            </w:r>
          </w:p>
        </w:tc>
      </w:tr>
      <w:tr>
        <w:trPr>
          <w:trHeight w:val="184" w:hRule="atLeast"/>
        </w:trPr>
        <w:tc>
          <w:tcPr>
            <w:tcW w:w="1100" w:type="dxa"/>
            <w:tcBorders>
              <w:top w:val="single" w:sz="8" w:space="0" w:color="000001"/>
              <w:left w:val="single" w:sz="8" w:space="0" w:color="000001"/>
              <w:right w:val="single" w:sz="8" w:space="0" w:color="000001"/>
              <w:insideV w:val="single" w:sz="8" w:space="0" w:color="000001"/>
            </w:tcBorders>
            <w:shd w:fill="auto" w:val="clear"/>
            <w:tcMar>
              <w:left w:w="98" w:type="dxa"/>
            </w:tcMar>
            <w:vAlign w:val="bottom"/>
          </w:tcPr>
          <w:p>
            <w:pPr>
              <w:pStyle w:val="Normal"/>
              <w:widowControl/>
              <w:bidi w:val="0"/>
              <w:ind w:left="0" w:right="0" w:firstLine="220"/>
              <w:jc w:val="left"/>
              <w:textAlignment w:val="auto"/>
              <w:rPr/>
            </w:pPr>
            <w:r>
              <w:rPr>
                <w:sz w:val="22"/>
                <w:szCs w:val="22"/>
              </w:rPr>
              <w:t>1.8.1.</w:t>
            </w:r>
          </w:p>
        </w:tc>
        <w:tc>
          <w:tcPr>
            <w:tcW w:w="328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20"/>
              <w:jc w:val="left"/>
              <w:textAlignment w:val="auto"/>
              <w:rPr/>
            </w:pPr>
            <w:r>
              <w:rPr>
                <w:sz w:val="22"/>
                <w:szCs w:val="22"/>
              </w:rPr>
              <w:t xml:space="preserve">Numele, prenumele </w:t>
            </w:r>
          </w:p>
        </w:tc>
        <w:tc>
          <w:tcPr>
            <w:tcW w:w="544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sz w:val="22"/>
                <w:szCs w:val="22"/>
              </w:rPr>
              <w:t>Naval Elvira</w:t>
            </w:r>
          </w:p>
        </w:tc>
      </w:tr>
      <w:tr>
        <w:trPr>
          <w:trHeight w:val="184" w:hRule="atLeast"/>
        </w:trPr>
        <w:tc>
          <w:tcPr>
            <w:tcW w:w="110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220"/>
              <w:jc w:val="left"/>
              <w:textAlignment w:val="auto"/>
              <w:rPr/>
            </w:pPr>
            <w:r>
              <w:rPr>
                <w:sz w:val="22"/>
                <w:szCs w:val="22"/>
              </w:rPr>
              <w:t>1.8.2.</w:t>
            </w:r>
          </w:p>
        </w:tc>
        <w:tc>
          <w:tcPr>
            <w:tcW w:w="328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20"/>
              <w:jc w:val="left"/>
              <w:textAlignment w:val="auto"/>
              <w:rPr/>
            </w:pPr>
            <w:r>
              <w:rPr>
                <w:sz w:val="22"/>
                <w:szCs w:val="22"/>
              </w:rPr>
              <w:t xml:space="preserve">Telefon </w:t>
            </w:r>
          </w:p>
        </w:tc>
        <w:tc>
          <w:tcPr>
            <w:tcW w:w="544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sz w:val="22"/>
                <w:szCs w:val="22"/>
              </w:rPr>
              <w:t>73-80-41</w:t>
            </w:r>
          </w:p>
        </w:tc>
      </w:tr>
      <w:tr>
        <w:trPr>
          <w:trHeight w:val="205" w:hRule="atLeast"/>
        </w:trPr>
        <w:tc>
          <w:tcPr>
            <w:tcW w:w="110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220"/>
              <w:jc w:val="left"/>
              <w:textAlignment w:val="auto"/>
              <w:rPr/>
            </w:pPr>
            <w:r>
              <w:rPr>
                <w:sz w:val="22"/>
                <w:szCs w:val="22"/>
              </w:rPr>
              <w:t>1.8.3.</w:t>
            </w:r>
          </w:p>
        </w:tc>
        <w:tc>
          <w:tcPr>
            <w:tcW w:w="328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20"/>
              <w:jc w:val="left"/>
              <w:textAlignment w:val="auto"/>
              <w:rPr/>
            </w:pPr>
            <w:r>
              <w:rPr>
                <w:sz w:val="22"/>
                <w:szCs w:val="22"/>
              </w:rPr>
              <w:t xml:space="preserve">E-mail </w:t>
            </w:r>
          </w:p>
        </w:tc>
        <w:tc>
          <w:tcPr>
            <w:tcW w:w="544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sz w:val="22"/>
                <w:szCs w:val="22"/>
                <w:lang w:val="fr-FR"/>
              </w:rPr>
              <w:t>Elvira</w:t>
            </w:r>
            <w:r>
              <w:rPr>
                <w:sz w:val="22"/>
                <w:szCs w:val="22"/>
                <w:lang w:val="ro-RO"/>
              </w:rPr>
              <w:t>.naval</w:t>
            </w:r>
            <w:r>
              <w:rPr>
                <w:sz w:val="22"/>
                <w:szCs w:val="22"/>
              </w:rPr>
              <w:t>@</w:t>
            </w:r>
            <w:r>
              <w:rPr>
                <w:sz w:val="22"/>
                <w:szCs w:val="22"/>
                <w:lang w:val="fr-FR"/>
              </w:rPr>
              <w:t>math</w:t>
            </w:r>
            <w:r>
              <w:rPr>
                <w:sz w:val="22"/>
                <w:szCs w:val="22"/>
              </w:rPr>
              <w:t>.</w:t>
            </w:r>
            <w:r>
              <w:rPr>
                <w:sz w:val="22"/>
                <w:szCs w:val="22"/>
                <w:lang w:val="fr-FR"/>
              </w:rPr>
              <w:t>md</w:t>
            </w:r>
            <w:r>
              <w:rPr>
                <w:sz w:val="22"/>
                <w:szCs w:val="22"/>
              </w:rPr>
              <w:t xml:space="preserve">; </w:t>
            </w:r>
            <w:r>
              <w:rPr>
                <w:sz w:val="22"/>
                <w:szCs w:val="22"/>
                <w:lang w:val="fr-FR"/>
              </w:rPr>
              <w:t>elvira</w:t>
            </w:r>
            <w:r>
              <w:rPr>
                <w:sz w:val="22"/>
                <w:szCs w:val="22"/>
              </w:rPr>
              <w:t>.</w:t>
            </w:r>
            <w:r>
              <w:rPr>
                <w:sz w:val="22"/>
                <w:szCs w:val="22"/>
                <w:lang w:val="fr-FR"/>
              </w:rPr>
              <w:t>naval</w:t>
            </w:r>
            <w:r>
              <w:rPr>
                <w:sz w:val="22"/>
                <w:szCs w:val="22"/>
              </w:rPr>
              <w:t>@</w:t>
            </w:r>
            <w:r>
              <w:rPr>
                <w:sz w:val="22"/>
                <w:szCs w:val="22"/>
                <w:lang w:val="fr-FR"/>
              </w:rPr>
              <w:t>gmail</w:t>
            </w:r>
            <w:r>
              <w:rPr>
                <w:sz w:val="22"/>
                <w:szCs w:val="22"/>
              </w:rPr>
              <w:t>.</w:t>
            </w:r>
            <w:r>
              <w:rPr>
                <w:sz w:val="22"/>
                <w:szCs w:val="22"/>
                <w:lang w:val="fr-FR"/>
              </w:rPr>
              <w:t>com</w:t>
            </w:r>
          </w:p>
        </w:tc>
      </w:tr>
      <w:tr>
        <w:trPr>
          <w:trHeight w:val="194" w:hRule="atLeast"/>
        </w:trPr>
        <w:tc>
          <w:tcPr>
            <w:tcW w:w="1100" w:type="dxa"/>
            <w:tcBorders>
              <w:left w:val="single" w:sz="8" w:space="0" w:color="000001"/>
              <w:bottom w:val="single" w:sz="8" w:space="0" w:color="000001"/>
              <w:insideH w:val="single" w:sz="8" w:space="0" w:color="000001"/>
            </w:tcBorders>
            <w:shd w:color="auto" w:fill="CCFFCC"/>
            <w:tcMar>
              <w:left w:w="98" w:type="dxa"/>
            </w:tcMar>
            <w:vAlign w:val="bottom"/>
          </w:tcPr>
          <w:p>
            <w:pPr>
              <w:pStyle w:val="Normal"/>
              <w:widowControl/>
              <w:bidi w:val="0"/>
              <w:ind w:left="0" w:right="0" w:hanging="0"/>
              <w:jc w:val="left"/>
              <w:textAlignment w:val="auto"/>
              <w:rPr>
                <w:lang w:val="fr-FR"/>
              </w:rPr>
            </w:pPr>
            <w:bookmarkStart w:id="422" w:name="RANGE!A28"/>
            <w:bookmarkEnd w:id="422"/>
            <w:r>
              <w:rPr>
                <w:b/>
                <w:bCs/>
                <w:sz w:val="22"/>
                <w:szCs w:val="22"/>
                <w:lang w:val="fr-FR"/>
              </w:rPr>
              <w:t>1.9.</w:t>
            </w:r>
          </w:p>
        </w:tc>
        <w:tc>
          <w:tcPr>
            <w:tcW w:w="8727" w:type="dxa"/>
            <w:gridSpan w:val="2"/>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lang w:val="fr-FR"/>
              </w:rPr>
            </w:pPr>
            <w:r>
              <w:rPr>
                <w:rFonts w:cs="Times New Roman CE" w:ascii="Times New Roman CE" w:hAnsi="Times New Roman CE"/>
                <w:b/>
                <w:bCs/>
                <w:sz w:val="22"/>
                <w:szCs w:val="22"/>
                <w:lang w:val="fr-FR"/>
              </w:rPr>
              <w:t xml:space="preserve"> </w:t>
            </w:r>
            <w:r>
              <w:rPr>
                <w:rFonts w:cs="Times New Roman CE" w:ascii="Times New Roman CE" w:hAnsi="Times New Roman CE"/>
                <w:b/>
                <w:bCs/>
                <w:sz w:val="22"/>
                <w:szCs w:val="22"/>
                <w:lang w:val="fr-FR"/>
              </w:rPr>
              <w:t>Cadru instituţional:</w:t>
            </w:r>
          </w:p>
        </w:tc>
      </w:tr>
      <w:tr>
        <w:trPr>
          <w:trHeight w:val="184" w:hRule="atLeast"/>
        </w:trPr>
        <w:tc>
          <w:tcPr>
            <w:tcW w:w="110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fr-FR"/>
              </w:rPr>
            </w:pPr>
            <w:r>
              <w:rPr>
                <w:b/>
                <w:bCs/>
                <w:sz w:val="22"/>
                <w:szCs w:val="22"/>
                <w:lang w:val="fr-FR"/>
              </w:rPr>
              <w:t> </w:t>
            </w:r>
          </w:p>
        </w:tc>
        <w:tc>
          <w:tcPr>
            <w:tcW w:w="328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b/>
                <w:bCs/>
                <w:sz w:val="22"/>
                <w:szCs w:val="22"/>
                <w:lang w:val="fr-FR"/>
              </w:rPr>
              <w:t>Subdiviziuni</w:t>
            </w:r>
          </w:p>
        </w:tc>
        <w:tc>
          <w:tcPr>
            <w:tcW w:w="544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rFonts w:cs="Times New Roman CE" w:ascii="Times New Roman CE" w:hAnsi="Times New Roman CE"/>
                <w:b/>
                <w:bCs/>
                <w:sz w:val="22"/>
                <w:szCs w:val="22"/>
                <w:lang w:val="fr-FR"/>
              </w:rPr>
              <w:t>Numărul</w:t>
            </w:r>
          </w:p>
        </w:tc>
      </w:tr>
      <w:tr>
        <w:trPr>
          <w:trHeight w:val="184" w:hRule="atLeast"/>
        </w:trPr>
        <w:tc>
          <w:tcPr>
            <w:tcW w:w="110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2"/>
                <w:szCs w:val="22"/>
                <w:lang w:val="fr-FR"/>
              </w:rPr>
              <w:t>1.9.1.</w:t>
            </w:r>
          </w:p>
        </w:tc>
        <w:tc>
          <w:tcPr>
            <w:tcW w:w="328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20"/>
              <w:jc w:val="left"/>
              <w:textAlignment w:val="auto"/>
              <w:rPr>
                <w:lang w:val="fr-FR"/>
              </w:rPr>
            </w:pPr>
            <w:r>
              <w:rPr>
                <w:sz w:val="22"/>
                <w:szCs w:val="22"/>
                <w:lang w:val="fr-FR"/>
              </w:rPr>
              <w:t>Centre</w:t>
            </w:r>
          </w:p>
        </w:tc>
        <w:tc>
          <w:tcPr>
            <w:tcW w:w="544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sz w:val="22"/>
                <w:szCs w:val="22"/>
                <w:lang w:val="fr-FR"/>
              </w:rPr>
              <w:t> </w:t>
            </w:r>
          </w:p>
        </w:tc>
      </w:tr>
      <w:tr>
        <w:trPr>
          <w:trHeight w:val="184" w:hRule="atLeast"/>
        </w:trPr>
        <w:tc>
          <w:tcPr>
            <w:tcW w:w="110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2"/>
                <w:szCs w:val="22"/>
                <w:lang w:val="fr-FR"/>
              </w:rPr>
              <w:t>1.9.2.</w:t>
            </w:r>
          </w:p>
        </w:tc>
        <w:tc>
          <w:tcPr>
            <w:tcW w:w="328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20"/>
              <w:jc w:val="left"/>
              <w:textAlignment w:val="auto"/>
              <w:rPr>
                <w:lang w:val="fr-FR"/>
              </w:rPr>
            </w:pPr>
            <w:r>
              <w:rPr>
                <w:sz w:val="22"/>
                <w:szCs w:val="22"/>
                <w:lang w:val="fr-FR"/>
              </w:rPr>
              <w:t>Laboratoare</w:t>
            </w:r>
          </w:p>
        </w:tc>
        <w:tc>
          <w:tcPr>
            <w:tcW w:w="544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sz w:val="22"/>
                <w:szCs w:val="22"/>
                <w:lang w:val="fr-FR"/>
              </w:rPr>
              <w:t>5</w:t>
            </w:r>
          </w:p>
        </w:tc>
      </w:tr>
      <w:tr>
        <w:trPr>
          <w:trHeight w:val="184" w:hRule="atLeast"/>
        </w:trPr>
        <w:tc>
          <w:tcPr>
            <w:tcW w:w="110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2"/>
                <w:szCs w:val="22"/>
                <w:lang w:val="fr-FR"/>
              </w:rPr>
              <w:t>1.9.3.</w:t>
            </w:r>
          </w:p>
        </w:tc>
        <w:tc>
          <w:tcPr>
            <w:tcW w:w="328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20"/>
              <w:jc w:val="left"/>
              <w:textAlignment w:val="auto"/>
              <w:rPr>
                <w:lang w:val="fr-FR"/>
              </w:rPr>
            </w:pPr>
            <w:r>
              <w:rPr>
                <w:rFonts w:cs="Times New Roman CE" w:ascii="Times New Roman CE" w:hAnsi="Times New Roman CE"/>
                <w:sz w:val="22"/>
                <w:szCs w:val="22"/>
                <w:lang w:val="fr-FR"/>
              </w:rPr>
              <w:t>Secţii</w:t>
            </w:r>
          </w:p>
        </w:tc>
        <w:tc>
          <w:tcPr>
            <w:tcW w:w="544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sz w:val="22"/>
                <w:szCs w:val="22"/>
                <w:lang w:val="fr-FR"/>
              </w:rPr>
              <w:t> </w:t>
            </w:r>
          </w:p>
        </w:tc>
      </w:tr>
      <w:tr>
        <w:trPr>
          <w:trHeight w:val="184" w:hRule="atLeast"/>
        </w:trPr>
        <w:tc>
          <w:tcPr>
            <w:tcW w:w="110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2"/>
                <w:szCs w:val="22"/>
                <w:lang w:val="fr-FR"/>
              </w:rPr>
              <w:t>1.9.4.</w:t>
            </w:r>
          </w:p>
        </w:tc>
        <w:tc>
          <w:tcPr>
            <w:tcW w:w="328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20"/>
              <w:jc w:val="left"/>
              <w:textAlignment w:val="auto"/>
              <w:rPr>
                <w:lang w:val="fr-FR"/>
              </w:rPr>
            </w:pPr>
            <w:r>
              <w:rPr>
                <w:sz w:val="22"/>
                <w:szCs w:val="22"/>
                <w:lang w:val="fr-FR"/>
              </w:rPr>
              <w:t>Sectoare</w:t>
            </w:r>
          </w:p>
        </w:tc>
        <w:tc>
          <w:tcPr>
            <w:tcW w:w="544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sz w:val="22"/>
                <w:szCs w:val="22"/>
                <w:lang w:val="fr-FR"/>
              </w:rPr>
              <w:t> </w:t>
            </w:r>
          </w:p>
        </w:tc>
      </w:tr>
      <w:tr>
        <w:trPr>
          <w:trHeight w:val="184" w:hRule="atLeast"/>
        </w:trPr>
        <w:tc>
          <w:tcPr>
            <w:tcW w:w="110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22"/>
                <w:szCs w:val="22"/>
              </w:rPr>
              <w:t>1.9.5.</w:t>
            </w:r>
          </w:p>
        </w:tc>
        <w:tc>
          <w:tcPr>
            <w:tcW w:w="328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20"/>
              <w:jc w:val="left"/>
              <w:textAlignment w:val="auto"/>
              <w:rPr/>
            </w:pPr>
            <w:r>
              <w:rPr>
                <w:sz w:val="22"/>
                <w:szCs w:val="22"/>
              </w:rPr>
              <w:t>Subdiviziuni auxiliare</w:t>
            </w:r>
          </w:p>
        </w:tc>
        <w:tc>
          <w:tcPr>
            <w:tcW w:w="544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sz w:val="22"/>
                <w:szCs w:val="22"/>
              </w:rPr>
              <w:t> </w:t>
            </w:r>
          </w:p>
        </w:tc>
      </w:tr>
    </w:tbl>
    <w:p>
      <w:pPr>
        <w:sectPr>
          <w:type w:val="nextPage"/>
          <w:pgSz w:w="11906" w:h="16838"/>
          <w:pgMar w:left="1560" w:right="720" w:header="0" w:top="284" w:footer="0" w:bottom="426" w:gutter="0"/>
          <w:pgNumType w:fmt="decimal"/>
          <w:formProt w:val="false"/>
          <w:textDirection w:val="lrTb"/>
          <w:docGrid w:type="default" w:linePitch="240" w:charSpace="4294961151"/>
        </w:sectPr>
        <w:pStyle w:val="Normal"/>
        <w:widowControl/>
        <w:bidi w:val="0"/>
        <w:spacing w:before="0" w:after="240"/>
        <w:ind w:left="0" w:right="-2016" w:hanging="0"/>
        <w:jc w:val="center"/>
        <w:textAlignment w:val="auto"/>
        <w:rPr>
          <w:rFonts w:ascii="Times New Roman" w:hAnsi="Times New Roman"/>
          <w:sz w:val="22"/>
          <w:szCs w:val="22"/>
          <w:lang w:val="ro-MD"/>
        </w:rPr>
      </w:pPr>
      <w:r>
        <w:rPr>
          <w:sz w:val="22"/>
          <w:szCs w:val="22"/>
          <w:lang w:val="ro-MD"/>
        </w:rPr>
      </w:r>
    </w:p>
    <w:p>
      <w:pPr>
        <w:pStyle w:val="Normal"/>
        <w:widowControl/>
        <w:bidi w:val="0"/>
        <w:spacing w:before="0" w:after="240"/>
        <w:ind w:left="0" w:right="-2016" w:hanging="0"/>
        <w:jc w:val="center"/>
        <w:textAlignment w:val="auto"/>
        <w:rPr>
          <w:rFonts w:ascii="Times New Roman" w:hAnsi="Times New Roman"/>
          <w:sz w:val="22"/>
          <w:szCs w:val="22"/>
          <w:lang w:val="ro-MD"/>
        </w:rPr>
      </w:pPr>
      <w:r>
        <w:rPr>
          <w:sz w:val="22"/>
          <w:szCs w:val="22"/>
          <w:lang w:val="ro-MD"/>
        </w:rPr>
      </w:r>
    </w:p>
    <w:p>
      <w:pPr>
        <w:pStyle w:val="Normal"/>
        <w:widowControl/>
        <w:bidi w:val="0"/>
        <w:spacing w:before="0" w:after="240"/>
        <w:ind w:left="0" w:right="-2016" w:hanging="0"/>
        <w:jc w:val="center"/>
        <w:textAlignment w:val="auto"/>
        <w:rPr>
          <w:rFonts w:ascii="Times New Roman" w:hAnsi="Times New Roman"/>
          <w:sz w:val="22"/>
          <w:szCs w:val="22"/>
          <w:lang w:val="ro-MD"/>
        </w:rPr>
      </w:pPr>
      <w:r>
        <w:rPr>
          <w:sz w:val="22"/>
          <w:szCs w:val="22"/>
          <w:lang w:val="ro-MD"/>
        </w:rPr>
      </w:r>
    </w:p>
    <w:tbl>
      <w:tblPr>
        <w:tblW w:w="9414" w:type="dxa"/>
        <w:jc w:val="left"/>
        <w:tblInd w:w="-10" w:type="dxa"/>
        <w:tblBorders>
          <w:top w:val="single" w:sz="8" w:space="0" w:color="000001"/>
          <w:left w:val="single" w:sz="8" w:space="0" w:color="000001"/>
          <w:bottom w:val="single" w:sz="8" w:space="0" w:color="000001"/>
          <w:insideH w:val="single" w:sz="8" w:space="0" w:color="000001"/>
        </w:tblBorders>
        <w:tblCellMar>
          <w:top w:w="0" w:type="dxa"/>
          <w:left w:w="98" w:type="dxa"/>
          <w:bottom w:w="0" w:type="dxa"/>
          <w:right w:w="108" w:type="dxa"/>
        </w:tblCellMar>
      </w:tblPr>
      <w:tblGrid>
        <w:gridCol w:w="1018"/>
        <w:gridCol w:w="4293"/>
        <w:gridCol w:w="2088"/>
        <w:gridCol w:w="2014"/>
      </w:tblGrid>
      <w:tr>
        <w:trPr>
          <w:trHeight w:val="321" w:hRule="atLeast"/>
        </w:trPr>
        <w:tc>
          <w:tcPr>
            <w:tcW w:w="7399" w:type="dxa"/>
            <w:gridSpan w:val="3"/>
            <w:tcBorders>
              <w:top w:val="single" w:sz="8" w:space="0" w:color="000001"/>
              <w:left w:val="single" w:sz="8" w:space="0" w:color="000001"/>
              <w:bottom w:val="single" w:sz="8" w:space="0" w:color="000001"/>
              <w:insideH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b/>
                <w:bCs/>
                <w:sz w:val="22"/>
                <w:szCs w:val="22"/>
                <w:lang w:val="fr-FR"/>
              </w:rPr>
              <w:t>2.1. CADRUL TEMATIC DE CERCETARE PE ANUL 2016</w:t>
            </w:r>
          </w:p>
        </w:tc>
        <w:tc>
          <w:tcPr>
            <w:tcW w:w="2014" w:type="dxa"/>
            <w:tcBorders>
              <w:top w:val="single" w:sz="8" w:space="0" w:color="000001"/>
              <w:right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sz w:val="22"/>
                <w:szCs w:val="22"/>
                <w:lang w:val="fr-FR"/>
              </w:rPr>
              <w:t> </w:t>
            </w:r>
          </w:p>
        </w:tc>
      </w:tr>
      <w:tr>
        <w:trPr>
          <w:trHeight w:val="407" w:hRule="atLeast"/>
        </w:trPr>
        <w:tc>
          <w:tcPr>
            <w:tcW w:w="1018" w:type="dxa"/>
            <w:vMerge w:val="restart"/>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pPr>
            <w:r>
              <w:rPr>
                <w:b/>
                <w:bCs/>
                <w:sz w:val="22"/>
                <w:szCs w:val="22"/>
              </w:rPr>
              <w:t>Nr. d/o</w:t>
            </w:r>
          </w:p>
        </w:tc>
        <w:tc>
          <w:tcPr>
            <w:tcW w:w="4293" w:type="dxa"/>
            <w:vMerge w:val="restart"/>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center"/>
              <w:textAlignment w:val="auto"/>
              <w:rPr/>
            </w:pPr>
            <w:r>
              <w:rPr>
                <w:b/>
                <w:bCs/>
                <w:sz w:val="22"/>
                <w:szCs w:val="22"/>
              </w:rPr>
              <w:t> </w:t>
            </w:r>
          </w:p>
        </w:tc>
        <w:tc>
          <w:tcPr>
            <w:tcW w:w="4102" w:type="dxa"/>
            <w:gridSpan w:val="2"/>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pPr>
            <w:r>
              <w:rPr>
                <w:rFonts w:cs="Times New Roman CE" w:ascii="Times New Roman CE" w:hAnsi="Times New Roman CE"/>
                <w:b/>
                <w:bCs/>
                <w:sz w:val="22"/>
                <w:szCs w:val="22"/>
              </w:rPr>
              <w:t>Numărul de proiecte</w:t>
            </w:r>
          </w:p>
        </w:tc>
      </w:tr>
      <w:tr>
        <w:trPr>
          <w:trHeight w:val="262" w:hRule="atLeast"/>
        </w:trPr>
        <w:tc>
          <w:tcPr>
            <w:tcW w:w="1018" w:type="dxa"/>
            <w:vMerge w:val="continue"/>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b/>
                <w:b/>
                <w:bCs/>
                <w:sz w:val="22"/>
                <w:szCs w:val="22"/>
              </w:rPr>
            </w:pPr>
            <w:r>
              <w:rPr>
                <w:b/>
                <w:bCs/>
                <w:sz w:val="22"/>
                <w:szCs w:val="22"/>
              </w:rPr>
            </w:r>
          </w:p>
        </w:tc>
        <w:tc>
          <w:tcPr>
            <w:tcW w:w="4293" w:type="dxa"/>
            <w:vMerge w:val="continue"/>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b/>
                <w:b/>
                <w:bCs/>
                <w:sz w:val="22"/>
                <w:szCs w:val="22"/>
              </w:rPr>
            </w:pPr>
            <w:r>
              <w:rPr>
                <w:b/>
                <w:bCs/>
                <w:sz w:val="22"/>
                <w:szCs w:val="22"/>
              </w:rPr>
            </w:r>
          </w:p>
        </w:tc>
        <w:tc>
          <w:tcPr>
            <w:tcW w:w="2088" w:type="dxa"/>
            <w:tcBorders>
              <w:bottom w:val="single" w:sz="8" w:space="0" w:color="000001"/>
              <w:insideH w:val="single" w:sz="8" w:space="0" w:color="000001"/>
            </w:tcBorders>
            <w:shd w:fill="auto" w:val="clear"/>
            <w:vAlign w:val="center"/>
          </w:tcPr>
          <w:p>
            <w:pPr>
              <w:pStyle w:val="Normal"/>
              <w:widowControl/>
              <w:bidi w:val="0"/>
              <w:ind w:left="0" w:right="0" w:hanging="0"/>
              <w:jc w:val="center"/>
              <w:textAlignment w:val="auto"/>
              <w:rPr/>
            </w:pPr>
            <w:r>
              <w:rPr>
                <w:b/>
                <w:bCs/>
                <w:sz w:val="22"/>
                <w:szCs w:val="22"/>
              </w:rPr>
              <w:t>fundamentale</w:t>
            </w:r>
          </w:p>
        </w:tc>
        <w:tc>
          <w:tcPr>
            <w:tcW w:w="201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pPr>
            <w:r>
              <w:rPr>
                <w:b/>
                <w:bCs/>
                <w:sz w:val="22"/>
                <w:szCs w:val="22"/>
              </w:rPr>
              <w:t>aplicative</w:t>
            </w:r>
          </w:p>
        </w:tc>
      </w:tr>
      <w:tr>
        <w:trPr>
          <w:trHeight w:val="321" w:hRule="atLeast"/>
        </w:trPr>
        <w:tc>
          <w:tcPr>
            <w:tcW w:w="101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b/>
                <w:bCs/>
                <w:sz w:val="22"/>
                <w:szCs w:val="22"/>
              </w:rPr>
              <w:t>2.1.</w:t>
            </w:r>
          </w:p>
        </w:tc>
        <w:tc>
          <w:tcPr>
            <w:tcW w:w="4293"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b/>
                <w:bCs/>
                <w:sz w:val="22"/>
                <w:szCs w:val="22"/>
              </w:rPr>
              <w:t xml:space="preserve">TOTAL </w:t>
            </w:r>
          </w:p>
        </w:tc>
        <w:tc>
          <w:tcPr>
            <w:tcW w:w="2088" w:type="dxa"/>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b/>
                <w:bCs/>
                <w:sz w:val="22"/>
                <w:szCs w:val="22"/>
                <w:lang w:val="en-US"/>
              </w:rPr>
              <w:t>3</w:t>
            </w:r>
          </w:p>
        </w:tc>
        <w:tc>
          <w:tcPr>
            <w:tcW w:w="2014" w:type="dxa"/>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b/>
                <w:bCs/>
                <w:sz w:val="22"/>
                <w:szCs w:val="22"/>
                <w:lang w:val="en-US"/>
              </w:rPr>
              <w:t>6</w:t>
            </w:r>
          </w:p>
        </w:tc>
      </w:tr>
      <w:tr>
        <w:trPr>
          <w:trHeight w:val="321" w:hRule="atLeast"/>
        </w:trPr>
        <w:tc>
          <w:tcPr>
            <w:tcW w:w="101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b/>
                <w:bCs/>
                <w:sz w:val="22"/>
                <w:szCs w:val="22"/>
              </w:rPr>
              <w:t>2.1.1.</w:t>
            </w:r>
          </w:p>
        </w:tc>
        <w:tc>
          <w:tcPr>
            <w:tcW w:w="4293"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rFonts w:cs="Times New Roman CE" w:ascii="Times New Roman CE" w:hAnsi="Times New Roman CE"/>
                <w:b/>
                <w:bCs/>
                <w:sz w:val="22"/>
                <w:szCs w:val="22"/>
              </w:rPr>
              <w:t>Cercetări ştiinţific</w:t>
            </w:r>
            <w:r>
              <w:rPr>
                <w:b/>
                <w:bCs/>
                <w:sz w:val="22"/>
                <w:szCs w:val="22"/>
              </w:rPr>
              <w:t>e fundamentale, total</w:t>
            </w:r>
          </w:p>
        </w:tc>
        <w:tc>
          <w:tcPr>
            <w:tcW w:w="2088" w:type="dxa"/>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ro-RO"/>
              </w:rPr>
            </w:pPr>
            <w:r>
              <w:rPr>
                <w:b/>
                <w:bCs/>
                <w:sz w:val="22"/>
                <w:szCs w:val="22"/>
                <w:lang w:val="ro-RO"/>
              </w:rPr>
              <w:t>2</w:t>
            </w:r>
          </w:p>
        </w:tc>
        <w:tc>
          <w:tcPr>
            <w:tcW w:w="2014" w:type="dxa"/>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ro-RO"/>
              </w:rPr>
            </w:pPr>
            <w:r>
              <w:rPr>
                <w:b/>
                <w:bCs/>
                <w:sz w:val="22"/>
                <w:szCs w:val="22"/>
                <w:lang w:val="ro-RO"/>
              </w:rPr>
              <w:t>3</w:t>
            </w:r>
          </w:p>
        </w:tc>
      </w:tr>
      <w:tr>
        <w:trPr>
          <w:trHeight w:val="321" w:hRule="atLeast"/>
        </w:trPr>
        <w:tc>
          <w:tcPr>
            <w:tcW w:w="101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22"/>
                <w:szCs w:val="22"/>
              </w:rPr>
              <w:t> </w:t>
            </w:r>
          </w:p>
        </w:tc>
        <w:tc>
          <w:tcPr>
            <w:tcW w:w="4293"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2"/>
                <w:szCs w:val="22"/>
              </w:rPr>
              <w:t xml:space="preserve">Inclusiv </w:t>
            </w:r>
          </w:p>
        </w:tc>
        <w:tc>
          <w:tcPr>
            <w:tcW w:w="2088" w:type="dxa"/>
            <w:tcBorders>
              <w:bottom w:val="single" w:sz="8" w:space="0" w:color="000001"/>
              <w:insideH w:val="single" w:sz="8" w:space="0" w:color="000001"/>
            </w:tcBorders>
            <w:shd w:color="auto" w:fill="C0C0C0"/>
          </w:tcPr>
          <w:p>
            <w:pPr>
              <w:pStyle w:val="Normal"/>
              <w:widowControl/>
              <w:bidi w:val="0"/>
              <w:ind w:left="0" w:right="0" w:hanging="0"/>
              <w:jc w:val="center"/>
              <w:textAlignment w:val="auto"/>
              <w:rPr/>
            </w:pPr>
            <w:r>
              <w:rPr>
                <w:b/>
                <w:bCs/>
                <w:sz w:val="22"/>
                <w:szCs w:val="22"/>
              </w:rPr>
              <w:t> </w:t>
            </w:r>
          </w:p>
        </w:tc>
        <w:tc>
          <w:tcPr>
            <w:tcW w:w="2014" w:type="dxa"/>
            <w:tcBorders>
              <w:left w:val="single" w:sz="8" w:space="0" w:color="000001"/>
              <w:bottom w:val="single" w:sz="8" w:space="0" w:color="000001"/>
              <w:right w:val="single" w:sz="8" w:space="0" w:color="000001"/>
              <w:insideH w:val="single" w:sz="8" w:space="0" w:color="000001"/>
              <w:insideV w:val="single" w:sz="8" w:space="0" w:color="000001"/>
            </w:tcBorders>
            <w:shd w:color="auto" w:fill="C0C0C0"/>
            <w:tcMar>
              <w:left w:w="98" w:type="dxa"/>
            </w:tcMar>
          </w:tcPr>
          <w:p>
            <w:pPr>
              <w:pStyle w:val="Normal"/>
              <w:widowControl/>
              <w:bidi w:val="0"/>
              <w:ind w:left="0" w:right="0" w:hanging="0"/>
              <w:jc w:val="center"/>
              <w:textAlignment w:val="auto"/>
              <w:rPr/>
            </w:pPr>
            <w:r>
              <w:rPr>
                <w:b/>
                <w:bCs/>
                <w:sz w:val="22"/>
                <w:szCs w:val="22"/>
              </w:rPr>
              <w:t> </w:t>
            </w:r>
          </w:p>
        </w:tc>
      </w:tr>
      <w:tr>
        <w:trPr>
          <w:trHeight w:val="306" w:hRule="atLeast"/>
        </w:trPr>
        <w:tc>
          <w:tcPr>
            <w:tcW w:w="101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22"/>
                <w:szCs w:val="22"/>
              </w:rPr>
              <w:t>2.1.1.1.</w:t>
            </w:r>
          </w:p>
        </w:tc>
        <w:tc>
          <w:tcPr>
            <w:tcW w:w="4293"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rFonts w:cs="Times New Roman CE" w:ascii="Times New Roman CE" w:hAnsi="Times New Roman CE"/>
                <w:sz w:val="22"/>
                <w:szCs w:val="22"/>
              </w:rPr>
              <w:t>Proiecte de cercetări instituţionale</w:t>
            </w:r>
          </w:p>
        </w:tc>
        <w:tc>
          <w:tcPr>
            <w:tcW w:w="2088"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ro-RO"/>
              </w:rPr>
            </w:pPr>
            <w:r>
              <w:rPr>
                <w:sz w:val="22"/>
                <w:szCs w:val="22"/>
                <w:lang w:val="ro-RO"/>
              </w:rPr>
              <w:t>2</w:t>
            </w:r>
          </w:p>
        </w:tc>
        <w:tc>
          <w:tcPr>
            <w:tcW w:w="2014"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22"/>
                <w:szCs w:val="22"/>
                <w:lang w:val="en-US"/>
              </w:rPr>
              <w:t>2</w:t>
            </w:r>
          </w:p>
        </w:tc>
      </w:tr>
      <w:tr>
        <w:trPr>
          <w:trHeight w:val="306" w:hRule="atLeast"/>
        </w:trPr>
        <w:tc>
          <w:tcPr>
            <w:tcW w:w="101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22"/>
                <w:szCs w:val="22"/>
              </w:rPr>
              <w:t>2.1.1.2.</w:t>
            </w:r>
          </w:p>
        </w:tc>
        <w:tc>
          <w:tcPr>
            <w:tcW w:w="4293"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fr-FR"/>
              </w:rPr>
            </w:pPr>
            <w:r>
              <w:rPr>
                <w:sz w:val="22"/>
                <w:szCs w:val="22"/>
                <w:lang w:val="fr-FR"/>
              </w:rPr>
              <w:t>Proiecte din cadrul programelor de stat</w:t>
            </w:r>
          </w:p>
        </w:tc>
        <w:tc>
          <w:tcPr>
            <w:tcW w:w="2088"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sz w:val="22"/>
                <w:szCs w:val="22"/>
                <w:lang w:val="ro-RO"/>
              </w:rPr>
            </w:pPr>
            <w:r>
              <w:rPr>
                <w:sz w:val="22"/>
                <w:szCs w:val="22"/>
                <w:lang w:val="ro-RO"/>
              </w:rPr>
            </w:r>
          </w:p>
        </w:tc>
        <w:tc>
          <w:tcPr>
            <w:tcW w:w="2014"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ro-RO"/>
              </w:rPr>
            </w:pPr>
            <w:r>
              <w:rPr>
                <w:sz w:val="22"/>
                <w:szCs w:val="22"/>
                <w:lang w:val="ro-RO"/>
              </w:rPr>
              <w:t>1</w:t>
            </w:r>
          </w:p>
        </w:tc>
      </w:tr>
      <w:tr>
        <w:trPr>
          <w:trHeight w:val="306" w:hRule="atLeast"/>
        </w:trPr>
        <w:tc>
          <w:tcPr>
            <w:tcW w:w="101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22"/>
                <w:szCs w:val="22"/>
              </w:rPr>
              <w:t>2.1.1.3.</w:t>
            </w:r>
          </w:p>
        </w:tc>
        <w:tc>
          <w:tcPr>
            <w:tcW w:w="4293"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rFonts w:cs="Times New Roman CE" w:ascii="Times New Roman CE" w:hAnsi="Times New Roman CE"/>
                <w:sz w:val="22"/>
                <w:szCs w:val="22"/>
              </w:rPr>
              <w:t>Proiecte pentru tineri cercetători</w:t>
            </w:r>
          </w:p>
        </w:tc>
        <w:tc>
          <w:tcPr>
            <w:tcW w:w="2088"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22"/>
                <w:szCs w:val="22"/>
                <w:lang w:val="en-US"/>
              </w:rPr>
              <w:t>0</w:t>
            </w:r>
          </w:p>
        </w:tc>
        <w:tc>
          <w:tcPr>
            <w:tcW w:w="2014"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ro-RO"/>
              </w:rPr>
            </w:pPr>
            <w:r>
              <w:rPr>
                <w:sz w:val="22"/>
                <w:szCs w:val="22"/>
                <w:lang w:val="ro-RO"/>
              </w:rPr>
              <w:t>0</w:t>
            </w:r>
          </w:p>
        </w:tc>
      </w:tr>
      <w:tr>
        <w:trPr>
          <w:trHeight w:val="306" w:hRule="atLeast"/>
        </w:trPr>
        <w:tc>
          <w:tcPr>
            <w:tcW w:w="101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22"/>
                <w:szCs w:val="22"/>
              </w:rPr>
              <w:t>2.1.1.4.</w:t>
            </w:r>
          </w:p>
        </w:tc>
        <w:tc>
          <w:tcPr>
            <w:tcW w:w="4293"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sz w:val="22"/>
                <w:szCs w:val="22"/>
              </w:rPr>
              <w:t>Proiecte pentru procurarea echipamentului</w:t>
            </w:r>
          </w:p>
        </w:tc>
        <w:tc>
          <w:tcPr>
            <w:tcW w:w="2088"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2"/>
                <w:szCs w:val="22"/>
              </w:rPr>
              <w:t>0</w:t>
            </w:r>
          </w:p>
        </w:tc>
        <w:tc>
          <w:tcPr>
            <w:tcW w:w="2014"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22"/>
                <w:szCs w:val="22"/>
                <w:lang w:val="en-US"/>
              </w:rPr>
              <w:t>0</w:t>
            </w:r>
          </w:p>
        </w:tc>
      </w:tr>
      <w:tr>
        <w:trPr>
          <w:trHeight w:val="306" w:hRule="atLeast"/>
        </w:trPr>
        <w:tc>
          <w:tcPr>
            <w:tcW w:w="101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22"/>
                <w:szCs w:val="22"/>
              </w:rPr>
              <w:t>2.1.1.</w:t>
            </w:r>
            <w:r>
              <w:rPr>
                <w:sz w:val="22"/>
                <w:szCs w:val="22"/>
                <w:lang w:val="ro-RO"/>
              </w:rPr>
              <w:t>5</w:t>
            </w:r>
            <w:r>
              <w:rPr>
                <w:sz w:val="22"/>
                <w:szCs w:val="22"/>
              </w:rPr>
              <w:t>.</w:t>
            </w:r>
          </w:p>
        </w:tc>
        <w:tc>
          <w:tcPr>
            <w:tcW w:w="4293"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sz w:val="22"/>
                <w:szCs w:val="22"/>
              </w:rPr>
              <w:t>Proiecte de</w:t>
            </w:r>
            <w:r>
              <w:rPr>
                <w:sz w:val="22"/>
                <w:szCs w:val="22"/>
                <w:lang w:val="ro-RO"/>
              </w:rPr>
              <w:t xml:space="preserve"> transfer tehnologic</w:t>
            </w:r>
          </w:p>
        </w:tc>
        <w:tc>
          <w:tcPr>
            <w:tcW w:w="2088"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22"/>
                <w:szCs w:val="22"/>
                <w:lang w:val="en-US"/>
              </w:rPr>
              <w:t>0</w:t>
            </w:r>
          </w:p>
        </w:tc>
        <w:tc>
          <w:tcPr>
            <w:tcW w:w="2014"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ro-RO"/>
              </w:rPr>
            </w:pPr>
            <w:r>
              <w:rPr>
                <w:sz w:val="22"/>
                <w:szCs w:val="22"/>
                <w:lang w:val="ro-RO"/>
              </w:rPr>
              <w:t>0</w:t>
            </w:r>
          </w:p>
        </w:tc>
      </w:tr>
      <w:tr>
        <w:trPr>
          <w:trHeight w:val="321" w:hRule="atLeast"/>
        </w:trPr>
        <w:tc>
          <w:tcPr>
            <w:tcW w:w="101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22"/>
                <w:szCs w:val="22"/>
              </w:rPr>
              <w:t>2.1.2.</w:t>
            </w:r>
          </w:p>
        </w:tc>
        <w:tc>
          <w:tcPr>
            <w:tcW w:w="4293"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21"/>
              <w:jc w:val="left"/>
              <w:textAlignment w:val="auto"/>
              <w:rPr/>
            </w:pPr>
            <w:r>
              <w:rPr>
                <w:rFonts w:cs="Times New Roman CE" w:ascii="Times New Roman CE" w:hAnsi="Times New Roman CE"/>
                <w:b/>
                <w:bCs/>
                <w:sz w:val="22"/>
                <w:szCs w:val="22"/>
              </w:rPr>
              <w:t>Proiecte/granturi internaţionale</w:t>
            </w:r>
          </w:p>
        </w:tc>
        <w:tc>
          <w:tcPr>
            <w:tcW w:w="2088" w:type="dxa"/>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b/>
                <w:bCs/>
                <w:sz w:val="22"/>
                <w:szCs w:val="22"/>
                <w:lang w:val="en-US"/>
              </w:rPr>
              <w:t>1</w:t>
            </w:r>
          </w:p>
        </w:tc>
        <w:tc>
          <w:tcPr>
            <w:tcW w:w="2014" w:type="dxa"/>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b/>
                <w:bCs/>
                <w:sz w:val="22"/>
                <w:szCs w:val="22"/>
                <w:lang w:val="en-US"/>
              </w:rPr>
              <w:t>3</w:t>
            </w:r>
          </w:p>
        </w:tc>
      </w:tr>
      <w:tr>
        <w:trPr>
          <w:trHeight w:val="306" w:hRule="atLeast"/>
        </w:trPr>
        <w:tc>
          <w:tcPr>
            <w:tcW w:w="101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22"/>
                <w:szCs w:val="22"/>
              </w:rPr>
              <w:t>2.1.2.1.</w:t>
            </w:r>
          </w:p>
        </w:tc>
        <w:tc>
          <w:tcPr>
            <w:tcW w:w="4293"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sz w:val="22"/>
                <w:szCs w:val="22"/>
              </w:rPr>
              <w:t>Bilaterale</w:t>
            </w:r>
          </w:p>
        </w:tc>
        <w:tc>
          <w:tcPr>
            <w:tcW w:w="2088"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22"/>
                <w:szCs w:val="22"/>
                <w:lang w:val="en-US"/>
              </w:rPr>
              <w:t>0</w:t>
            </w:r>
          </w:p>
        </w:tc>
        <w:tc>
          <w:tcPr>
            <w:tcW w:w="2014"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22"/>
                <w:szCs w:val="22"/>
                <w:lang w:val="en-US"/>
              </w:rPr>
              <w:t>1</w:t>
            </w:r>
          </w:p>
        </w:tc>
      </w:tr>
      <w:tr>
        <w:trPr>
          <w:trHeight w:val="306" w:hRule="atLeast"/>
        </w:trPr>
        <w:tc>
          <w:tcPr>
            <w:tcW w:w="101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22"/>
                <w:szCs w:val="22"/>
              </w:rPr>
              <w:t>2.1.2.2.</w:t>
            </w:r>
          </w:p>
        </w:tc>
        <w:tc>
          <w:tcPr>
            <w:tcW w:w="4293"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sz w:val="22"/>
                <w:szCs w:val="22"/>
              </w:rPr>
              <w:t>PC7</w:t>
            </w:r>
          </w:p>
        </w:tc>
        <w:tc>
          <w:tcPr>
            <w:tcW w:w="2088"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ro-RO"/>
              </w:rPr>
            </w:pPr>
            <w:r>
              <w:rPr>
                <w:sz w:val="22"/>
                <w:szCs w:val="22"/>
                <w:lang w:val="ro-RO"/>
              </w:rPr>
              <w:t>1</w:t>
            </w:r>
          </w:p>
        </w:tc>
        <w:tc>
          <w:tcPr>
            <w:tcW w:w="2014"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sz w:val="22"/>
                <w:szCs w:val="22"/>
                <w:lang w:val="ro-RO"/>
              </w:rPr>
            </w:pPr>
            <w:r>
              <w:rPr>
                <w:sz w:val="22"/>
                <w:szCs w:val="22"/>
                <w:lang w:val="ro-RO"/>
              </w:rPr>
            </w:r>
          </w:p>
        </w:tc>
      </w:tr>
      <w:tr>
        <w:trPr>
          <w:trHeight w:val="306" w:hRule="atLeast"/>
        </w:trPr>
        <w:tc>
          <w:tcPr>
            <w:tcW w:w="101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22"/>
                <w:szCs w:val="22"/>
              </w:rPr>
              <w:t>2.1.2.3.</w:t>
            </w:r>
          </w:p>
        </w:tc>
        <w:tc>
          <w:tcPr>
            <w:tcW w:w="4293"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sz w:val="22"/>
                <w:szCs w:val="22"/>
              </w:rPr>
              <w:t>Alte proiecte/granturi (NUKR.SFPP 984877, STCU)</w:t>
            </w:r>
          </w:p>
        </w:tc>
        <w:tc>
          <w:tcPr>
            <w:tcW w:w="2088"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ro-RO"/>
              </w:rPr>
            </w:pPr>
            <w:r>
              <w:rPr>
                <w:sz w:val="22"/>
                <w:szCs w:val="22"/>
                <w:lang w:val="ro-RO"/>
              </w:rPr>
              <w:t>0</w:t>
            </w:r>
          </w:p>
        </w:tc>
        <w:tc>
          <w:tcPr>
            <w:tcW w:w="2014"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22"/>
                <w:szCs w:val="22"/>
                <w:lang w:val="en-US"/>
              </w:rPr>
              <w:t>2</w:t>
            </w:r>
          </w:p>
        </w:tc>
      </w:tr>
      <w:tr>
        <w:trPr>
          <w:trHeight w:val="306" w:hRule="atLeast"/>
        </w:trPr>
        <w:tc>
          <w:tcPr>
            <w:tcW w:w="101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22"/>
                <w:szCs w:val="22"/>
              </w:rPr>
              <w:t>2.1.3.</w:t>
            </w:r>
          </w:p>
        </w:tc>
        <w:tc>
          <w:tcPr>
            <w:tcW w:w="4293"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rFonts w:cs="Times New Roman CE" w:ascii="Times New Roman CE" w:hAnsi="Times New Roman CE"/>
                <w:b/>
                <w:bCs/>
                <w:sz w:val="22"/>
                <w:szCs w:val="22"/>
              </w:rPr>
              <w:t>Proiecte/granturi naţionale</w:t>
            </w:r>
          </w:p>
        </w:tc>
        <w:tc>
          <w:tcPr>
            <w:tcW w:w="2088"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2"/>
                <w:szCs w:val="22"/>
              </w:rPr>
              <w:t>0</w:t>
            </w:r>
          </w:p>
        </w:tc>
        <w:tc>
          <w:tcPr>
            <w:tcW w:w="2014"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ro-RO"/>
              </w:rPr>
            </w:pPr>
            <w:r>
              <w:rPr>
                <w:sz w:val="22"/>
                <w:szCs w:val="22"/>
                <w:lang w:val="ro-RO"/>
              </w:rPr>
              <w:t>0</w:t>
            </w:r>
          </w:p>
        </w:tc>
      </w:tr>
      <w:tr>
        <w:trPr>
          <w:trHeight w:val="306" w:hRule="atLeast"/>
        </w:trPr>
        <w:tc>
          <w:tcPr>
            <w:tcW w:w="101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22"/>
                <w:szCs w:val="22"/>
              </w:rPr>
              <w:t>2.1.4.</w:t>
            </w:r>
          </w:p>
        </w:tc>
        <w:tc>
          <w:tcPr>
            <w:tcW w:w="4293"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2"/>
                <w:szCs w:val="22"/>
              </w:rPr>
              <w:t>Contracte cu agen</w:t>
            </w:r>
            <w:r>
              <w:rPr>
                <w:rFonts w:cs="Times New Roman CE" w:ascii="Times New Roman CE" w:hAnsi="Times New Roman CE"/>
                <w:b/>
                <w:bCs/>
                <w:sz w:val="22"/>
                <w:szCs w:val="22"/>
              </w:rPr>
              <w:t>ţi economici</w:t>
            </w:r>
          </w:p>
        </w:tc>
        <w:tc>
          <w:tcPr>
            <w:tcW w:w="2088"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2"/>
                <w:szCs w:val="22"/>
              </w:rPr>
              <w:t>0</w:t>
            </w:r>
          </w:p>
        </w:tc>
        <w:tc>
          <w:tcPr>
            <w:tcW w:w="2014"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2"/>
                <w:szCs w:val="22"/>
              </w:rPr>
              <w:t>0</w:t>
            </w:r>
          </w:p>
        </w:tc>
      </w:tr>
    </w:tbl>
    <w:p>
      <w:pPr>
        <w:pStyle w:val="Normal"/>
        <w:widowControl/>
        <w:bidi w:val="0"/>
        <w:spacing w:before="0" w:after="240"/>
        <w:ind w:left="0" w:right="-2016" w:hanging="0"/>
        <w:jc w:val="center"/>
        <w:textAlignment w:val="auto"/>
        <w:rPr>
          <w:rFonts w:ascii="Times New Roman" w:hAnsi="Times New Roman"/>
          <w:sz w:val="22"/>
          <w:szCs w:val="22"/>
          <w:lang w:val="ro-MD"/>
        </w:rPr>
      </w:pPr>
      <w:r>
        <w:rPr>
          <w:sz w:val="22"/>
          <w:szCs w:val="22"/>
          <w:lang w:val="ro-MD"/>
        </w:rPr>
      </w:r>
    </w:p>
    <w:p>
      <w:pPr>
        <w:pStyle w:val="Normal"/>
        <w:widowControl/>
        <w:bidi w:val="0"/>
        <w:spacing w:before="0" w:after="240"/>
        <w:ind w:left="0" w:right="-2016" w:hanging="0"/>
        <w:jc w:val="center"/>
        <w:textAlignment w:val="auto"/>
        <w:rPr>
          <w:rFonts w:ascii="Times New Roman" w:hAnsi="Times New Roman"/>
          <w:sz w:val="22"/>
          <w:szCs w:val="22"/>
          <w:lang w:val="ro-MD"/>
        </w:rPr>
      </w:pPr>
      <w:r>
        <w:rPr>
          <w:sz w:val="22"/>
          <w:szCs w:val="22"/>
          <w:lang w:val="ro-MD"/>
        </w:rPr>
      </w:r>
    </w:p>
    <w:p>
      <w:pPr>
        <w:pStyle w:val="Normal"/>
        <w:widowControl/>
        <w:bidi w:val="0"/>
        <w:spacing w:before="0" w:after="240"/>
        <w:ind w:left="0" w:right="-2016" w:hanging="0"/>
        <w:jc w:val="center"/>
        <w:textAlignment w:val="auto"/>
        <w:rPr>
          <w:rFonts w:ascii="Times New Roman" w:hAnsi="Times New Roman"/>
          <w:sz w:val="22"/>
          <w:szCs w:val="22"/>
          <w:lang w:val="ro-MD"/>
        </w:rPr>
      </w:pPr>
      <w:r>
        <w:rPr>
          <w:sz w:val="22"/>
          <w:szCs w:val="22"/>
          <w:lang w:val="ro-MD"/>
        </w:rPr>
      </w:r>
    </w:p>
    <w:p>
      <w:pPr>
        <w:pStyle w:val="Normal"/>
        <w:widowControl/>
        <w:bidi w:val="0"/>
        <w:spacing w:before="0" w:after="240"/>
        <w:ind w:left="0" w:right="-2016" w:hanging="0"/>
        <w:jc w:val="center"/>
        <w:textAlignment w:val="auto"/>
        <w:rPr>
          <w:rFonts w:ascii="Times New Roman" w:hAnsi="Times New Roman"/>
          <w:sz w:val="22"/>
          <w:szCs w:val="22"/>
          <w:lang w:val="ro-MD"/>
        </w:rPr>
      </w:pPr>
      <w:r>
        <w:rPr>
          <w:sz w:val="22"/>
          <w:szCs w:val="22"/>
          <w:lang w:val="ro-MD"/>
        </w:rPr>
      </w:r>
    </w:p>
    <w:p>
      <w:pPr>
        <w:pStyle w:val="Normal"/>
        <w:widowControl/>
        <w:bidi w:val="0"/>
        <w:spacing w:before="0" w:after="240"/>
        <w:ind w:left="0" w:right="-2016" w:hanging="0"/>
        <w:jc w:val="center"/>
        <w:textAlignment w:val="auto"/>
        <w:rPr>
          <w:rFonts w:ascii="Times New Roman" w:hAnsi="Times New Roman"/>
          <w:sz w:val="22"/>
          <w:szCs w:val="22"/>
          <w:lang w:val="ro-MD"/>
        </w:rPr>
      </w:pPr>
      <w:r>
        <w:rPr>
          <w:sz w:val="22"/>
          <w:szCs w:val="22"/>
          <w:lang w:val="ro-MD"/>
        </w:rPr>
      </w:r>
    </w:p>
    <w:p>
      <w:pPr>
        <w:pStyle w:val="Normal"/>
        <w:widowControl/>
        <w:bidi w:val="0"/>
        <w:spacing w:before="0" w:after="240"/>
        <w:ind w:left="0" w:right="-2016" w:hanging="0"/>
        <w:jc w:val="center"/>
        <w:textAlignment w:val="auto"/>
        <w:rPr>
          <w:rFonts w:ascii="Times New Roman" w:hAnsi="Times New Roman"/>
          <w:sz w:val="22"/>
          <w:szCs w:val="22"/>
          <w:lang w:val="ro-MD"/>
        </w:rPr>
      </w:pPr>
      <w:r>
        <w:rPr>
          <w:sz w:val="22"/>
          <w:szCs w:val="22"/>
          <w:lang w:val="ro-MD"/>
        </w:rPr>
      </w:r>
    </w:p>
    <w:p>
      <w:pPr>
        <w:pStyle w:val="Normal"/>
        <w:widowControl/>
        <w:bidi w:val="0"/>
        <w:spacing w:before="0" w:after="240"/>
        <w:ind w:left="0" w:right="-2016" w:hanging="0"/>
        <w:jc w:val="center"/>
        <w:textAlignment w:val="auto"/>
        <w:rPr>
          <w:rFonts w:ascii="Times New Roman" w:hAnsi="Times New Roman"/>
          <w:sz w:val="22"/>
          <w:szCs w:val="22"/>
          <w:lang w:val="ro-MD"/>
        </w:rPr>
      </w:pPr>
      <w:r>
        <w:rPr>
          <w:sz w:val="22"/>
          <w:szCs w:val="22"/>
          <w:lang w:val="ro-MD"/>
        </w:rPr>
      </w:r>
    </w:p>
    <w:p>
      <w:pPr>
        <w:pStyle w:val="Normal"/>
        <w:widowControl/>
        <w:bidi w:val="0"/>
        <w:spacing w:before="0" w:after="240"/>
        <w:ind w:left="0" w:right="-2016" w:hanging="0"/>
        <w:jc w:val="center"/>
        <w:textAlignment w:val="auto"/>
        <w:rPr>
          <w:rFonts w:ascii="Times New Roman" w:hAnsi="Times New Roman"/>
          <w:sz w:val="22"/>
          <w:szCs w:val="22"/>
          <w:lang w:val="ro-MD"/>
        </w:rPr>
      </w:pPr>
      <w:r>
        <w:rPr>
          <w:sz w:val="22"/>
          <w:szCs w:val="22"/>
          <w:lang w:val="ro-MD"/>
        </w:rPr>
      </w:r>
    </w:p>
    <w:p>
      <w:pPr>
        <w:pStyle w:val="Normal"/>
        <w:widowControl/>
        <w:bidi w:val="0"/>
        <w:spacing w:before="0" w:after="240"/>
        <w:ind w:left="0" w:right="-2016" w:hanging="0"/>
        <w:jc w:val="center"/>
        <w:textAlignment w:val="auto"/>
        <w:rPr>
          <w:rFonts w:ascii="Times New Roman" w:hAnsi="Times New Roman"/>
          <w:sz w:val="22"/>
          <w:szCs w:val="22"/>
          <w:lang w:val="ro-MD"/>
        </w:rPr>
      </w:pPr>
      <w:r>
        <w:rPr>
          <w:sz w:val="22"/>
          <w:szCs w:val="22"/>
          <w:lang w:val="ro-MD"/>
        </w:rPr>
      </w:r>
    </w:p>
    <w:p>
      <w:pPr>
        <w:pStyle w:val="Normal"/>
        <w:widowControl/>
        <w:bidi w:val="0"/>
        <w:spacing w:before="0" w:after="240"/>
        <w:ind w:left="0" w:right="-2016" w:hanging="0"/>
        <w:jc w:val="center"/>
        <w:textAlignment w:val="auto"/>
        <w:rPr>
          <w:rFonts w:ascii="Times New Roman" w:hAnsi="Times New Roman"/>
          <w:sz w:val="22"/>
          <w:szCs w:val="22"/>
          <w:lang w:val="ro-MD"/>
        </w:rPr>
      </w:pPr>
      <w:r>
        <w:rPr>
          <w:sz w:val="22"/>
          <w:szCs w:val="22"/>
          <w:lang w:val="ro-MD"/>
        </w:rPr>
      </w:r>
    </w:p>
    <w:p>
      <w:pPr>
        <w:pStyle w:val="Normal"/>
        <w:widowControl/>
        <w:bidi w:val="0"/>
        <w:spacing w:before="0" w:after="240"/>
        <w:ind w:left="0" w:right="-2016" w:hanging="0"/>
        <w:jc w:val="center"/>
        <w:textAlignment w:val="auto"/>
        <w:rPr>
          <w:rFonts w:ascii="Times New Roman" w:hAnsi="Times New Roman"/>
          <w:sz w:val="22"/>
          <w:szCs w:val="22"/>
          <w:lang w:val="ro-MD"/>
        </w:rPr>
      </w:pPr>
      <w:r>
        <w:rPr>
          <w:sz w:val="22"/>
          <w:szCs w:val="22"/>
          <w:lang w:val="ro-MD"/>
        </w:rPr>
      </w:r>
    </w:p>
    <w:p>
      <w:pPr>
        <w:pStyle w:val="Normal"/>
        <w:widowControl/>
        <w:bidi w:val="0"/>
        <w:spacing w:before="0" w:after="240"/>
        <w:ind w:left="0" w:right="-2016" w:hanging="0"/>
        <w:jc w:val="center"/>
        <w:textAlignment w:val="auto"/>
        <w:rPr>
          <w:rFonts w:ascii="Times New Roman" w:hAnsi="Times New Roman"/>
          <w:sz w:val="22"/>
          <w:szCs w:val="22"/>
          <w:lang w:val="ro-MD"/>
        </w:rPr>
      </w:pPr>
      <w:r>
        <w:rPr>
          <w:sz w:val="22"/>
          <w:szCs w:val="22"/>
          <w:lang w:val="ro-MD"/>
        </w:rPr>
      </w:r>
    </w:p>
    <w:p>
      <w:pPr>
        <w:pStyle w:val="Normal"/>
        <w:widowControl/>
        <w:bidi w:val="0"/>
        <w:spacing w:before="0" w:after="240"/>
        <w:ind w:left="0" w:right="-2016" w:hanging="0"/>
        <w:jc w:val="center"/>
        <w:textAlignment w:val="auto"/>
        <w:rPr>
          <w:rFonts w:ascii="Times New Roman" w:hAnsi="Times New Roman"/>
          <w:sz w:val="22"/>
          <w:szCs w:val="22"/>
          <w:lang w:val="ro-MD"/>
        </w:rPr>
      </w:pPr>
      <w:r>
        <w:rPr>
          <w:sz w:val="22"/>
          <w:szCs w:val="22"/>
          <w:lang w:val="ro-MD"/>
        </w:rPr>
      </w:r>
    </w:p>
    <w:p>
      <w:pPr>
        <w:pStyle w:val="Normal"/>
        <w:widowControl/>
        <w:bidi w:val="0"/>
        <w:spacing w:before="0" w:after="240"/>
        <w:ind w:left="0" w:right="-2016" w:hanging="0"/>
        <w:jc w:val="center"/>
        <w:textAlignment w:val="auto"/>
        <w:rPr>
          <w:rFonts w:ascii="Times New Roman" w:hAnsi="Times New Roman"/>
          <w:sz w:val="22"/>
          <w:szCs w:val="22"/>
          <w:lang w:val="ro-MD"/>
        </w:rPr>
      </w:pPr>
      <w:r>
        <w:rPr>
          <w:sz w:val="22"/>
          <w:szCs w:val="22"/>
          <w:lang w:val="ro-MD"/>
        </w:rPr>
      </w:r>
    </w:p>
    <w:p>
      <w:pPr>
        <w:pStyle w:val="Normal"/>
        <w:widowControl/>
        <w:bidi w:val="0"/>
        <w:spacing w:before="0" w:after="240"/>
        <w:ind w:left="0" w:right="-2016" w:hanging="0"/>
        <w:jc w:val="center"/>
        <w:textAlignment w:val="auto"/>
        <w:rPr>
          <w:rFonts w:ascii="Times New Roman" w:hAnsi="Times New Roman"/>
          <w:sz w:val="22"/>
          <w:szCs w:val="22"/>
          <w:lang w:val="ro-MD"/>
        </w:rPr>
      </w:pPr>
      <w:r>
        <w:rPr>
          <w:sz w:val="22"/>
          <w:szCs w:val="22"/>
          <w:lang w:val="ro-MD"/>
        </w:rPr>
      </w:r>
    </w:p>
    <w:p>
      <w:pPr>
        <w:pStyle w:val="Normal"/>
        <w:widowControl/>
        <w:bidi w:val="0"/>
        <w:spacing w:before="0" w:after="240"/>
        <w:ind w:left="0" w:right="-2016" w:hanging="0"/>
        <w:jc w:val="center"/>
        <w:textAlignment w:val="auto"/>
        <w:rPr>
          <w:rFonts w:ascii="Times New Roman" w:hAnsi="Times New Roman"/>
          <w:sz w:val="22"/>
          <w:szCs w:val="22"/>
          <w:lang w:val="ro-MD"/>
        </w:rPr>
      </w:pPr>
      <w:r>
        <w:rPr>
          <w:sz w:val="22"/>
          <w:szCs w:val="22"/>
          <w:lang w:val="ro-MD"/>
        </w:rPr>
      </w:r>
    </w:p>
    <w:p>
      <w:pPr>
        <w:pStyle w:val="Normal"/>
        <w:widowControl/>
        <w:bidi w:val="0"/>
        <w:spacing w:before="0" w:after="240"/>
        <w:ind w:left="0" w:right="-2016" w:hanging="0"/>
        <w:jc w:val="center"/>
        <w:textAlignment w:val="auto"/>
        <w:rPr>
          <w:rFonts w:ascii="Times New Roman" w:hAnsi="Times New Roman"/>
          <w:sz w:val="22"/>
          <w:szCs w:val="22"/>
          <w:lang w:val="ro-MD"/>
        </w:rPr>
      </w:pPr>
      <w:r>
        <w:rPr>
          <w:sz w:val="22"/>
          <w:szCs w:val="22"/>
          <w:lang w:val="ro-MD"/>
        </w:rPr>
      </w:r>
    </w:p>
    <w:tbl>
      <w:tblPr>
        <w:tblW w:w="11058" w:type="dxa"/>
        <w:jc w:val="left"/>
        <w:tblInd w:w="-994"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0" w:type="dxa"/>
          <w:left w:w="98" w:type="dxa"/>
          <w:bottom w:w="0" w:type="dxa"/>
          <w:right w:w="108" w:type="dxa"/>
        </w:tblCellMar>
      </w:tblPr>
      <w:tblGrid>
        <w:gridCol w:w="956"/>
        <w:gridCol w:w="3625"/>
        <w:gridCol w:w="836"/>
        <w:gridCol w:w="92"/>
        <w:gridCol w:w="54"/>
        <w:gridCol w:w="705"/>
        <w:gridCol w:w="20"/>
        <w:gridCol w:w="1"/>
        <w:gridCol w:w="779"/>
        <w:gridCol w:w="52"/>
        <w:gridCol w:w="14"/>
        <w:gridCol w:w="39"/>
        <w:gridCol w:w="1"/>
        <w:gridCol w:w="567"/>
        <w:gridCol w:w="88"/>
        <w:gridCol w:w="18"/>
        <w:gridCol w:w="1"/>
        <w:gridCol w:w="36"/>
        <w:gridCol w:w="560"/>
        <w:gridCol w:w="2"/>
        <w:gridCol w:w="570"/>
        <w:gridCol w:w="1"/>
        <w:gridCol w:w="729"/>
        <w:gridCol w:w="1"/>
        <w:gridCol w:w="595"/>
        <w:gridCol w:w="1"/>
        <w:gridCol w:w="288"/>
        <w:gridCol w:w="129"/>
        <w:gridCol w:w="1"/>
        <w:gridCol w:w="296"/>
      </w:tblGrid>
      <w:tr>
        <w:trPr>
          <w:trHeight w:val="540" w:hRule="atLeast"/>
        </w:trPr>
        <w:tc>
          <w:tcPr>
            <w:tcW w:w="11057" w:type="dxa"/>
            <w:gridSpan w:val="30"/>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pPr>
            <w:bookmarkStart w:id="423" w:name="RANGE!A1:L33"/>
            <w:bookmarkEnd w:id="423"/>
            <w:r>
              <w:rPr>
                <w:rFonts w:cs="Times New Roman CE" w:ascii="Times New Roman CE" w:hAnsi="Times New Roman CE"/>
                <w:b/>
                <w:bCs/>
                <w:sz w:val="20"/>
                <w:szCs w:val="20"/>
              </w:rPr>
              <w:t>2.2 CADRUL DE FINANŢARE ÎN 2016</w:t>
            </w:r>
          </w:p>
        </w:tc>
      </w:tr>
      <w:tr>
        <w:trPr>
          <w:trHeight w:val="375" w:hRule="atLeast"/>
        </w:trPr>
        <w:tc>
          <w:tcPr>
            <w:tcW w:w="956" w:type="dxa"/>
            <w:vMerge w:val="restart"/>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pPr>
            <w:r>
              <w:rPr>
                <w:b/>
                <w:bCs/>
                <w:sz w:val="20"/>
                <w:szCs w:val="20"/>
              </w:rPr>
              <w:t>Nr. d/o</w:t>
            </w:r>
          </w:p>
        </w:tc>
        <w:tc>
          <w:tcPr>
            <w:tcW w:w="3625" w:type="dxa"/>
            <w:vMerge w:val="restart"/>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24" w:right="0" w:hanging="24"/>
              <w:jc w:val="center"/>
              <w:textAlignment w:val="auto"/>
              <w:rPr/>
            </w:pPr>
            <w:r>
              <w:rPr>
                <w:b/>
                <w:bCs/>
                <w:sz w:val="20"/>
                <w:szCs w:val="20"/>
              </w:rPr>
              <w:t> </w:t>
            </w:r>
          </w:p>
        </w:tc>
        <w:tc>
          <w:tcPr>
            <w:tcW w:w="836" w:type="dxa"/>
            <w:vMerge w:val="restart"/>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extDirection w:val="btLr"/>
            <w:vAlign w:val="center"/>
          </w:tcPr>
          <w:p>
            <w:pPr>
              <w:pStyle w:val="Normal"/>
              <w:widowControl/>
              <w:bidi w:val="0"/>
              <w:ind w:left="0" w:right="0" w:hanging="0"/>
              <w:jc w:val="center"/>
              <w:textAlignment w:val="auto"/>
              <w:rPr>
                <w:lang w:val="fr-FR"/>
              </w:rPr>
            </w:pPr>
            <w:r>
              <w:rPr>
                <w:b/>
                <w:bCs/>
                <w:sz w:val="20"/>
                <w:szCs w:val="20"/>
                <w:lang w:val="fr-FR"/>
              </w:rPr>
              <w:t xml:space="preserve">Volumul mijloacelor  financiare, </w:t>
            </w:r>
            <w:r>
              <w:rPr>
                <w:b/>
                <w:bCs/>
                <w:color w:val="FF0000"/>
                <w:sz w:val="20"/>
                <w:szCs w:val="20"/>
                <w:lang w:val="fr-FR"/>
              </w:rPr>
              <w:t xml:space="preserve">executat (de casa), </w:t>
            </w:r>
            <w:r>
              <w:rPr>
                <w:b/>
                <w:bCs/>
                <w:sz w:val="20"/>
                <w:szCs w:val="20"/>
                <w:lang w:val="fr-FR"/>
              </w:rPr>
              <w:t>mii lei</w:t>
            </w:r>
          </w:p>
        </w:tc>
        <w:tc>
          <w:tcPr>
            <w:tcW w:w="851" w:type="dxa"/>
            <w:gridSpan w:val="3"/>
            <w:vMerge w:val="restart"/>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extDirection w:val="btLr"/>
            <w:vAlign w:val="center"/>
          </w:tcPr>
          <w:p>
            <w:pPr>
              <w:pStyle w:val="Normal"/>
              <w:widowControl/>
              <w:bidi w:val="0"/>
              <w:ind w:left="-250" w:right="0" w:firstLine="250"/>
              <w:jc w:val="center"/>
              <w:textAlignment w:val="auto"/>
              <w:rPr/>
            </w:pPr>
            <w:r>
              <w:rPr>
                <w:b/>
                <w:bCs/>
                <w:sz w:val="20"/>
                <w:szCs w:val="20"/>
              </w:rPr>
              <w:t>Cheltuieli curente, total</w:t>
            </w:r>
          </w:p>
        </w:tc>
        <w:tc>
          <w:tcPr>
            <w:tcW w:w="2749" w:type="dxa"/>
            <w:gridSpan w:val="16"/>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pPr>
            <w:r>
              <w:rPr>
                <w:b/>
                <w:bCs/>
                <w:sz w:val="20"/>
                <w:szCs w:val="20"/>
              </w:rPr>
              <w:t>inclusiv</w:t>
            </w:r>
          </w:p>
        </w:tc>
        <w:tc>
          <w:tcPr>
            <w:tcW w:w="730" w:type="dxa"/>
            <w:gridSpan w:val="2"/>
            <w:vMerge w:val="restart"/>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extDirection w:val="btLr"/>
            <w:vAlign w:val="center"/>
          </w:tcPr>
          <w:p>
            <w:pPr>
              <w:pStyle w:val="Normal"/>
              <w:widowControl/>
              <w:bidi w:val="0"/>
              <w:ind w:left="0" w:right="0" w:hanging="0"/>
              <w:jc w:val="center"/>
              <w:textAlignment w:val="auto"/>
              <w:rPr/>
            </w:pPr>
            <w:r>
              <w:rPr>
                <w:b/>
                <w:bCs/>
                <w:sz w:val="20"/>
                <w:szCs w:val="20"/>
              </w:rPr>
              <w:t>Cheltuieli capitale, total</w:t>
            </w:r>
          </w:p>
        </w:tc>
        <w:tc>
          <w:tcPr>
            <w:tcW w:w="1310" w:type="dxa"/>
            <w:gridSpan w:val="6"/>
            <w:tcBorders>
              <w:top w:val="single" w:sz="8" w:space="0" w:color="000001"/>
              <w:right w:val="single" w:sz="8" w:space="0" w:color="000001"/>
              <w:insideV w:val="single" w:sz="8" w:space="0" w:color="000001"/>
            </w:tcBorders>
            <w:shd w:fill="auto" w:val="clear"/>
            <w:vAlign w:val="center"/>
          </w:tcPr>
          <w:p>
            <w:pPr>
              <w:pStyle w:val="Normal"/>
              <w:widowControl/>
              <w:bidi w:val="0"/>
              <w:ind w:left="0" w:right="0" w:hanging="0"/>
              <w:jc w:val="center"/>
              <w:textAlignment w:val="auto"/>
              <w:rPr/>
            </w:pPr>
            <w:r>
              <w:rPr>
                <w:b/>
                <w:bCs/>
                <w:sz w:val="20"/>
                <w:szCs w:val="20"/>
              </w:rPr>
              <w:t>inclusiv</w:t>
            </w:r>
          </w:p>
        </w:tc>
      </w:tr>
      <w:tr>
        <w:trPr>
          <w:trHeight w:val="1755" w:hRule="atLeast"/>
        </w:trPr>
        <w:tc>
          <w:tcPr>
            <w:tcW w:w="956" w:type="dxa"/>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b/>
                <w:b/>
                <w:bCs/>
                <w:sz w:val="20"/>
                <w:szCs w:val="20"/>
              </w:rPr>
            </w:pPr>
            <w:r>
              <w:rPr>
                <w:b/>
                <w:bCs/>
                <w:sz w:val="20"/>
                <w:szCs w:val="20"/>
              </w:rPr>
            </w:r>
          </w:p>
        </w:tc>
        <w:tc>
          <w:tcPr>
            <w:tcW w:w="3625" w:type="dxa"/>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b/>
                <w:b/>
                <w:bCs/>
                <w:sz w:val="20"/>
                <w:szCs w:val="20"/>
              </w:rPr>
            </w:pPr>
            <w:r>
              <w:rPr>
                <w:b/>
                <w:bCs/>
                <w:sz w:val="20"/>
                <w:szCs w:val="20"/>
              </w:rPr>
            </w:r>
          </w:p>
        </w:tc>
        <w:tc>
          <w:tcPr>
            <w:tcW w:w="836" w:type="dxa"/>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b/>
                <w:b/>
                <w:bCs/>
                <w:sz w:val="20"/>
                <w:szCs w:val="20"/>
              </w:rPr>
            </w:pPr>
            <w:r>
              <w:rPr>
                <w:b/>
                <w:bCs/>
                <w:sz w:val="20"/>
                <w:szCs w:val="20"/>
              </w:rPr>
            </w:r>
          </w:p>
        </w:tc>
        <w:tc>
          <w:tcPr>
            <w:tcW w:w="851" w:type="dxa"/>
            <w:gridSpan w:val="3"/>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b/>
                <w:b/>
                <w:bCs/>
                <w:sz w:val="20"/>
                <w:szCs w:val="20"/>
              </w:rPr>
            </w:pPr>
            <w:r>
              <w:rPr>
                <w:b/>
                <w:bCs/>
                <w:sz w:val="20"/>
                <w:szCs w:val="20"/>
              </w:rPr>
            </w:r>
          </w:p>
        </w:tc>
        <w:tc>
          <w:tcPr>
            <w:tcW w:w="906" w:type="dxa"/>
            <w:gridSpan w:val="7"/>
            <w:vMerge w:val="restart"/>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extDirection w:val="btLr"/>
            <w:vAlign w:val="center"/>
          </w:tcPr>
          <w:p>
            <w:pPr>
              <w:pStyle w:val="Normal"/>
              <w:widowControl/>
              <w:bidi w:val="0"/>
              <w:ind w:left="0" w:right="0" w:hanging="0"/>
              <w:jc w:val="center"/>
              <w:textAlignment w:val="auto"/>
              <w:rPr/>
            </w:pPr>
            <w:r>
              <w:rPr>
                <w:b/>
                <w:bCs/>
                <w:sz w:val="20"/>
                <w:szCs w:val="20"/>
              </w:rPr>
              <w:t>Cheltuieli de personal</w:t>
            </w:r>
          </w:p>
        </w:tc>
        <w:tc>
          <w:tcPr>
            <w:tcW w:w="710" w:type="dxa"/>
            <w:gridSpan w:val="5"/>
            <w:vMerge w:val="restart"/>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extDirection w:val="btLr"/>
            <w:vAlign w:val="center"/>
          </w:tcPr>
          <w:p>
            <w:pPr>
              <w:pStyle w:val="Normal"/>
              <w:widowControl/>
              <w:bidi w:val="0"/>
              <w:ind w:left="0" w:right="0" w:hanging="0"/>
              <w:jc w:val="center"/>
              <w:textAlignment w:val="auto"/>
              <w:rPr/>
            </w:pPr>
            <w:r>
              <w:rPr>
                <w:rFonts w:cs="Times New Roman CE" w:ascii="Times New Roman CE" w:hAnsi="Times New Roman CE"/>
                <w:b/>
                <w:bCs/>
                <w:sz w:val="20"/>
                <w:szCs w:val="20"/>
              </w:rPr>
              <w:t>Plata mărfurilor ş</w:t>
            </w:r>
            <w:r>
              <w:rPr>
                <w:b/>
                <w:bCs/>
                <w:sz w:val="20"/>
                <w:szCs w:val="20"/>
              </w:rPr>
              <w:t>i serviciilor</w:t>
            </w:r>
          </w:p>
        </w:tc>
        <w:tc>
          <w:tcPr>
            <w:tcW w:w="562" w:type="dxa"/>
            <w:gridSpan w:val="2"/>
            <w:vMerge w:val="restart"/>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extDirection w:val="btLr"/>
            <w:vAlign w:val="center"/>
          </w:tcPr>
          <w:p>
            <w:pPr>
              <w:pStyle w:val="Normal"/>
              <w:widowControl/>
              <w:bidi w:val="0"/>
              <w:ind w:left="0" w:right="0" w:hanging="0"/>
              <w:jc w:val="center"/>
              <w:textAlignment w:val="auto"/>
              <w:rPr/>
            </w:pPr>
            <w:r>
              <w:rPr>
                <w:rFonts w:cs="Times New Roman CE" w:ascii="Times New Roman CE" w:hAnsi="Times New Roman CE"/>
                <w:b/>
                <w:bCs/>
                <w:sz w:val="20"/>
                <w:szCs w:val="20"/>
              </w:rPr>
              <w:t>Alocaţii pentru deplasări</w:t>
            </w:r>
          </w:p>
        </w:tc>
        <w:tc>
          <w:tcPr>
            <w:tcW w:w="571" w:type="dxa"/>
            <w:gridSpan w:val="2"/>
            <w:vMerge w:val="restart"/>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extDirection w:val="btLr"/>
            <w:vAlign w:val="center"/>
          </w:tcPr>
          <w:p>
            <w:pPr>
              <w:pStyle w:val="Normal"/>
              <w:widowControl/>
              <w:bidi w:val="0"/>
              <w:ind w:left="0" w:right="0" w:hanging="0"/>
              <w:jc w:val="center"/>
              <w:textAlignment w:val="auto"/>
              <w:rPr/>
            </w:pPr>
            <w:r>
              <w:rPr>
                <w:b/>
                <w:bCs/>
                <w:sz w:val="20"/>
                <w:szCs w:val="20"/>
              </w:rPr>
              <w:t>Alte</w:t>
            </w:r>
          </w:p>
        </w:tc>
        <w:tc>
          <w:tcPr>
            <w:tcW w:w="730" w:type="dxa"/>
            <w:gridSpan w:val="2"/>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b/>
                <w:b/>
                <w:bCs/>
                <w:sz w:val="20"/>
                <w:szCs w:val="20"/>
              </w:rPr>
            </w:pPr>
            <w:r>
              <w:rPr>
                <w:b/>
                <w:bCs/>
                <w:sz w:val="20"/>
                <w:szCs w:val="20"/>
              </w:rPr>
            </w:r>
          </w:p>
        </w:tc>
        <w:tc>
          <w:tcPr>
            <w:tcW w:w="596" w:type="dxa"/>
            <w:gridSpan w:val="2"/>
            <w:vMerge w:val="restart"/>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extDirection w:val="btLr"/>
            <w:vAlign w:val="center"/>
          </w:tcPr>
          <w:p>
            <w:pPr>
              <w:pStyle w:val="Normal"/>
              <w:widowControl/>
              <w:bidi w:val="0"/>
              <w:ind w:left="0" w:right="0" w:hanging="0"/>
              <w:jc w:val="center"/>
              <w:textAlignment w:val="auto"/>
              <w:rPr/>
            </w:pPr>
            <w:r>
              <w:rPr>
                <w:b/>
                <w:bCs/>
                <w:sz w:val="20"/>
                <w:szCs w:val="20"/>
              </w:rPr>
              <w:t>Procurarea mijloacelor fixe</w:t>
            </w:r>
          </w:p>
        </w:tc>
        <w:tc>
          <w:tcPr>
            <w:tcW w:w="288" w:type="dxa"/>
            <w:vMerge w:val="restart"/>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extDirection w:val="btLr"/>
            <w:vAlign w:val="center"/>
          </w:tcPr>
          <w:p>
            <w:pPr>
              <w:pStyle w:val="Normal"/>
              <w:widowControl/>
              <w:bidi w:val="0"/>
              <w:ind w:left="0" w:right="0" w:hanging="0"/>
              <w:jc w:val="center"/>
              <w:textAlignment w:val="auto"/>
              <w:rPr/>
            </w:pPr>
            <w:r>
              <w:rPr>
                <w:rFonts w:cs="Times New Roman CE" w:ascii="Times New Roman CE" w:hAnsi="Times New Roman CE"/>
                <w:b/>
                <w:bCs/>
                <w:sz w:val="20"/>
                <w:szCs w:val="20"/>
              </w:rPr>
              <w:t>Reparaţii capitale</w:t>
            </w:r>
          </w:p>
        </w:tc>
        <w:tc>
          <w:tcPr>
            <w:tcW w:w="426" w:type="dxa"/>
            <w:gridSpan w:val="3"/>
            <w:vMerge w:val="restart"/>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extDirection w:val="btLr"/>
            <w:vAlign w:val="center"/>
          </w:tcPr>
          <w:p>
            <w:pPr>
              <w:pStyle w:val="Normal"/>
              <w:widowControl/>
              <w:bidi w:val="0"/>
              <w:ind w:left="0" w:right="0" w:hanging="0"/>
              <w:jc w:val="center"/>
              <w:textAlignment w:val="auto"/>
              <w:rPr/>
            </w:pPr>
            <w:r>
              <w:rPr>
                <w:rFonts w:cs="Times New Roman CE" w:ascii="Times New Roman CE" w:hAnsi="Times New Roman CE"/>
                <w:b/>
                <w:bCs/>
                <w:sz w:val="20"/>
                <w:szCs w:val="20"/>
              </w:rPr>
              <w:t>Investiţii capitale</w:t>
            </w:r>
          </w:p>
        </w:tc>
      </w:tr>
      <w:tr>
        <w:trPr>
          <w:trHeight w:val="1395" w:hRule="atLeast"/>
        </w:trPr>
        <w:tc>
          <w:tcPr>
            <w:tcW w:w="956" w:type="dxa"/>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b/>
                <w:b/>
                <w:bCs/>
                <w:sz w:val="20"/>
                <w:szCs w:val="20"/>
              </w:rPr>
            </w:pPr>
            <w:r>
              <w:rPr>
                <w:b/>
                <w:bCs/>
                <w:sz w:val="20"/>
                <w:szCs w:val="20"/>
              </w:rPr>
            </w:r>
          </w:p>
        </w:tc>
        <w:tc>
          <w:tcPr>
            <w:tcW w:w="3625" w:type="dxa"/>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b/>
                <w:b/>
                <w:bCs/>
                <w:sz w:val="20"/>
                <w:szCs w:val="20"/>
              </w:rPr>
            </w:pPr>
            <w:r>
              <w:rPr>
                <w:b/>
                <w:bCs/>
                <w:sz w:val="20"/>
                <w:szCs w:val="20"/>
              </w:rPr>
            </w:r>
          </w:p>
        </w:tc>
        <w:tc>
          <w:tcPr>
            <w:tcW w:w="836" w:type="dxa"/>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b/>
                <w:b/>
                <w:bCs/>
                <w:sz w:val="20"/>
                <w:szCs w:val="20"/>
              </w:rPr>
            </w:pPr>
            <w:r>
              <w:rPr>
                <w:b/>
                <w:bCs/>
                <w:sz w:val="20"/>
                <w:szCs w:val="20"/>
              </w:rPr>
            </w:r>
          </w:p>
        </w:tc>
        <w:tc>
          <w:tcPr>
            <w:tcW w:w="851" w:type="dxa"/>
            <w:gridSpan w:val="3"/>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b/>
                <w:b/>
                <w:bCs/>
                <w:sz w:val="20"/>
                <w:szCs w:val="20"/>
              </w:rPr>
            </w:pPr>
            <w:r>
              <w:rPr>
                <w:b/>
                <w:bCs/>
                <w:sz w:val="20"/>
                <w:szCs w:val="20"/>
              </w:rPr>
            </w:r>
          </w:p>
        </w:tc>
        <w:tc>
          <w:tcPr>
            <w:tcW w:w="906" w:type="dxa"/>
            <w:gridSpan w:val="7"/>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b/>
                <w:b/>
                <w:bCs/>
                <w:sz w:val="20"/>
                <w:szCs w:val="20"/>
              </w:rPr>
            </w:pPr>
            <w:r>
              <w:rPr>
                <w:b/>
                <w:bCs/>
                <w:sz w:val="20"/>
                <w:szCs w:val="20"/>
              </w:rPr>
            </w:r>
          </w:p>
        </w:tc>
        <w:tc>
          <w:tcPr>
            <w:tcW w:w="710" w:type="dxa"/>
            <w:gridSpan w:val="5"/>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b/>
                <w:b/>
                <w:bCs/>
                <w:sz w:val="20"/>
                <w:szCs w:val="20"/>
              </w:rPr>
            </w:pPr>
            <w:r>
              <w:rPr>
                <w:b/>
                <w:bCs/>
                <w:sz w:val="20"/>
                <w:szCs w:val="20"/>
              </w:rPr>
            </w:r>
          </w:p>
        </w:tc>
        <w:tc>
          <w:tcPr>
            <w:tcW w:w="562" w:type="dxa"/>
            <w:gridSpan w:val="2"/>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b/>
                <w:b/>
                <w:bCs/>
                <w:sz w:val="20"/>
                <w:szCs w:val="20"/>
              </w:rPr>
            </w:pPr>
            <w:r>
              <w:rPr>
                <w:b/>
                <w:bCs/>
                <w:sz w:val="20"/>
                <w:szCs w:val="20"/>
              </w:rPr>
            </w:r>
          </w:p>
        </w:tc>
        <w:tc>
          <w:tcPr>
            <w:tcW w:w="571" w:type="dxa"/>
            <w:gridSpan w:val="2"/>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b/>
                <w:b/>
                <w:bCs/>
                <w:sz w:val="20"/>
                <w:szCs w:val="20"/>
              </w:rPr>
            </w:pPr>
            <w:r>
              <w:rPr>
                <w:b/>
                <w:bCs/>
                <w:sz w:val="20"/>
                <w:szCs w:val="20"/>
              </w:rPr>
            </w:r>
          </w:p>
        </w:tc>
        <w:tc>
          <w:tcPr>
            <w:tcW w:w="730" w:type="dxa"/>
            <w:gridSpan w:val="2"/>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b/>
                <w:b/>
                <w:bCs/>
                <w:sz w:val="20"/>
                <w:szCs w:val="20"/>
              </w:rPr>
            </w:pPr>
            <w:r>
              <w:rPr>
                <w:b/>
                <w:bCs/>
                <w:sz w:val="20"/>
                <w:szCs w:val="20"/>
              </w:rPr>
            </w:r>
          </w:p>
        </w:tc>
        <w:tc>
          <w:tcPr>
            <w:tcW w:w="596" w:type="dxa"/>
            <w:gridSpan w:val="2"/>
            <w:vMerge w:val="continue"/>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b/>
                <w:b/>
                <w:bCs/>
                <w:sz w:val="20"/>
                <w:szCs w:val="20"/>
              </w:rPr>
            </w:pPr>
            <w:r>
              <w:rPr>
                <w:b/>
                <w:bCs/>
                <w:sz w:val="20"/>
                <w:szCs w:val="20"/>
              </w:rPr>
            </w:r>
          </w:p>
        </w:tc>
        <w:tc>
          <w:tcPr>
            <w:tcW w:w="288" w:type="dxa"/>
            <w:vMerge w:val="continue"/>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b/>
                <w:b/>
                <w:bCs/>
                <w:sz w:val="20"/>
                <w:szCs w:val="20"/>
              </w:rPr>
            </w:pPr>
            <w:r>
              <w:rPr>
                <w:b/>
                <w:bCs/>
                <w:sz w:val="20"/>
                <w:szCs w:val="20"/>
              </w:rPr>
            </w:r>
          </w:p>
        </w:tc>
        <w:tc>
          <w:tcPr>
            <w:tcW w:w="426" w:type="dxa"/>
            <w:gridSpan w:val="3"/>
            <w:vMerge w:val="continue"/>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b/>
                <w:b/>
                <w:bCs/>
                <w:sz w:val="20"/>
                <w:szCs w:val="20"/>
              </w:rPr>
            </w:pPr>
            <w:r>
              <w:rPr>
                <w:b/>
                <w:bCs/>
                <w:sz w:val="20"/>
                <w:szCs w:val="20"/>
              </w:rPr>
            </w:r>
          </w:p>
        </w:tc>
      </w:tr>
      <w:tr>
        <w:trPr>
          <w:trHeight w:val="485" w:hRule="atLeast"/>
        </w:trPr>
        <w:tc>
          <w:tcPr>
            <w:tcW w:w="95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249" w:right="0" w:hanging="0"/>
              <w:jc w:val="left"/>
              <w:textAlignment w:val="auto"/>
              <w:rPr/>
            </w:pPr>
            <w:r>
              <w:rPr>
                <w:b/>
                <w:bCs/>
                <w:sz w:val="20"/>
                <w:szCs w:val="20"/>
              </w:rPr>
              <w:t>2.2.</w:t>
            </w:r>
          </w:p>
        </w:tc>
        <w:tc>
          <w:tcPr>
            <w:tcW w:w="3625"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rFonts w:cs="Times New Roman CE" w:ascii="Times New Roman CE" w:hAnsi="Times New Roman CE"/>
                <w:b/>
                <w:bCs/>
                <w:sz w:val="20"/>
                <w:szCs w:val="20"/>
              </w:rPr>
              <w:t>TOTAL, ALOCAŢII BUGETARE</w:t>
            </w:r>
          </w:p>
        </w:tc>
        <w:tc>
          <w:tcPr>
            <w:tcW w:w="836" w:type="dxa"/>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5595,5</w:t>
            </w:r>
          </w:p>
        </w:tc>
        <w:tc>
          <w:tcPr>
            <w:tcW w:w="851"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5595,5</w:t>
            </w:r>
          </w:p>
        </w:tc>
        <w:tc>
          <w:tcPr>
            <w:tcW w:w="852" w:type="dxa"/>
            <w:gridSpan w:val="4"/>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4833,5</w:t>
            </w:r>
          </w:p>
        </w:tc>
        <w:tc>
          <w:tcPr>
            <w:tcW w:w="709" w:type="dxa"/>
            <w:gridSpan w:val="5"/>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694,2</w:t>
            </w:r>
          </w:p>
        </w:tc>
        <w:tc>
          <w:tcPr>
            <w:tcW w:w="617" w:type="dxa"/>
            <w:gridSpan w:val="5"/>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52,7</w:t>
            </w:r>
          </w:p>
        </w:tc>
        <w:tc>
          <w:tcPr>
            <w:tcW w:w="571"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15,1</w:t>
            </w:r>
          </w:p>
        </w:tc>
        <w:tc>
          <w:tcPr>
            <w:tcW w:w="730"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596"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288" w:type="dxa"/>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426"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107" w:right="0" w:hanging="0"/>
              <w:jc w:val="left"/>
              <w:textAlignment w:val="auto"/>
              <w:rPr/>
            </w:pPr>
            <w:r>
              <w:rPr>
                <w:b/>
                <w:bCs/>
                <w:sz w:val="20"/>
                <w:szCs w:val="20"/>
              </w:rPr>
              <w:t>0</w:t>
            </w:r>
          </w:p>
        </w:tc>
      </w:tr>
      <w:tr>
        <w:trPr>
          <w:trHeight w:val="330" w:hRule="atLeast"/>
        </w:trPr>
        <w:tc>
          <w:tcPr>
            <w:tcW w:w="95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249" w:right="0" w:hanging="0"/>
              <w:jc w:val="left"/>
              <w:textAlignment w:val="auto"/>
              <w:rPr/>
            </w:pPr>
            <w:r>
              <w:rPr>
                <w:sz w:val="20"/>
                <w:szCs w:val="20"/>
              </w:rPr>
              <w:t> </w:t>
            </w:r>
          </w:p>
        </w:tc>
        <w:tc>
          <w:tcPr>
            <w:tcW w:w="3625"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inclusiv</w:t>
            </w:r>
          </w:p>
        </w:tc>
        <w:tc>
          <w:tcPr>
            <w:tcW w:w="6476" w:type="dxa"/>
            <w:gridSpan w:val="28"/>
            <w:tcBorders>
              <w:top w:val="single" w:sz="8" w:space="0" w:color="000001"/>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hanging="0"/>
              <w:jc w:val="left"/>
              <w:textAlignment w:val="auto"/>
              <w:rPr/>
            </w:pPr>
            <w:r>
              <w:rPr>
                <w:b/>
                <w:bCs/>
                <w:sz w:val="20"/>
                <w:szCs w:val="20"/>
              </w:rPr>
              <w:t> </w:t>
            </w:r>
          </w:p>
        </w:tc>
      </w:tr>
      <w:tr>
        <w:trPr>
          <w:trHeight w:val="330" w:hRule="atLeast"/>
        </w:trPr>
        <w:tc>
          <w:tcPr>
            <w:tcW w:w="95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249" w:right="0" w:hanging="0"/>
              <w:jc w:val="left"/>
              <w:textAlignment w:val="auto"/>
              <w:rPr/>
            </w:pPr>
            <w:r>
              <w:rPr>
                <w:b/>
                <w:bCs/>
                <w:sz w:val="20"/>
                <w:szCs w:val="20"/>
              </w:rPr>
              <w:t>2.2.1.</w:t>
            </w:r>
          </w:p>
        </w:tc>
        <w:tc>
          <w:tcPr>
            <w:tcW w:w="3625"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xml:space="preserve">RESURSE GENERALE, TOTAL </w:t>
            </w:r>
          </w:p>
        </w:tc>
        <w:tc>
          <w:tcPr>
            <w:tcW w:w="836" w:type="dxa"/>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5526,1</w:t>
            </w:r>
          </w:p>
        </w:tc>
        <w:tc>
          <w:tcPr>
            <w:tcW w:w="851"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5526,1</w:t>
            </w:r>
          </w:p>
        </w:tc>
        <w:tc>
          <w:tcPr>
            <w:tcW w:w="852" w:type="dxa"/>
            <w:gridSpan w:val="4"/>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4824,9</w:t>
            </w:r>
          </w:p>
        </w:tc>
        <w:tc>
          <w:tcPr>
            <w:tcW w:w="709" w:type="dxa"/>
            <w:gridSpan w:val="5"/>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633,4</w:t>
            </w:r>
          </w:p>
        </w:tc>
        <w:tc>
          <w:tcPr>
            <w:tcW w:w="617" w:type="dxa"/>
            <w:gridSpan w:val="5"/>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52,7</w:t>
            </w:r>
          </w:p>
        </w:tc>
        <w:tc>
          <w:tcPr>
            <w:tcW w:w="571"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15,1</w:t>
            </w:r>
          </w:p>
        </w:tc>
        <w:tc>
          <w:tcPr>
            <w:tcW w:w="730"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596"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288" w:type="dxa"/>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426"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r>
      <w:tr>
        <w:trPr>
          <w:trHeight w:val="261" w:hRule="atLeast"/>
        </w:trPr>
        <w:tc>
          <w:tcPr>
            <w:tcW w:w="95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249" w:right="0" w:hanging="0"/>
              <w:jc w:val="left"/>
              <w:textAlignment w:val="auto"/>
              <w:rPr/>
            </w:pPr>
            <w:r>
              <w:rPr>
                <w:sz w:val="20"/>
                <w:szCs w:val="20"/>
              </w:rPr>
              <w:t> </w:t>
            </w:r>
          </w:p>
        </w:tc>
        <w:tc>
          <w:tcPr>
            <w:tcW w:w="3625"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 xml:space="preserve">Inclusiv </w:t>
            </w:r>
          </w:p>
        </w:tc>
        <w:tc>
          <w:tcPr>
            <w:tcW w:w="6476" w:type="dxa"/>
            <w:gridSpan w:val="28"/>
            <w:tcBorders>
              <w:top w:val="single" w:sz="8" w:space="0" w:color="000001"/>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hanging="0"/>
              <w:jc w:val="left"/>
              <w:textAlignment w:val="auto"/>
              <w:rPr/>
            </w:pPr>
            <w:r>
              <w:rPr>
                <w:b/>
                <w:bCs/>
                <w:sz w:val="20"/>
                <w:szCs w:val="20"/>
              </w:rPr>
              <w:t> </w:t>
            </w:r>
          </w:p>
        </w:tc>
      </w:tr>
      <w:tr>
        <w:trPr>
          <w:trHeight w:val="330" w:hRule="atLeast"/>
        </w:trPr>
        <w:tc>
          <w:tcPr>
            <w:tcW w:w="95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249" w:right="0" w:hanging="0"/>
              <w:jc w:val="left"/>
              <w:textAlignment w:val="auto"/>
              <w:rPr/>
            </w:pPr>
            <w:r>
              <w:rPr>
                <w:b/>
                <w:bCs/>
                <w:sz w:val="20"/>
                <w:szCs w:val="20"/>
              </w:rPr>
              <w:t>2.2.1.1.</w:t>
            </w:r>
          </w:p>
        </w:tc>
        <w:tc>
          <w:tcPr>
            <w:tcW w:w="3625"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rFonts w:cs="Times New Roman CE" w:ascii="Times New Roman CE" w:hAnsi="Times New Roman CE"/>
                <w:b/>
                <w:bCs/>
                <w:sz w:val="20"/>
                <w:szCs w:val="20"/>
              </w:rPr>
              <w:t>Cercetări ştiinţifice fundamentale, total</w:t>
            </w:r>
          </w:p>
        </w:tc>
        <w:tc>
          <w:tcPr>
            <w:tcW w:w="836" w:type="dxa"/>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2107,0</w:t>
            </w:r>
          </w:p>
        </w:tc>
        <w:tc>
          <w:tcPr>
            <w:tcW w:w="851"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2107,0</w:t>
            </w:r>
          </w:p>
        </w:tc>
        <w:tc>
          <w:tcPr>
            <w:tcW w:w="852" w:type="dxa"/>
            <w:gridSpan w:val="4"/>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1965,9</w:t>
            </w:r>
          </w:p>
        </w:tc>
        <w:tc>
          <w:tcPr>
            <w:tcW w:w="709" w:type="dxa"/>
            <w:gridSpan w:val="5"/>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135,8</w:t>
            </w:r>
          </w:p>
        </w:tc>
        <w:tc>
          <w:tcPr>
            <w:tcW w:w="617" w:type="dxa"/>
            <w:gridSpan w:val="5"/>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571"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5,3</w:t>
            </w:r>
          </w:p>
        </w:tc>
        <w:tc>
          <w:tcPr>
            <w:tcW w:w="730"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596"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288" w:type="dxa"/>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426"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r>
      <w:tr>
        <w:trPr>
          <w:trHeight w:val="199" w:hRule="atLeast"/>
        </w:trPr>
        <w:tc>
          <w:tcPr>
            <w:tcW w:w="95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249" w:right="0" w:hanging="0"/>
              <w:jc w:val="left"/>
              <w:textAlignment w:val="auto"/>
              <w:rPr/>
            </w:pPr>
            <w:r>
              <w:rPr>
                <w:sz w:val="20"/>
                <w:szCs w:val="20"/>
              </w:rPr>
              <w:t> </w:t>
            </w:r>
          </w:p>
        </w:tc>
        <w:tc>
          <w:tcPr>
            <w:tcW w:w="3625"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 xml:space="preserve">Inclusiv </w:t>
            </w:r>
          </w:p>
        </w:tc>
        <w:tc>
          <w:tcPr>
            <w:tcW w:w="6476" w:type="dxa"/>
            <w:gridSpan w:val="28"/>
            <w:tcBorders>
              <w:top w:val="single" w:sz="8" w:space="0" w:color="000001"/>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hanging="0"/>
              <w:jc w:val="left"/>
              <w:textAlignment w:val="auto"/>
              <w:rPr/>
            </w:pPr>
            <w:r>
              <w:rPr>
                <w:b/>
                <w:bCs/>
                <w:sz w:val="20"/>
                <w:szCs w:val="20"/>
              </w:rPr>
              <w:t> </w:t>
            </w:r>
          </w:p>
        </w:tc>
      </w:tr>
      <w:tr>
        <w:trPr>
          <w:trHeight w:val="330" w:hRule="atLeast"/>
        </w:trPr>
        <w:tc>
          <w:tcPr>
            <w:tcW w:w="95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249" w:right="0" w:hanging="0"/>
              <w:jc w:val="left"/>
              <w:textAlignment w:val="auto"/>
              <w:rPr/>
            </w:pPr>
            <w:r>
              <w:rPr>
                <w:sz w:val="20"/>
                <w:szCs w:val="20"/>
              </w:rPr>
              <w:t>2.2.1.1.1.</w:t>
            </w:r>
          </w:p>
        </w:tc>
        <w:tc>
          <w:tcPr>
            <w:tcW w:w="3625"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rFonts w:cs="Times New Roman CE" w:ascii="Times New Roman CE" w:hAnsi="Times New Roman CE"/>
                <w:sz w:val="20"/>
                <w:szCs w:val="20"/>
              </w:rPr>
              <w:t>Proiecte de cercetări instituţionale</w:t>
            </w:r>
          </w:p>
        </w:tc>
        <w:tc>
          <w:tcPr>
            <w:tcW w:w="836" w:type="dxa"/>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872" w:type="dxa"/>
            <w:gridSpan w:val="5"/>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845"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714" w:type="dxa"/>
            <w:gridSpan w:val="6"/>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598"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571"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730"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596"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418"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pPr>
            <w:r>
              <w:rPr>
                <w:b/>
                <w:bCs/>
                <w:sz w:val="20"/>
                <w:szCs w:val="20"/>
              </w:rPr>
              <w:t> </w:t>
            </w:r>
          </w:p>
        </w:tc>
        <w:tc>
          <w:tcPr>
            <w:tcW w:w="296"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r>
      <w:tr>
        <w:trPr>
          <w:trHeight w:val="330" w:hRule="atLeast"/>
        </w:trPr>
        <w:tc>
          <w:tcPr>
            <w:tcW w:w="95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249" w:right="0" w:hanging="0"/>
              <w:jc w:val="left"/>
              <w:textAlignment w:val="auto"/>
              <w:rPr/>
            </w:pPr>
            <w:r>
              <w:rPr>
                <w:sz w:val="20"/>
                <w:szCs w:val="20"/>
              </w:rPr>
              <w:t>2.2.1.1.2.</w:t>
            </w:r>
          </w:p>
        </w:tc>
        <w:tc>
          <w:tcPr>
            <w:tcW w:w="3625"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fr-FR"/>
              </w:rPr>
            </w:pPr>
            <w:r>
              <w:rPr>
                <w:sz w:val="20"/>
                <w:szCs w:val="20"/>
                <w:lang w:val="fr-FR"/>
              </w:rPr>
              <w:t>Proiecte din cadrul programelor de stat</w:t>
            </w:r>
          </w:p>
        </w:tc>
        <w:tc>
          <w:tcPr>
            <w:tcW w:w="836" w:type="dxa"/>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872" w:type="dxa"/>
            <w:gridSpan w:val="5"/>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845"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714" w:type="dxa"/>
            <w:gridSpan w:val="6"/>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598"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571"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730"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596"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418"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pPr>
            <w:r>
              <w:rPr>
                <w:b/>
                <w:bCs/>
                <w:sz w:val="20"/>
                <w:szCs w:val="20"/>
              </w:rPr>
              <w:t> </w:t>
            </w:r>
          </w:p>
        </w:tc>
        <w:tc>
          <w:tcPr>
            <w:tcW w:w="296"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r>
      <w:tr>
        <w:trPr>
          <w:trHeight w:val="330" w:hRule="atLeast"/>
        </w:trPr>
        <w:tc>
          <w:tcPr>
            <w:tcW w:w="95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249" w:right="0" w:hanging="0"/>
              <w:jc w:val="left"/>
              <w:textAlignment w:val="auto"/>
              <w:rPr/>
            </w:pPr>
            <w:r>
              <w:rPr>
                <w:sz w:val="20"/>
                <w:szCs w:val="20"/>
              </w:rPr>
              <w:t>2.2.1.1.3.</w:t>
            </w:r>
          </w:p>
        </w:tc>
        <w:tc>
          <w:tcPr>
            <w:tcW w:w="3625"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rFonts w:cs="Times New Roman CE" w:ascii="Times New Roman CE" w:hAnsi="Times New Roman CE"/>
                <w:sz w:val="20"/>
                <w:szCs w:val="20"/>
              </w:rPr>
              <w:t>Proiecte pentru tineri cercetători</w:t>
            </w:r>
          </w:p>
        </w:tc>
        <w:tc>
          <w:tcPr>
            <w:tcW w:w="836" w:type="dxa"/>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872" w:type="dxa"/>
            <w:gridSpan w:val="5"/>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845"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714" w:type="dxa"/>
            <w:gridSpan w:val="6"/>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598"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571"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730"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596"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418"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pPr>
            <w:r>
              <w:rPr>
                <w:b/>
                <w:bCs/>
                <w:sz w:val="20"/>
                <w:szCs w:val="20"/>
              </w:rPr>
              <w:t> </w:t>
            </w:r>
          </w:p>
        </w:tc>
        <w:tc>
          <w:tcPr>
            <w:tcW w:w="296"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r>
      <w:tr>
        <w:trPr>
          <w:trHeight w:val="330" w:hRule="atLeast"/>
        </w:trPr>
        <w:tc>
          <w:tcPr>
            <w:tcW w:w="95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249" w:right="0" w:hanging="0"/>
              <w:jc w:val="left"/>
              <w:textAlignment w:val="auto"/>
              <w:rPr/>
            </w:pPr>
            <w:r>
              <w:rPr>
                <w:sz w:val="20"/>
                <w:szCs w:val="20"/>
              </w:rPr>
              <w:t>2.2.1.1.4.</w:t>
            </w:r>
          </w:p>
        </w:tc>
        <w:tc>
          <w:tcPr>
            <w:tcW w:w="3625"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sz w:val="20"/>
                <w:szCs w:val="20"/>
              </w:rPr>
              <w:t>Proiecte pentru procurarea echipamentului</w:t>
            </w:r>
          </w:p>
        </w:tc>
        <w:tc>
          <w:tcPr>
            <w:tcW w:w="836" w:type="dxa"/>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872" w:type="dxa"/>
            <w:gridSpan w:val="5"/>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845"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714" w:type="dxa"/>
            <w:gridSpan w:val="6"/>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598"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571"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730"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596"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418"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pPr>
            <w:r>
              <w:rPr>
                <w:b/>
                <w:bCs/>
                <w:sz w:val="20"/>
                <w:szCs w:val="20"/>
              </w:rPr>
              <w:t> </w:t>
            </w:r>
          </w:p>
        </w:tc>
        <w:tc>
          <w:tcPr>
            <w:tcW w:w="296"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r>
      <w:tr>
        <w:trPr>
          <w:trHeight w:val="330" w:hRule="atLeast"/>
        </w:trPr>
        <w:tc>
          <w:tcPr>
            <w:tcW w:w="95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249" w:right="0" w:hanging="0"/>
              <w:jc w:val="left"/>
              <w:textAlignment w:val="auto"/>
              <w:rPr/>
            </w:pPr>
            <w:r>
              <w:rPr>
                <w:sz w:val="20"/>
                <w:szCs w:val="20"/>
              </w:rPr>
              <w:t>2.2.1.1.5.</w:t>
            </w:r>
          </w:p>
        </w:tc>
        <w:tc>
          <w:tcPr>
            <w:tcW w:w="3625"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rFonts w:cs="Times New Roman CE" w:ascii="Times New Roman CE" w:hAnsi="Times New Roman CE"/>
                <w:sz w:val="20"/>
                <w:szCs w:val="20"/>
              </w:rPr>
              <w:t>Proiecte internaţionale bilaterale</w:t>
            </w:r>
          </w:p>
        </w:tc>
        <w:tc>
          <w:tcPr>
            <w:tcW w:w="836" w:type="dxa"/>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872" w:type="dxa"/>
            <w:gridSpan w:val="5"/>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845"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714" w:type="dxa"/>
            <w:gridSpan w:val="6"/>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598"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571"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730"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596"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418"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pPr>
            <w:r>
              <w:rPr>
                <w:b/>
                <w:bCs/>
                <w:sz w:val="20"/>
                <w:szCs w:val="20"/>
              </w:rPr>
              <w:t> </w:t>
            </w:r>
          </w:p>
        </w:tc>
        <w:tc>
          <w:tcPr>
            <w:tcW w:w="296"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r>
      <w:tr>
        <w:trPr>
          <w:trHeight w:val="330" w:hRule="atLeast"/>
        </w:trPr>
        <w:tc>
          <w:tcPr>
            <w:tcW w:w="95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249" w:right="0" w:hanging="0"/>
              <w:jc w:val="left"/>
              <w:textAlignment w:val="auto"/>
              <w:rPr/>
            </w:pPr>
            <w:r>
              <w:rPr>
                <w:sz w:val="20"/>
                <w:szCs w:val="20"/>
              </w:rPr>
              <w:t>2.2.1.1.6.</w:t>
            </w:r>
          </w:p>
        </w:tc>
        <w:tc>
          <w:tcPr>
            <w:tcW w:w="3625"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rPr>
              <w:t>Alocaţii din fondul de rezervă</w:t>
            </w:r>
          </w:p>
        </w:tc>
        <w:tc>
          <w:tcPr>
            <w:tcW w:w="836" w:type="dxa"/>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872" w:type="dxa"/>
            <w:gridSpan w:val="5"/>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845"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714" w:type="dxa"/>
            <w:gridSpan w:val="6"/>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598"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571"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730"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596"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418"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pPr>
            <w:r>
              <w:rPr>
                <w:b/>
                <w:bCs/>
                <w:sz w:val="20"/>
                <w:szCs w:val="20"/>
              </w:rPr>
              <w:t> </w:t>
            </w:r>
          </w:p>
        </w:tc>
        <w:tc>
          <w:tcPr>
            <w:tcW w:w="296"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r>
      <w:tr>
        <w:trPr>
          <w:trHeight w:val="330" w:hRule="atLeast"/>
        </w:trPr>
        <w:tc>
          <w:tcPr>
            <w:tcW w:w="95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249" w:right="0" w:hanging="0"/>
              <w:jc w:val="left"/>
              <w:textAlignment w:val="auto"/>
              <w:rPr/>
            </w:pPr>
            <w:r>
              <w:rPr>
                <w:b/>
                <w:bCs/>
                <w:sz w:val="20"/>
                <w:szCs w:val="20"/>
              </w:rPr>
              <w:t>2.2.2.</w:t>
            </w:r>
          </w:p>
        </w:tc>
        <w:tc>
          <w:tcPr>
            <w:tcW w:w="3625"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rFonts w:cs="Times New Roman CE" w:ascii="Times New Roman CE" w:hAnsi="Times New Roman CE"/>
                <w:b/>
                <w:bCs/>
                <w:sz w:val="20"/>
                <w:szCs w:val="20"/>
              </w:rPr>
              <w:t>Cercetări ştiinţifice aplicative, total</w:t>
            </w:r>
          </w:p>
        </w:tc>
        <w:tc>
          <w:tcPr>
            <w:tcW w:w="836" w:type="dxa"/>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3419,1</w:t>
            </w:r>
          </w:p>
        </w:tc>
        <w:tc>
          <w:tcPr>
            <w:tcW w:w="872" w:type="dxa"/>
            <w:gridSpan w:val="5"/>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3419,1</w:t>
            </w:r>
          </w:p>
        </w:tc>
        <w:tc>
          <w:tcPr>
            <w:tcW w:w="845"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2859,0</w:t>
            </w:r>
          </w:p>
        </w:tc>
        <w:tc>
          <w:tcPr>
            <w:tcW w:w="714" w:type="dxa"/>
            <w:gridSpan w:val="6"/>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497,6</w:t>
            </w:r>
          </w:p>
        </w:tc>
        <w:tc>
          <w:tcPr>
            <w:tcW w:w="598"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52,7</w:t>
            </w:r>
          </w:p>
        </w:tc>
        <w:tc>
          <w:tcPr>
            <w:tcW w:w="571"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9,8</w:t>
            </w:r>
          </w:p>
        </w:tc>
        <w:tc>
          <w:tcPr>
            <w:tcW w:w="730"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596" w:type="dxa"/>
            <w:gridSpan w:val="2"/>
            <w:tcBorders>
              <w:bottom w:val="single" w:sz="8" w:space="0" w:color="000001"/>
              <w:insideH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418" w:type="dxa"/>
            <w:gridSpan w:val="3"/>
            <w:tcBorders>
              <w:left w:val="single" w:sz="8" w:space="0" w:color="000001"/>
              <w:bottom w:val="single" w:sz="8" w:space="0" w:color="000001"/>
              <w:right w:val="single" w:sz="8" w:space="0" w:color="000001"/>
              <w:insideH w:val="single" w:sz="8" w:space="0" w:color="000001"/>
              <w:insideV w:val="single" w:sz="8" w:space="0" w:color="000001"/>
            </w:tcBorders>
            <w:shd w:color="auto" w:fill="CCFFCC"/>
            <w:tcMar>
              <w:left w:w="98" w:type="dxa"/>
            </w:tcMar>
          </w:tcPr>
          <w:p>
            <w:pPr>
              <w:pStyle w:val="Normal"/>
              <w:widowControl/>
              <w:bidi w:val="0"/>
              <w:ind w:left="0" w:right="0" w:hanging="0"/>
              <w:jc w:val="left"/>
              <w:textAlignment w:val="auto"/>
              <w:rPr/>
            </w:pPr>
            <w:r>
              <w:rPr>
                <w:b/>
                <w:bCs/>
                <w:sz w:val="20"/>
                <w:szCs w:val="20"/>
              </w:rPr>
              <w:t>0</w:t>
            </w:r>
          </w:p>
        </w:tc>
        <w:tc>
          <w:tcPr>
            <w:tcW w:w="296" w:type="dxa"/>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r>
      <w:tr>
        <w:trPr>
          <w:trHeight w:val="255" w:hRule="atLeast"/>
        </w:trPr>
        <w:tc>
          <w:tcPr>
            <w:tcW w:w="95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249" w:right="0" w:hanging="0"/>
              <w:jc w:val="left"/>
              <w:textAlignment w:val="auto"/>
              <w:rPr/>
            </w:pPr>
            <w:r>
              <w:rPr>
                <w:sz w:val="20"/>
                <w:szCs w:val="20"/>
              </w:rPr>
              <w:t> </w:t>
            </w:r>
          </w:p>
        </w:tc>
        <w:tc>
          <w:tcPr>
            <w:tcW w:w="3625"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Inclusiv</w:t>
            </w:r>
          </w:p>
        </w:tc>
        <w:tc>
          <w:tcPr>
            <w:tcW w:w="6476" w:type="dxa"/>
            <w:gridSpan w:val="28"/>
            <w:tcBorders>
              <w:top w:val="single" w:sz="8" w:space="0" w:color="000001"/>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hanging="0"/>
              <w:jc w:val="left"/>
              <w:textAlignment w:val="auto"/>
              <w:rPr/>
            </w:pPr>
            <w:r>
              <w:rPr>
                <w:b/>
                <w:bCs/>
                <w:sz w:val="20"/>
                <w:szCs w:val="20"/>
              </w:rPr>
              <w:t> </w:t>
            </w:r>
          </w:p>
        </w:tc>
      </w:tr>
      <w:tr>
        <w:trPr>
          <w:trHeight w:val="330" w:hRule="atLeast"/>
        </w:trPr>
        <w:tc>
          <w:tcPr>
            <w:tcW w:w="95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249" w:right="0" w:hanging="0"/>
              <w:jc w:val="left"/>
              <w:textAlignment w:val="auto"/>
              <w:rPr/>
            </w:pPr>
            <w:r>
              <w:rPr>
                <w:sz w:val="20"/>
                <w:szCs w:val="20"/>
              </w:rPr>
              <w:t>2.2.2.1</w:t>
            </w:r>
          </w:p>
        </w:tc>
        <w:tc>
          <w:tcPr>
            <w:tcW w:w="3625"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rPr>
              <w:t>Proiecte de cercetări aplicative instituţionale</w:t>
            </w:r>
          </w:p>
        </w:tc>
        <w:tc>
          <w:tcPr>
            <w:tcW w:w="928"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3154,5</w:t>
            </w:r>
          </w:p>
        </w:tc>
        <w:tc>
          <w:tcPr>
            <w:tcW w:w="779"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3154,5</w:t>
            </w:r>
          </w:p>
        </w:tc>
        <w:tc>
          <w:tcPr>
            <w:tcW w:w="885" w:type="dxa"/>
            <w:gridSpan w:val="5"/>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2859,0</w:t>
            </w:r>
          </w:p>
        </w:tc>
        <w:tc>
          <w:tcPr>
            <w:tcW w:w="674" w:type="dxa"/>
            <w:gridSpan w:val="4"/>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285,7</w:t>
            </w:r>
          </w:p>
        </w:tc>
        <w:tc>
          <w:tcPr>
            <w:tcW w:w="597"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572"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9,8</w:t>
            </w:r>
          </w:p>
        </w:tc>
        <w:tc>
          <w:tcPr>
            <w:tcW w:w="730"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596"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418"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pPr>
            <w:r>
              <w:rPr>
                <w:b/>
                <w:bCs/>
                <w:sz w:val="20"/>
                <w:szCs w:val="20"/>
              </w:rPr>
              <w:t> </w:t>
            </w:r>
          </w:p>
        </w:tc>
        <w:tc>
          <w:tcPr>
            <w:tcW w:w="297"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r>
      <w:tr>
        <w:trPr>
          <w:trHeight w:val="330" w:hRule="atLeast"/>
        </w:trPr>
        <w:tc>
          <w:tcPr>
            <w:tcW w:w="95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249" w:right="0" w:hanging="0"/>
              <w:jc w:val="left"/>
              <w:textAlignment w:val="auto"/>
              <w:rPr/>
            </w:pPr>
            <w:r>
              <w:rPr>
                <w:sz w:val="20"/>
                <w:szCs w:val="20"/>
              </w:rPr>
              <w:t>2.2.2.2.</w:t>
            </w:r>
          </w:p>
        </w:tc>
        <w:tc>
          <w:tcPr>
            <w:tcW w:w="3625"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fr-FR"/>
              </w:rPr>
            </w:pPr>
            <w:r>
              <w:rPr>
                <w:sz w:val="20"/>
                <w:szCs w:val="20"/>
                <w:lang w:val="fr-FR"/>
              </w:rPr>
              <w:t>Proiecte din cadrul programelor de stat</w:t>
            </w:r>
          </w:p>
        </w:tc>
        <w:tc>
          <w:tcPr>
            <w:tcW w:w="928"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75,5</w:t>
            </w:r>
          </w:p>
        </w:tc>
        <w:tc>
          <w:tcPr>
            <w:tcW w:w="779"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75,5</w:t>
            </w:r>
          </w:p>
        </w:tc>
        <w:tc>
          <w:tcPr>
            <w:tcW w:w="885" w:type="dxa"/>
            <w:gridSpan w:val="5"/>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674" w:type="dxa"/>
            <w:gridSpan w:val="4"/>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71,5</w:t>
            </w:r>
          </w:p>
        </w:tc>
        <w:tc>
          <w:tcPr>
            <w:tcW w:w="597"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4,0</w:t>
            </w:r>
          </w:p>
        </w:tc>
        <w:tc>
          <w:tcPr>
            <w:tcW w:w="572"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730"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596"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418"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pPr>
            <w:r>
              <w:rPr>
                <w:b/>
                <w:bCs/>
                <w:sz w:val="20"/>
                <w:szCs w:val="20"/>
              </w:rPr>
              <w:t> </w:t>
            </w:r>
          </w:p>
        </w:tc>
        <w:tc>
          <w:tcPr>
            <w:tcW w:w="297"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r>
      <w:tr>
        <w:trPr>
          <w:trHeight w:val="330" w:hRule="atLeast"/>
        </w:trPr>
        <w:tc>
          <w:tcPr>
            <w:tcW w:w="95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249" w:right="0" w:hanging="0"/>
              <w:jc w:val="left"/>
              <w:textAlignment w:val="auto"/>
              <w:rPr/>
            </w:pPr>
            <w:r>
              <w:rPr>
                <w:sz w:val="20"/>
                <w:szCs w:val="20"/>
              </w:rPr>
              <w:t>2.2.2.3.</w:t>
            </w:r>
          </w:p>
        </w:tc>
        <w:tc>
          <w:tcPr>
            <w:tcW w:w="3625"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rFonts w:cs="Times New Roman CE" w:ascii="Times New Roman CE" w:hAnsi="Times New Roman CE"/>
                <w:sz w:val="20"/>
                <w:szCs w:val="20"/>
              </w:rPr>
              <w:t>Proiecte pentru tineri cercetători</w:t>
            </w:r>
          </w:p>
        </w:tc>
        <w:tc>
          <w:tcPr>
            <w:tcW w:w="928"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779"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885" w:type="dxa"/>
            <w:gridSpan w:val="5"/>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674" w:type="dxa"/>
            <w:gridSpan w:val="4"/>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597"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572"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730"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596"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418"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pPr>
            <w:r>
              <w:rPr>
                <w:b/>
                <w:bCs/>
                <w:sz w:val="20"/>
                <w:szCs w:val="20"/>
              </w:rPr>
              <w:t> </w:t>
            </w:r>
          </w:p>
        </w:tc>
        <w:tc>
          <w:tcPr>
            <w:tcW w:w="297"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r>
      <w:tr>
        <w:trPr>
          <w:trHeight w:val="330" w:hRule="atLeast"/>
        </w:trPr>
        <w:tc>
          <w:tcPr>
            <w:tcW w:w="95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249" w:right="0" w:hanging="0"/>
              <w:jc w:val="left"/>
              <w:textAlignment w:val="auto"/>
              <w:rPr/>
            </w:pPr>
            <w:r>
              <w:rPr>
                <w:sz w:val="20"/>
                <w:szCs w:val="20"/>
              </w:rPr>
              <w:t>2.2.2.4.</w:t>
            </w:r>
          </w:p>
        </w:tc>
        <w:tc>
          <w:tcPr>
            <w:tcW w:w="3625"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sz w:val="20"/>
                <w:szCs w:val="20"/>
              </w:rPr>
              <w:t>Proiecte pentru procurarea echipamentului</w:t>
            </w:r>
          </w:p>
        </w:tc>
        <w:tc>
          <w:tcPr>
            <w:tcW w:w="928"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779"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885" w:type="dxa"/>
            <w:gridSpan w:val="5"/>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674" w:type="dxa"/>
            <w:gridSpan w:val="4"/>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597"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572"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730"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596"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418"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pPr>
            <w:r>
              <w:rPr>
                <w:b/>
                <w:bCs/>
                <w:sz w:val="20"/>
                <w:szCs w:val="20"/>
              </w:rPr>
              <w:t> </w:t>
            </w:r>
          </w:p>
        </w:tc>
        <w:tc>
          <w:tcPr>
            <w:tcW w:w="297"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r>
      <w:tr>
        <w:trPr>
          <w:trHeight w:val="330" w:hRule="atLeast"/>
        </w:trPr>
        <w:tc>
          <w:tcPr>
            <w:tcW w:w="95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249" w:right="0" w:hanging="0"/>
              <w:jc w:val="left"/>
              <w:textAlignment w:val="auto"/>
              <w:rPr/>
            </w:pPr>
            <w:r>
              <w:rPr>
                <w:sz w:val="20"/>
                <w:szCs w:val="20"/>
              </w:rPr>
              <w:t>2.2.2.5.</w:t>
            </w:r>
          </w:p>
        </w:tc>
        <w:tc>
          <w:tcPr>
            <w:tcW w:w="3625"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rFonts w:cs="Times New Roman CE" w:ascii="Times New Roman CE" w:hAnsi="Times New Roman CE"/>
                <w:sz w:val="20"/>
                <w:szCs w:val="20"/>
              </w:rPr>
              <w:t>Proiecte internaţio</w:t>
            </w:r>
            <w:r>
              <w:rPr>
                <w:sz w:val="20"/>
                <w:szCs w:val="20"/>
              </w:rPr>
              <w:t>nale bilaterale</w:t>
            </w:r>
          </w:p>
        </w:tc>
        <w:tc>
          <w:tcPr>
            <w:tcW w:w="928"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189,1</w:t>
            </w:r>
          </w:p>
        </w:tc>
        <w:tc>
          <w:tcPr>
            <w:tcW w:w="779"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189,1</w:t>
            </w:r>
          </w:p>
        </w:tc>
        <w:tc>
          <w:tcPr>
            <w:tcW w:w="885" w:type="dxa"/>
            <w:gridSpan w:val="5"/>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674" w:type="dxa"/>
            <w:gridSpan w:val="4"/>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140,4</w:t>
            </w:r>
          </w:p>
        </w:tc>
        <w:tc>
          <w:tcPr>
            <w:tcW w:w="597"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48,7</w:t>
            </w:r>
          </w:p>
        </w:tc>
        <w:tc>
          <w:tcPr>
            <w:tcW w:w="572"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730"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596"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418"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pPr>
            <w:r>
              <w:rPr>
                <w:b/>
                <w:bCs/>
                <w:sz w:val="20"/>
                <w:szCs w:val="20"/>
              </w:rPr>
              <w:t> </w:t>
            </w:r>
          </w:p>
        </w:tc>
        <w:tc>
          <w:tcPr>
            <w:tcW w:w="297"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r>
      <w:tr>
        <w:trPr>
          <w:trHeight w:val="330" w:hRule="atLeast"/>
        </w:trPr>
        <w:tc>
          <w:tcPr>
            <w:tcW w:w="95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249" w:right="0" w:hanging="0"/>
              <w:jc w:val="left"/>
              <w:textAlignment w:val="auto"/>
              <w:rPr/>
            </w:pPr>
            <w:r>
              <w:rPr>
                <w:sz w:val="20"/>
                <w:szCs w:val="20"/>
              </w:rPr>
              <w:t>2.2.2.6.</w:t>
            </w:r>
          </w:p>
        </w:tc>
        <w:tc>
          <w:tcPr>
            <w:tcW w:w="3625"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rPr>
              <w:t>Alocaţii din fondul de rezervă</w:t>
            </w:r>
          </w:p>
        </w:tc>
        <w:tc>
          <w:tcPr>
            <w:tcW w:w="928"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779"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885" w:type="dxa"/>
            <w:gridSpan w:val="5"/>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674" w:type="dxa"/>
            <w:gridSpan w:val="4"/>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597"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572"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730"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596"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418"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pPr>
            <w:r>
              <w:rPr>
                <w:b/>
                <w:bCs/>
                <w:sz w:val="20"/>
                <w:szCs w:val="20"/>
              </w:rPr>
              <w:t> </w:t>
            </w:r>
          </w:p>
        </w:tc>
        <w:tc>
          <w:tcPr>
            <w:tcW w:w="297"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r>
      <w:tr>
        <w:trPr>
          <w:trHeight w:val="330" w:hRule="atLeast"/>
        </w:trPr>
        <w:tc>
          <w:tcPr>
            <w:tcW w:w="95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249" w:right="0" w:hanging="0"/>
              <w:jc w:val="left"/>
              <w:textAlignment w:val="auto"/>
              <w:rPr/>
            </w:pPr>
            <w:r>
              <w:rPr>
                <w:sz w:val="20"/>
                <w:szCs w:val="20"/>
              </w:rPr>
              <w:t>2.2.2.7.</w:t>
            </w:r>
          </w:p>
        </w:tc>
        <w:tc>
          <w:tcPr>
            <w:tcW w:w="3625"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fr-FR"/>
              </w:rPr>
            </w:pPr>
            <w:r>
              <w:rPr>
                <w:sz w:val="20"/>
                <w:szCs w:val="20"/>
                <w:lang w:val="fr-FR"/>
              </w:rPr>
              <w:t xml:space="preserve">  </w:t>
            </w:r>
            <w:r>
              <w:rPr>
                <w:rFonts w:cs="Times New Roman CE" w:ascii="Times New Roman CE" w:hAnsi="Times New Roman CE"/>
                <w:sz w:val="20"/>
                <w:szCs w:val="20"/>
                <w:lang w:val="fr-FR"/>
              </w:rPr>
              <w:t xml:space="preserve">Proiecte de inovare şi transfer tehnologic </w:t>
            </w:r>
          </w:p>
        </w:tc>
        <w:tc>
          <w:tcPr>
            <w:tcW w:w="928"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779"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885" w:type="dxa"/>
            <w:gridSpan w:val="5"/>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674" w:type="dxa"/>
            <w:gridSpan w:val="4"/>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597"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572"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730"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596"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418"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pPr>
            <w:r>
              <w:rPr>
                <w:b/>
                <w:bCs/>
                <w:sz w:val="20"/>
                <w:szCs w:val="20"/>
              </w:rPr>
              <w:t> </w:t>
            </w:r>
          </w:p>
        </w:tc>
        <w:tc>
          <w:tcPr>
            <w:tcW w:w="297"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r>
      <w:tr>
        <w:trPr>
          <w:trHeight w:val="330" w:hRule="atLeast"/>
        </w:trPr>
        <w:tc>
          <w:tcPr>
            <w:tcW w:w="95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249" w:right="0" w:hanging="0"/>
              <w:jc w:val="left"/>
              <w:textAlignment w:val="auto"/>
              <w:rPr/>
            </w:pPr>
            <w:r>
              <w:rPr>
                <w:b/>
                <w:bCs/>
                <w:sz w:val="20"/>
                <w:szCs w:val="20"/>
              </w:rPr>
              <w:t>2.2.3.</w:t>
            </w:r>
          </w:p>
        </w:tc>
        <w:tc>
          <w:tcPr>
            <w:tcW w:w="3625"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rFonts w:cs="Times New Roman CE" w:ascii="Times New Roman CE" w:hAnsi="Times New Roman CE"/>
                <w:b/>
                <w:bCs/>
                <w:sz w:val="20"/>
                <w:szCs w:val="20"/>
              </w:rPr>
              <w:t>PREGĂTIREA CADRELOR</w:t>
            </w:r>
          </w:p>
        </w:tc>
        <w:tc>
          <w:tcPr>
            <w:tcW w:w="928"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779"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885" w:type="dxa"/>
            <w:gridSpan w:val="5"/>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674" w:type="dxa"/>
            <w:gridSpan w:val="4"/>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597"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572"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730"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596"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418"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297"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r>
      <w:tr>
        <w:trPr>
          <w:trHeight w:val="196" w:hRule="atLeast"/>
        </w:trPr>
        <w:tc>
          <w:tcPr>
            <w:tcW w:w="95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249" w:right="0" w:hanging="0"/>
              <w:jc w:val="left"/>
              <w:textAlignment w:val="auto"/>
              <w:rPr/>
            </w:pPr>
            <w:r>
              <w:rPr>
                <w:sz w:val="20"/>
                <w:szCs w:val="20"/>
              </w:rPr>
              <w:t>2.2.3.1.</w:t>
            </w:r>
          </w:p>
        </w:tc>
        <w:tc>
          <w:tcPr>
            <w:tcW w:w="3625"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sz w:val="20"/>
                <w:szCs w:val="20"/>
              </w:rPr>
              <w:t xml:space="preserve">   </w:t>
            </w:r>
            <w:r>
              <w:rPr>
                <w:sz w:val="20"/>
                <w:szCs w:val="20"/>
              </w:rPr>
              <w:t>Doctorat</w:t>
            </w:r>
          </w:p>
        </w:tc>
        <w:tc>
          <w:tcPr>
            <w:tcW w:w="928"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779"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885" w:type="dxa"/>
            <w:gridSpan w:val="5"/>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674" w:type="dxa"/>
            <w:gridSpan w:val="4"/>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597"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572"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730"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596"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418"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pPr>
            <w:r>
              <w:rPr>
                <w:b/>
                <w:bCs/>
                <w:sz w:val="20"/>
                <w:szCs w:val="20"/>
              </w:rPr>
              <w:t> </w:t>
            </w:r>
          </w:p>
        </w:tc>
        <w:tc>
          <w:tcPr>
            <w:tcW w:w="297"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r>
      <w:tr>
        <w:trPr>
          <w:trHeight w:val="227" w:hRule="atLeast"/>
        </w:trPr>
        <w:tc>
          <w:tcPr>
            <w:tcW w:w="95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249" w:right="0" w:hanging="0"/>
              <w:jc w:val="left"/>
              <w:textAlignment w:val="auto"/>
              <w:rPr/>
            </w:pPr>
            <w:r>
              <w:rPr>
                <w:sz w:val="20"/>
                <w:szCs w:val="20"/>
              </w:rPr>
              <w:t>2.2.3.2.</w:t>
            </w:r>
          </w:p>
        </w:tc>
        <w:tc>
          <w:tcPr>
            <w:tcW w:w="3625"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sz w:val="20"/>
                <w:szCs w:val="20"/>
              </w:rPr>
              <w:t xml:space="preserve">   </w:t>
            </w:r>
            <w:r>
              <w:rPr>
                <w:sz w:val="20"/>
                <w:szCs w:val="20"/>
              </w:rPr>
              <w:t>Postdoctorat</w:t>
            </w:r>
          </w:p>
        </w:tc>
        <w:tc>
          <w:tcPr>
            <w:tcW w:w="928"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779"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885" w:type="dxa"/>
            <w:gridSpan w:val="5"/>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674" w:type="dxa"/>
            <w:gridSpan w:val="4"/>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597"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572"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730"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596"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pPr>
            <w:r>
              <w:rPr>
                <w:b/>
                <w:bCs/>
                <w:sz w:val="20"/>
                <w:szCs w:val="20"/>
              </w:rPr>
              <w:t> </w:t>
            </w:r>
          </w:p>
        </w:tc>
        <w:tc>
          <w:tcPr>
            <w:tcW w:w="418"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pPr>
            <w:r>
              <w:rPr>
                <w:b/>
                <w:bCs/>
                <w:sz w:val="20"/>
                <w:szCs w:val="20"/>
              </w:rPr>
              <w:t> </w:t>
            </w:r>
          </w:p>
        </w:tc>
        <w:tc>
          <w:tcPr>
            <w:tcW w:w="297"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 </w:t>
            </w:r>
          </w:p>
        </w:tc>
      </w:tr>
      <w:tr>
        <w:trPr>
          <w:trHeight w:val="246" w:hRule="atLeast"/>
        </w:trPr>
        <w:tc>
          <w:tcPr>
            <w:tcW w:w="95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249" w:right="0" w:hanging="0"/>
              <w:jc w:val="left"/>
              <w:textAlignment w:val="auto"/>
              <w:rPr/>
            </w:pPr>
            <w:r>
              <w:rPr>
                <w:b/>
                <w:bCs/>
                <w:sz w:val="20"/>
                <w:szCs w:val="20"/>
              </w:rPr>
              <w:t>2.3.</w:t>
            </w:r>
          </w:p>
        </w:tc>
        <w:tc>
          <w:tcPr>
            <w:tcW w:w="3625"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Venituri colectate interne</w:t>
            </w:r>
          </w:p>
        </w:tc>
        <w:tc>
          <w:tcPr>
            <w:tcW w:w="928"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69,4</w:t>
            </w:r>
          </w:p>
        </w:tc>
        <w:tc>
          <w:tcPr>
            <w:tcW w:w="779"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69,4</w:t>
            </w:r>
          </w:p>
        </w:tc>
        <w:tc>
          <w:tcPr>
            <w:tcW w:w="885" w:type="dxa"/>
            <w:gridSpan w:val="5"/>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8,6</w:t>
            </w:r>
          </w:p>
        </w:tc>
        <w:tc>
          <w:tcPr>
            <w:tcW w:w="674" w:type="dxa"/>
            <w:gridSpan w:val="4"/>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60,8</w:t>
            </w:r>
          </w:p>
        </w:tc>
        <w:tc>
          <w:tcPr>
            <w:tcW w:w="597"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572"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730"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596"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418"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0</w:t>
            </w:r>
          </w:p>
        </w:tc>
        <w:tc>
          <w:tcPr>
            <w:tcW w:w="297"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left"/>
              <w:textAlignment w:val="auto"/>
              <w:rPr/>
            </w:pPr>
            <w:r>
              <w:rPr>
                <w:b/>
                <w:bCs/>
                <w:sz w:val="20"/>
                <w:szCs w:val="20"/>
              </w:rPr>
              <w:t> </w:t>
            </w:r>
          </w:p>
        </w:tc>
      </w:tr>
      <w:tr>
        <w:trPr>
          <w:trHeight w:val="179" w:hRule="atLeast"/>
        </w:trPr>
        <w:tc>
          <w:tcPr>
            <w:tcW w:w="95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249" w:right="0" w:hanging="0"/>
              <w:jc w:val="left"/>
              <w:textAlignment w:val="auto"/>
              <w:rPr/>
            </w:pPr>
            <w:r>
              <w:rPr>
                <w:sz w:val="20"/>
                <w:szCs w:val="20"/>
              </w:rPr>
              <w:t> </w:t>
            </w:r>
          </w:p>
        </w:tc>
        <w:tc>
          <w:tcPr>
            <w:tcW w:w="3625"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0"/>
              <w:jc w:val="left"/>
              <w:textAlignment w:val="auto"/>
              <w:rPr/>
            </w:pPr>
            <w:r>
              <w:rPr>
                <w:sz w:val="20"/>
                <w:szCs w:val="20"/>
              </w:rPr>
              <w:t>Inclusiv</w:t>
            </w:r>
          </w:p>
        </w:tc>
        <w:tc>
          <w:tcPr>
            <w:tcW w:w="6476" w:type="dxa"/>
            <w:gridSpan w:val="28"/>
            <w:tcBorders>
              <w:top w:val="single" w:sz="8" w:space="0" w:color="000001"/>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hanging="0"/>
              <w:jc w:val="left"/>
              <w:textAlignment w:val="auto"/>
              <w:rPr/>
            </w:pPr>
            <w:r>
              <w:rPr>
                <w:b/>
                <w:bCs/>
                <w:sz w:val="20"/>
                <w:szCs w:val="20"/>
              </w:rPr>
              <w:t> </w:t>
            </w:r>
          </w:p>
        </w:tc>
      </w:tr>
      <w:tr>
        <w:trPr>
          <w:trHeight w:val="189" w:hRule="atLeast"/>
        </w:trPr>
        <w:tc>
          <w:tcPr>
            <w:tcW w:w="95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249" w:right="0" w:hanging="0"/>
              <w:jc w:val="left"/>
              <w:textAlignment w:val="auto"/>
              <w:rPr/>
            </w:pPr>
            <w:r>
              <w:rPr>
                <w:b/>
                <w:bCs/>
                <w:sz w:val="20"/>
                <w:szCs w:val="20"/>
              </w:rPr>
              <w:t>2.3.1.</w:t>
            </w:r>
          </w:p>
        </w:tc>
        <w:tc>
          <w:tcPr>
            <w:tcW w:w="3625"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rFonts w:cs="Times New Roman CE" w:ascii="Times New Roman CE" w:hAnsi="Times New Roman CE"/>
                <w:b/>
                <w:bCs/>
                <w:sz w:val="20"/>
                <w:szCs w:val="20"/>
              </w:rPr>
              <w:t>Servicii cu plată</w:t>
            </w:r>
          </w:p>
        </w:tc>
        <w:tc>
          <w:tcPr>
            <w:tcW w:w="982"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b/>
                <w:bCs/>
                <w:sz w:val="20"/>
                <w:szCs w:val="20"/>
              </w:rPr>
              <w:t>0</w:t>
            </w:r>
          </w:p>
        </w:tc>
        <w:tc>
          <w:tcPr>
            <w:tcW w:w="726"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b/>
                <w:bCs/>
                <w:sz w:val="20"/>
                <w:szCs w:val="20"/>
              </w:rPr>
              <w:t>0</w:t>
            </w:r>
          </w:p>
        </w:tc>
        <w:tc>
          <w:tcPr>
            <w:tcW w:w="779"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b/>
                <w:b/>
                <w:bCs/>
                <w:sz w:val="20"/>
                <w:szCs w:val="20"/>
              </w:rPr>
            </w:pPr>
            <w:r>
              <w:rPr>
                <w:b/>
                <w:bCs/>
                <w:sz w:val="20"/>
                <w:szCs w:val="20"/>
              </w:rPr>
            </w:r>
          </w:p>
        </w:tc>
        <w:tc>
          <w:tcPr>
            <w:tcW w:w="673" w:type="dxa"/>
            <w:gridSpan w:val="5"/>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b/>
                <w:b/>
                <w:bCs/>
                <w:sz w:val="20"/>
                <w:szCs w:val="20"/>
              </w:rPr>
            </w:pPr>
            <w:r>
              <w:rPr>
                <w:b/>
                <w:bCs/>
                <w:sz w:val="20"/>
                <w:szCs w:val="20"/>
              </w:rPr>
            </w:r>
          </w:p>
        </w:tc>
        <w:tc>
          <w:tcPr>
            <w:tcW w:w="705" w:type="dxa"/>
            <w:gridSpan w:val="6"/>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b/>
                <w:b/>
                <w:bCs/>
                <w:sz w:val="20"/>
                <w:szCs w:val="20"/>
              </w:rPr>
            </w:pPr>
            <w:r>
              <w:rPr>
                <w:b/>
                <w:bCs/>
                <w:sz w:val="20"/>
                <w:szCs w:val="20"/>
              </w:rPr>
            </w:r>
          </w:p>
        </w:tc>
        <w:tc>
          <w:tcPr>
            <w:tcW w:w="571"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b/>
                <w:b/>
                <w:bCs/>
                <w:sz w:val="20"/>
                <w:szCs w:val="20"/>
              </w:rPr>
            </w:pPr>
            <w:r>
              <w:rPr>
                <w:b/>
                <w:bCs/>
                <w:sz w:val="20"/>
                <w:szCs w:val="20"/>
              </w:rPr>
            </w:r>
          </w:p>
        </w:tc>
        <w:tc>
          <w:tcPr>
            <w:tcW w:w="730"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b/>
                <w:bCs/>
                <w:sz w:val="20"/>
                <w:szCs w:val="20"/>
              </w:rPr>
              <w:t>0</w:t>
            </w:r>
          </w:p>
        </w:tc>
        <w:tc>
          <w:tcPr>
            <w:tcW w:w="596"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b/>
                <w:b/>
                <w:bCs/>
                <w:sz w:val="20"/>
                <w:szCs w:val="20"/>
              </w:rPr>
            </w:pPr>
            <w:r>
              <w:rPr>
                <w:b/>
                <w:bCs/>
                <w:sz w:val="20"/>
                <w:szCs w:val="20"/>
              </w:rPr>
            </w:r>
          </w:p>
        </w:tc>
        <w:tc>
          <w:tcPr>
            <w:tcW w:w="418"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b/>
                <w:b/>
                <w:bCs/>
                <w:sz w:val="20"/>
                <w:szCs w:val="20"/>
              </w:rPr>
            </w:pPr>
            <w:r>
              <w:rPr>
                <w:b/>
                <w:bCs/>
                <w:sz w:val="20"/>
                <w:szCs w:val="20"/>
              </w:rPr>
            </w:r>
          </w:p>
        </w:tc>
        <w:tc>
          <w:tcPr>
            <w:tcW w:w="296"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b/>
                <w:b/>
                <w:bCs/>
                <w:sz w:val="20"/>
                <w:szCs w:val="20"/>
              </w:rPr>
            </w:pPr>
            <w:r>
              <w:rPr>
                <w:b/>
                <w:bCs/>
                <w:sz w:val="20"/>
                <w:szCs w:val="20"/>
              </w:rPr>
            </w:r>
          </w:p>
        </w:tc>
      </w:tr>
      <w:tr>
        <w:trPr>
          <w:trHeight w:val="221" w:hRule="atLeast"/>
        </w:trPr>
        <w:tc>
          <w:tcPr>
            <w:tcW w:w="95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249" w:right="0" w:hanging="0"/>
              <w:jc w:val="left"/>
              <w:textAlignment w:val="auto"/>
              <w:rPr/>
            </w:pPr>
            <w:r>
              <w:rPr>
                <w:b/>
                <w:bCs/>
                <w:sz w:val="20"/>
                <w:szCs w:val="20"/>
              </w:rPr>
              <w:t>2.3.2.</w:t>
            </w:r>
          </w:p>
        </w:tc>
        <w:tc>
          <w:tcPr>
            <w:tcW w:w="3625"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Chiria / Arenda bunurilor</w:t>
            </w:r>
          </w:p>
        </w:tc>
        <w:tc>
          <w:tcPr>
            <w:tcW w:w="982"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b/>
                <w:bCs/>
                <w:sz w:val="20"/>
                <w:szCs w:val="20"/>
              </w:rPr>
              <w:t>69,4</w:t>
            </w:r>
          </w:p>
        </w:tc>
        <w:tc>
          <w:tcPr>
            <w:tcW w:w="726"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b/>
                <w:bCs/>
                <w:sz w:val="20"/>
                <w:szCs w:val="20"/>
              </w:rPr>
              <w:t>69,4</w:t>
            </w:r>
          </w:p>
        </w:tc>
        <w:tc>
          <w:tcPr>
            <w:tcW w:w="779"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sz w:val="20"/>
                <w:szCs w:val="20"/>
              </w:rPr>
              <w:t>8,6</w:t>
            </w:r>
          </w:p>
        </w:tc>
        <w:tc>
          <w:tcPr>
            <w:tcW w:w="673" w:type="dxa"/>
            <w:gridSpan w:val="5"/>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b/>
                <w:bCs/>
                <w:sz w:val="20"/>
                <w:szCs w:val="20"/>
              </w:rPr>
              <w:t>60,8</w:t>
            </w:r>
          </w:p>
        </w:tc>
        <w:tc>
          <w:tcPr>
            <w:tcW w:w="705" w:type="dxa"/>
            <w:gridSpan w:val="6"/>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b/>
                <w:b/>
                <w:bCs/>
                <w:sz w:val="20"/>
                <w:szCs w:val="20"/>
              </w:rPr>
            </w:pPr>
            <w:r>
              <w:rPr>
                <w:b/>
                <w:bCs/>
                <w:sz w:val="20"/>
                <w:szCs w:val="20"/>
              </w:rPr>
            </w:r>
          </w:p>
        </w:tc>
        <w:tc>
          <w:tcPr>
            <w:tcW w:w="571"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b/>
                <w:b/>
                <w:bCs/>
                <w:sz w:val="20"/>
                <w:szCs w:val="20"/>
              </w:rPr>
            </w:pPr>
            <w:r>
              <w:rPr>
                <w:b/>
                <w:bCs/>
                <w:sz w:val="20"/>
                <w:szCs w:val="20"/>
              </w:rPr>
            </w:r>
          </w:p>
        </w:tc>
        <w:tc>
          <w:tcPr>
            <w:tcW w:w="730"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b/>
                <w:bCs/>
                <w:sz w:val="20"/>
                <w:szCs w:val="20"/>
              </w:rPr>
              <w:t>0</w:t>
            </w:r>
          </w:p>
        </w:tc>
        <w:tc>
          <w:tcPr>
            <w:tcW w:w="596"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b/>
                <w:b/>
                <w:bCs/>
                <w:sz w:val="20"/>
                <w:szCs w:val="20"/>
              </w:rPr>
            </w:pPr>
            <w:r>
              <w:rPr>
                <w:b/>
                <w:bCs/>
                <w:sz w:val="20"/>
                <w:szCs w:val="20"/>
              </w:rPr>
            </w:r>
          </w:p>
        </w:tc>
        <w:tc>
          <w:tcPr>
            <w:tcW w:w="418"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b/>
                <w:b/>
                <w:bCs/>
                <w:sz w:val="20"/>
                <w:szCs w:val="20"/>
              </w:rPr>
            </w:pPr>
            <w:r>
              <w:rPr>
                <w:b/>
                <w:bCs/>
                <w:sz w:val="20"/>
                <w:szCs w:val="20"/>
              </w:rPr>
            </w:r>
          </w:p>
        </w:tc>
        <w:tc>
          <w:tcPr>
            <w:tcW w:w="296"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b/>
                <w:b/>
                <w:bCs/>
                <w:sz w:val="20"/>
                <w:szCs w:val="20"/>
              </w:rPr>
            </w:pPr>
            <w:r>
              <w:rPr>
                <w:b/>
                <w:bCs/>
                <w:sz w:val="20"/>
                <w:szCs w:val="20"/>
              </w:rPr>
            </w:r>
          </w:p>
        </w:tc>
      </w:tr>
      <w:tr>
        <w:trPr>
          <w:trHeight w:val="330" w:hRule="atLeast"/>
        </w:trPr>
        <w:tc>
          <w:tcPr>
            <w:tcW w:w="95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249" w:right="0" w:hanging="0"/>
              <w:jc w:val="left"/>
              <w:textAlignment w:val="auto"/>
              <w:rPr/>
            </w:pPr>
            <w:r>
              <w:rPr>
                <w:b/>
                <w:bCs/>
                <w:sz w:val="20"/>
                <w:szCs w:val="20"/>
              </w:rPr>
              <w:t>2.4.</w:t>
            </w:r>
          </w:p>
        </w:tc>
        <w:tc>
          <w:tcPr>
            <w:tcW w:w="3625"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fr-FR"/>
              </w:rPr>
            </w:pPr>
            <w:r>
              <w:rPr>
                <w:b/>
                <w:bCs/>
                <w:sz w:val="20"/>
                <w:szCs w:val="20"/>
                <w:lang w:val="fr-FR"/>
              </w:rPr>
              <w:t>Resur</w:t>
            </w:r>
            <w:r>
              <w:rPr>
                <w:rFonts w:cs="Times New Roman CE" w:ascii="Times New Roman CE" w:hAnsi="Times New Roman CE"/>
                <w:b/>
                <w:bCs/>
                <w:sz w:val="20"/>
                <w:szCs w:val="20"/>
                <w:lang w:val="fr-FR"/>
              </w:rPr>
              <w:t>se ale proiectelor finanţate din surse externe</w:t>
            </w:r>
          </w:p>
        </w:tc>
        <w:tc>
          <w:tcPr>
            <w:tcW w:w="982"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b/>
                <w:bCs/>
                <w:sz w:val="20"/>
                <w:szCs w:val="20"/>
              </w:rPr>
              <w:t>845,5</w:t>
            </w:r>
          </w:p>
        </w:tc>
        <w:tc>
          <w:tcPr>
            <w:tcW w:w="726"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b/>
                <w:bCs/>
                <w:sz w:val="20"/>
                <w:szCs w:val="20"/>
              </w:rPr>
              <w:t>565,7</w:t>
            </w:r>
          </w:p>
        </w:tc>
        <w:tc>
          <w:tcPr>
            <w:tcW w:w="779" w:type="dxa"/>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rFonts w:ascii="Times New Roman" w:hAnsi="Times New Roman"/>
                <w:b/>
                <w:b/>
                <w:bCs/>
                <w:sz w:val="20"/>
                <w:szCs w:val="20"/>
              </w:rPr>
            </w:pPr>
            <w:r>
              <w:rPr>
                <w:b/>
                <w:bCs/>
                <w:sz w:val="20"/>
                <w:szCs w:val="20"/>
              </w:rPr>
            </w:r>
          </w:p>
        </w:tc>
        <w:tc>
          <w:tcPr>
            <w:tcW w:w="673" w:type="dxa"/>
            <w:gridSpan w:val="5"/>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b/>
                <w:bCs/>
                <w:sz w:val="20"/>
                <w:szCs w:val="20"/>
              </w:rPr>
              <w:t>128,4</w:t>
            </w:r>
          </w:p>
        </w:tc>
        <w:tc>
          <w:tcPr>
            <w:tcW w:w="705" w:type="dxa"/>
            <w:gridSpan w:val="6"/>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b/>
                <w:bCs/>
                <w:sz w:val="20"/>
                <w:szCs w:val="20"/>
              </w:rPr>
              <w:t>437,3</w:t>
            </w:r>
          </w:p>
        </w:tc>
        <w:tc>
          <w:tcPr>
            <w:tcW w:w="571"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rFonts w:ascii="Times New Roman" w:hAnsi="Times New Roman"/>
                <w:b/>
                <w:b/>
                <w:bCs/>
                <w:sz w:val="20"/>
                <w:szCs w:val="20"/>
              </w:rPr>
            </w:pPr>
            <w:r>
              <w:rPr>
                <w:b/>
                <w:bCs/>
                <w:sz w:val="20"/>
                <w:szCs w:val="20"/>
              </w:rPr>
            </w:r>
          </w:p>
        </w:tc>
        <w:tc>
          <w:tcPr>
            <w:tcW w:w="730"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b/>
                <w:bCs/>
                <w:sz w:val="20"/>
                <w:szCs w:val="20"/>
              </w:rPr>
              <w:t>279,8</w:t>
            </w:r>
          </w:p>
        </w:tc>
        <w:tc>
          <w:tcPr>
            <w:tcW w:w="596"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b/>
                <w:bCs/>
                <w:sz w:val="20"/>
                <w:szCs w:val="20"/>
              </w:rPr>
              <w:t>279,8</w:t>
            </w:r>
          </w:p>
        </w:tc>
        <w:tc>
          <w:tcPr>
            <w:tcW w:w="418"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rFonts w:ascii="Times New Roman" w:hAnsi="Times New Roman"/>
                <w:b/>
                <w:b/>
                <w:bCs/>
                <w:sz w:val="20"/>
                <w:szCs w:val="20"/>
              </w:rPr>
            </w:pPr>
            <w:r>
              <w:rPr>
                <w:b/>
                <w:bCs/>
                <w:sz w:val="20"/>
                <w:szCs w:val="20"/>
              </w:rPr>
            </w:r>
          </w:p>
        </w:tc>
        <w:tc>
          <w:tcPr>
            <w:tcW w:w="296" w:type="dxa"/>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rFonts w:ascii="Times New Roman" w:hAnsi="Times New Roman"/>
                <w:b/>
                <w:b/>
                <w:bCs/>
                <w:sz w:val="20"/>
                <w:szCs w:val="20"/>
              </w:rPr>
            </w:pPr>
            <w:r>
              <w:rPr>
                <w:b/>
                <w:bCs/>
                <w:sz w:val="20"/>
                <w:szCs w:val="20"/>
              </w:rPr>
            </w:r>
          </w:p>
        </w:tc>
      </w:tr>
    </w:tbl>
    <w:p>
      <w:pPr>
        <w:pStyle w:val="Normal"/>
        <w:widowControl/>
        <w:bidi w:val="0"/>
        <w:spacing w:before="0" w:after="240"/>
        <w:ind w:left="0" w:right="-2016" w:hanging="0"/>
        <w:jc w:val="center"/>
        <w:textAlignment w:val="auto"/>
        <w:rPr>
          <w:rFonts w:ascii="Times New Roman" w:hAnsi="Times New Roman"/>
          <w:sz w:val="22"/>
          <w:szCs w:val="22"/>
          <w:lang w:val="ro-MD"/>
        </w:rPr>
      </w:pPr>
      <w:r>
        <w:rPr>
          <w:sz w:val="22"/>
          <w:szCs w:val="22"/>
          <w:lang w:val="ro-MD"/>
        </w:rPr>
      </w:r>
    </w:p>
    <w:p>
      <w:pPr>
        <w:pStyle w:val="Normal"/>
        <w:widowControl/>
        <w:bidi w:val="0"/>
        <w:spacing w:before="0" w:after="240"/>
        <w:ind w:left="0" w:right="-2016" w:hanging="0"/>
        <w:jc w:val="center"/>
        <w:textAlignment w:val="auto"/>
        <w:rPr>
          <w:rFonts w:ascii="Times New Roman" w:hAnsi="Times New Roman"/>
          <w:sz w:val="22"/>
          <w:szCs w:val="22"/>
          <w:lang w:val="ro-MD"/>
        </w:rPr>
      </w:pPr>
      <w:r>
        <w:rPr>
          <w:sz w:val="22"/>
          <w:szCs w:val="22"/>
          <w:lang w:val="ro-MD"/>
        </w:rPr>
      </w:r>
    </w:p>
    <w:tbl>
      <w:tblPr>
        <w:tblW w:w="10207" w:type="dxa"/>
        <w:jc w:val="left"/>
        <w:tblInd w:w="-109" w:type="dxa"/>
        <w:tblBorders/>
        <w:tblCellMar>
          <w:top w:w="0" w:type="dxa"/>
          <w:left w:w="108" w:type="dxa"/>
          <w:bottom w:w="0" w:type="dxa"/>
          <w:right w:w="108" w:type="dxa"/>
        </w:tblCellMar>
      </w:tblPr>
      <w:tblGrid>
        <w:gridCol w:w="4294"/>
        <w:gridCol w:w="952"/>
        <w:gridCol w:w="992"/>
        <w:gridCol w:w="992"/>
        <w:gridCol w:w="993"/>
        <w:gridCol w:w="992"/>
        <w:gridCol w:w="991"/>
      </w:tblGrid>
      <w:tr>
        <w:trPr>
          <w:trHeight w:val="246" w:hRule="atLeast"/>
        </w:trPr>
        <w:tc>
          <w:tcPr>
            <w:tcW w:w="4294" w:type="dxa"/>
            <w:tcBorders/>
            <w:shd w:fill="auto" w:val="clear"/>
            <w:vAlign w:val="bottom"/>
          </w:tcPr>
          <w:p>
            <w:pPr>
              <w:pStyle w:val="Normal"/>
              <w:widowControl/>
              <w:bidi w:val="0"/>
              <w:ind w:left="0" w:right="0" w:firstLine="400"/>
              <w:jc w:val="left"/>
              <w:textAlignment w:val="auto"/>
              <w:rPr>
                <w:rFonts w:ascii="Times New Roman" w:hAnsi="Times New Roman"/>
                <w:sz w:val="20"/>
                <w:szCs w:val="20"/>
                <w:lang w:val="en-US"/>
              </w:rPr>
            </w:pPr>
            <w:r>
              <w:rPr>
                <w:sz w:val="20"/>
                <w:szCs w:val="20"/>
                <w:lang w:val="en-US"/>
              </w:rPr>
            </w:r>
          </w:p>
        </w:tc>
        <w:tc>
          <w:tcPr>
            <w:tcW w:w="952" w:type="dxa"/>
            <w:tcBorders/>
            <w:shd w:fill="auto" w:val="clear"/>
            <w:vAlign w:val="bottom"/>
          </w:tcPr>
          <w:p>
            <w:pPr>
              <w:pStyle w:val="Normal"/>
              <w:widowControl/>
              <w:bidi w:val="0"/>
              <w:ind w:left="0" w:right="0" w:hanging="0"/>
              <w:jc w:val="left"/>
              <w:textAlignment w:val="auto"/>
              <w:rPr>
                <w:rFonts w:ascii="Times New Roman" w:hAnsi="Times New Roman"/>
                <w:sz w:val="20"/>
                <w:szCs w:val="20"/>
                <w:lang w:val="en-US"/>
              </w:rPr>
            </w:pPr>
            <w:r>
              <w:rPr>
                <w:sz w:val="20"/>
                <w:szCs w:val="20"/>
                <w:lang w:val="en-US"/>
              </w:rPr>
            </w:r>
          </w:p>
        </w:tc>
        <w:tc>
          <w:tcPr>
            <w:tcW w:w="992" w:type="dxa"/>
            <w:tcBorders/>
            <w:shd w:fill="auto" w:val="clear"/>
            <w:vAlign w:val="bottom"/>
          </w:tcPr>
          <w:p>
            <w:pPr>
              <w:pStyle w:val="Normal"/>
              <w:widowControl/>
              <w:bidi w:val="0"/>
              <w:ind w:left="0" w:right="0" w:hanging="0"/>
              <w:jc w:val="left"/>
              <w:textAlignment w:val="auto"/>
              <w:rPr>
                <w:rFonts w:ascii="Times New Roman" w:hAnsi="Times New Roman"/>
                <w:sz w:val="20"/>
                <w:szCs w:val="20"/>
                <w:lang w:val="en-US"/>
              </w:rPr>
            </w:pPr>
            <w:r>
              <w:rPr>
                <w:sz w:val="20"/>
                <w:szCs w:val="20"/>
                <w:lang w:val="en-US"/>
              </w:rPr>
            </w:r>
          </w:p>
        </w:tc>
        <w:tc>
          <w:tcPr>
            <w:tcW w:w="992" w:type="dxa"/>
            <w:tcBorders/>
            <w:shd w:fill="auto" w:val="clear"/>
            <w:vAlign w:val="bottom"/>
          </w:tcPr>
          <w:p>
            <w:pPr>
              <w:pStyle w:val="Normal"/>
              <w:widowControl/>
              <w:bidi w:val="0"/>
              <w:ind w:left="0" w:right="0" w:hanging="0"/>
              <w:jc w:val="left"/>
              <w:textAlignment w:val="auto"/>
              <w:rPr>
                <w:rFonts w:ascii="Times New Roman" w:hAnsi="Times New Roman"/>
                <w:sz w:val="20"/>
                <w:szCs w:val="20"/>
                <w:lang w:val="en-US"/>
              </w:rPr>
            </w:pPr>
            <w:r>
              <w:rPr>
                <w:sz w:val="20"/>
                <w:szCs w:val="20"/>
                <w:lang w:val="en-US"/>
              </w:rPr>
            </w:r>
          </w:p>
        </w:tc>
        <w:tc>
          <w:tcPr>
            <w:tcW w:w="993" w:type="dxa"/>
            <w:tcBorders/>
            <w:shd w:fill="auto" w:val="clear"/>
            <w:vAlign w:val="bottom"/>
          </w:tcPr>
          <w:p>
            <w:pPr>
              <w:pStyle w:val="Normal"/>
              <w:widowControl/>
              <w:bidi w:val="0"/>
              <w:ind w:left="0" w:right="0" w:hanging="0"/>
              <w:jc w:val="left"/>
              <w:textAlignment w:val="auto"/>
              <w:rPr>
                <w:rFonts w:ascii="Times New Roman" w:hAnsi="Times New Roman"/>
                <w:sz w:val="20"/>
                <w:szCs w:val="20"/>
                <w:lang w:val="en-US"/>
              </w:rPr>
            </w:pPr>
            <w:r>
              <w:rPr>
                <w:sz w:val="20"/>
                <w:szCs w:val="20"/>
                <w:lang w:val="en-US"/>
              </w:rPr>
            </w:r>
          </w:p>
        </w:tc>
        <w:tc>
          <w:tcPr>
            <w:tcW w:w="992" w:type="dxa"/>
            <w:tcBorders/>
            <w:shd w:fill="auto" w:val="clear"/>
            <w:vAlign w:val="bottom"/>
          </w:tcPr>
          <w:p>
            <w:pPr>
              <w:pStyle w:val="Normal"/>
              <w:widowControl/>
              <w:bidi w:val="0"/>
              <w:ind w:left="0" w:right="0" w:hanging="0"/>
              <w:jc w:val="left"/>
              <w:textAlignment w:val="auto"/>
              <w:rPr>
                <w:rFonts w:ascii="Times New Roman" w:hAnsi="Times New Roman"/>
                <w:sz w:val="20"/>
                <w:szCs w:val="20"/>
                <w:lang w:val="en-US"/>
              </w:rPr>
            </w:pPr>
            <w:r>
              <w:rPr>
                <w:sz w:val="20"/>
                <w:szCs w:val="20"/>
                <w:lang w:val="en-US"/>
              </w:rPr>
            </w:r>
          </w:p>
        </w:tc>
        <w:tc>
          <w:tcPr>
            <w:tcW w:w="991" w:type="dxa"/>
            <w:tcBorders/>
            <w:shd w:fill="auto" w:val="clear"/>
            <w:vAlign w:val="bottom"/>
          </w:tcPr>
          <w:p>
            <w:pPr>
              <w:pStyle w:val="Normal"/>
              <w:widowControl/>
              <w:bidi w:val="0"/>
              <w:ind w:left="0" w:right="0" w:hanging="0"/>
              <w:jc w:val="left"/>
              <w:textAlignment w:val="auto"/>
              <w:rPr>
                <w:rFonts w:ascii="Times New Roman" w:hAnsi="Times New Roman"/>
                <w:sz w:val="20"/>
                <w:szCs w:val="20"/>
                <w:lang w:val="en-US"/>
              </w:rPr>
            </w:pPr>
            <w:r>
              <w:rPr>
                <w:sz w:val="20"/>
                <w:szCs w:val="20"/>
                <w:lang w:val="en-US"/>
              </w:rPr>
            </w:r>
          </w:p>
        </w:tc>
      </w:tr>
    </w:tbl>
    <w:p>
      <w:pPr>
        <w:pStyle w:val="Normal"/>
        <w:widowControl/>
        <w:bidi w:val="0"/>
        <w:spacing w:before="0" w:after="240"/>
        <w:ind w:left="0" w:right="-2016" w:hanging="0"/>
        <w:jc w:val="center"/>
        <w:textAlignment w:val="auto"/>
        <w:rPr>
          <w:rFonts w:ascii="Times New Roman" w:hAnsi="Times New Roman"/>
          <w:sz w:val="22"/>
          <w:szCs w:val="22"/>
          <w:lang w:val="ro-MD"/>
        </w:rPr>
      </w:pPr>
      <w:r>
        <w:rPr>
          <w:sz w:val="22"/>
          <w:szCs w:val="22"/>
          <w:lang w:val="ro-MD"/>
        </w:rPr>
      </w:r>
    </w:p>
    <w:p>
      <w:pPr>
        <w:pStyle w:val="Normal"/>
        <w:widowControl/>
        <w:bidi w:val="0"/>
        <w:spacing w:before="0" w:after="240"/>
        <w:ind w:left="0" w:right="-2016" w:hanging="0"/>
        <w:jc w:val="center"/>
        <w:textAlignment w:val="auto"/>
        <w:rPr>
          <w:rFonts w:ascii="Times New Roman" w:hAnsi="Times New Roman"/>
          <w:sz w:val="22"/>
          <w:szCs w:val="22"/>
          <w:lang w:val="ro-MD"/>
        </w:rPr>
      </w:pPr>
      <w:r>
        <w:rPr>
          <w:sz w:val="22"/>
          <w:szCs w:val="22"/>
          <w:lang w:val="ro-MD"/>
        </w:rPr>
      </w:r>
    </w:p>
    <w:tbl>
      <w:tblPr>
        <w:tblW w:w="9356" w:type="dxa"/>
        <w:jc w:val="left"/>
        <w:tblInd w:w="0" w:type="dxa"/>
        <w:tblBorders>
          <w:bottom w:val="single" w:sz="8" w:space="0" w:color="000001"/>
          <w:insideH w:val="single" w:sz="8" w:space="0" w:color="000001"/>
        </w:tblBorders>
        <w:tblCellMar>
          <w:top w:w="0" w:type="dxa"/>
          <w:left w:w="108" w:type="dxa"/>
          <w:bottom w:w="0" w:type="dxa"/>
          <w:right w:w="108" w:type="dxa"/>
        </w:tblCellMar>
      </w:tblPr>
      <w:tblGrid>
        <w:gridCol w:w="3248"/>
        <w:gridCol w:w="1"/>
        <w:gridCol w:w="419"/>
        <w:gridCol w:w="6"/>
        <w:gridCol w:w="6"/>
        <w:gridCol w:w="129"/>
        <w:gridCol w:w="1"/>
        <w:gridCol w:w="865"/>
        <w:gridCol w:w="1"/>
        <w:gridCol w:w="852"/>
        <w:gridCol w:w="1"/>
        <w:gridCol w:w="707"/>
        <w:gridCol w:w="1"/>
        <w:gridCol w:w="850"/>
        <w:gridCol w:w="1"/>
        <w:gridCol w:w="139"/>
        <w:gridCol w:w="709"/>
        <w:gridCol w:w="1"/>
        <w:gridCol w:w="1"/>
        <w:gridCol w:w="707"/>
        <w:gridCol w:w="1"/>
        <w:gridCol w:w="709"/>
      </w:tblGrid>
      <w:tr>
        <w:trPr>
          <w:trHeight w:val="405" w:hRule="atLeast"/>
        </w:trPr>
        <w:tc>
          <w:tcPr>
            <w:tcW w:w="9355" w:type="dxa"/>
            <w:gridSpan w:val="22"/>
            <w:tcBorders>
              <w:bottom w:val="single" w:sz="8" w:space="0" w:color="000001"/>
              <w:insideH w:val="single" w:sz="8" w:space="0" w:color="000001"/>
            </w:tcBorders>
            <w:shd w:fill="auto" w:val="clear"/>
            <w:vAlign w:val="center"/>
          </w:tcPr>
          <w:p>
            <w:pPr>
              <w:pStyle w:val="Normal"/>
              <w:widowControl/>
              <w:bidi w:val="0"/>
              <w:ind w:left="0" w:right="0" w:hanging="0"/>
              <w:jc w:val="center"/>
              <w:textAlignment w:val="auto"/>
              <w:rPr>
                <w:lang w:val="en-US"/>
              </w:rPr>
            </w:pPr>
            <w:bookmarkStart w:id="424" w:name="RANGE!A32"/>
            <w:bookmarkStart w:id="425" w:name="RANGE!A1:I33"/>
            <w:bookmarkEnd w:id="424"/>
            <w:bookmarkEnd w:id="425"/>
            <w:r>
              <w:rPr>
                <w:rFonts w:cs="Times New Roman CE" w:ascii="Times New Roman CE" w:hAnsi="Times New Roman CE"/>
                <w:b/>
                <w:bCs/>
                <w:sz w:val="20"/>
                <w:szCs w:val="20"/>
                <w:lang w:val="en-US" w:eastAsia="en-US"/>
              </w:rPr>
              <w:t>2.3. Distribuirea pe direcţii strategice şi domenii ştiinţifice</w:t>
            </w:r>
          </w:p>
        </w:tc>
      </w:tr>
      <w:tr>
        <w:trPr>
          <w:trHeight w:val="270" w:hRule="atLeast"/>
        </w:trPr>
        <w:tc>
          <w:tcPr>
            <w:tcW w:w="3249" w:type="dxa"/>
            <w:gridSpan w:val="2"/>
            <w:vMerge w:val="restart"/>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rFonts w:cs="Times New Roman CE" w:ascii="Times New Roman CE" w:hAnsi="Times New Roman CE"/>
                <w:sz w:val="20"/>
                <w:szCs w:val="20"/>
                <w:lang w:val="en-US" w:eastAsia="en-US"/>
              </w:rPr>
              <w:t>Direcţia strategică</w:t>
            </w:r>
          </w:p>
        </w:tc>
        <w:tc>
          <w:tcPr>
            <w:tcW w:w="561" w:type="dxa"/>
            <w:gridSpan w:val="5"/>
            <w:vMerge w:val="restart"/>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extDirection w:val="btLr"/>
            <w:vAlign w:val="center"/>
          </w:tcPr>
          <w:p>
            <w:pPr>
              <w:pStyle w:val="Normal"/>
              <w:widowControl/>
              <w:bidi w:val="0"/>
              <w:ind w:left="0" w:right="0" w:hanging="0"/>
              <w:jc w:val="center"/>
              <w:textAlignment w:val="auto"/>
              <w:rPr>
                <w:lang w:val="en-US"/>
              </w:rPr>
            </w:pPr>
            <w:r>
              <w:rPr>
                <w:rFonts w:cs="Times New Roman CE" w:ascii="Times New Roman CE" w:hAnsi="Times New Roman CE"/>
                <w:sz w:val="20"/>
                <w:szCs w:val="20"/>
                <w:lang w:val="en-US" w:eastAsia="en-US"/>
              </w:rPr>
              <w:t>Codul</w:t>
            </w:r>
            <w:r>
              <w:rPr/>
              <w:br/>
            </w:r>
            <w:r>
              <w:rPr>
                <w:rFonts w:cs="Times New Roman CE" w:ascii="Times New Roman CE" w:hAnsi="Times New Roman CE"/>
                <w:sz w:val="20"/>
                <w:szCs w:val="20"/>
                <w:lang w:val="en-US" w:eastAsia="en-US"/>
              </w:rPr>
              <w:t>domeniului ştiinţific *</w:t>
            </w:r>
          </w:p>
        </w:tc>
        <w:tc>
          <w:tcPr>
            <w:tcW w:w="866" w:type="dxa"/>
            <w:gridSpan w:val="2"/>
            <w:vMerge w:val="restart"/>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extDirection w:val="btLr"/>
            <w:vAlign w:val="center"/>
          </w:tcPr>
          <w:p>
            <w:pPr>
              <w:pStyle w:val="Normal"/>
              <w:widowControl/>
              <w:bidi w:val="0"/>
              <w:ind w:left="0" w:right="0" w:hanging="0"/>
              <w:jc w:val="center"/>
              <w:textAlignment w:val="auto"/>
              <w:rPr>
                <w:lang w:val="fr-FR"/>
              </w:rPr>
            </w:pPr>
            <w:r>
              <w:rPr>
                <w:sz w:val="20"/>
                <w:szCs w:val="20"/>
                <w:lang w:val="fr-FR" w:eastAsia="en-US"/>
              </w:rPr>
              <w:t xml:space="preserve">Cheltuieli totale, </w:t>
            </w:r>
            <w:r>
              <w:rPr>
                <w:b/>
                <w:bCs/>
                <w:color w:val="FF0000"/>
                <w:sz w:val="20"/>
                <w:szCs w:val="20"/>
                <w:lang w:val="fr-FR" w:eastAsia="en-US"/>
              </w:rPr>
              <w:t>plan executat</w:t>
            </w:r>
            <w:r>
              <w:rPr>
                <w:sz w:val="20"/>
                <w:szCs w:val="20"/>
                <w:lang w:val="fr-FR" w:eastAsia="en-US"/>
              </w:rPr>
              <w:t>, mii lei</w:t>
            </w:r>
          </w:p>
        </w:tc>
        <w:tc>
          <w:tcPr>
            <w:tcW w:w="4679" w:type="dxa"/>
            <w:gridSpan w:val="13"/>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Inclusiv</w:t>
            </w:r>
          </w:p>
        </w:tc>
      </w:tr>
      <w:tr>
        <w:trPr>
          <w:trHeight w:val="270" w:hRule="atLeast"/>
        </w:trPr>
        <w:tc>
          <w:tcPr>
            <w:tcW w:w="3249" w:type="dxa"/>
            <w:gridSpan w:val="2"/>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c>
          <w:tcPr>
            <w:tcW w:w="561" w:type="dxa"/>
            <w:gridSpan w:val="5"/>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c>
          <w:tcPr>
            <w:tcW w:w="866" w:type="dxa"/>
            <w:gridSpan w:val="2"/>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c>
          <w:tcPr>
            <w:tcW w:w="2551" w:type="dxa"/>
            <w:gridSpan w:val="7"/>
            <w:vMerge w:val="restart"/>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rFonts w:cs="Times New Roman CE" w:ascii="Times New Roman CE" w:hAnsi="Times New Roman CE"/>
                <w:sz w:val="20"/>
                <w:szCs w:val="20"/>
                <w:lang w:val="en-US" w:eastAsia="en-US"/>
              </w:rPr>
              <w:t>Cercetări</w:t>
            </w:r>
            <w:r>
              <w:rPr/>
              <w:br/>
            </w:r>
            <w:r>
              <w:rPr>
                <w:rFonts w:cs="Times New Roman CE" w:ascii="Times New Roman CE" w:hAnsi="Times New Roman CE"/>
                <w:sz w:val="20"/>
                <w:szCs w:val="20"/>
                <w:lang w:val="en-US" w:eastAsia="en-US"/>
              </w:rPr>
              <w:t xml:space="preserve"> fundamentale</w:t>
            </w:r>
          </w:p>
        </w:tc>
        <w:tc>
          <w:tcPr>
            <w:tcW w:w="2128" w:type="dxa"/>
            <w:gridSpan w:val="6"/>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rFonts w:cs="Times New Roman CE" w:ascii="Times New Roman CE" w:hAnsi="Times New Roman CE"/>
                <w:sz w:val="20"/>
                <w:szCs w:val="20"/>
                <w:lang w:val="en-US" w:eastAsia="en-US"/>
              </w:rPr>
              <w:t>Cercetări aplicative</w:t>
            </w:r>
          </w:p>
        </w:tc>
      </w:tr>
      <w:tr>
        <w:trPr>
          <w:trHeight w:val="1201" w:hRule="atLeast"/>
        </w:trPr>
        <w:tc>
          <w:tcPr>
            <w:tcW w:w="3249" w:type="dxa"/>
            <w:gridSpan w:val="2"/>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c>
          <w:tcPr>
            <w:tcW w:w="561" w:type="dxa"/>
            <w:gridSpan w:val="5"/>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c>
          <w:tcPr>
            <w:tcW w:w="866" w:type="dxa"/>
            <w:gridSpan w:val="2"/>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c>
          <w:tcPr>
            <w:tcW w:w="2551" w:type="dxa"/>
            <w:gridSpan w:val="7"/>
            <w:vMerge w:val="continue"/>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c>
          <w:tcPr>
            <w:tcW w:w="711"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Total</w:t>
            </w:r>
          </w:p>
        </w:tc>
        <w:tc>
          <w:tcPr>
            <w:tcW w:w="1417"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fr-FR"/>
              </w:rPr>
            </w:pPr>
            <w:r>
              <w:rPr>
                <w:sz w:val="20"/>
                <w:szCs w:val="20"/>
                <w:lang w:val="fr-FR" w:eastAsia="en-US"/>
              </w:rPr>
              <w:t>Inclusiv pentru proiecte de transfer tehnologic</w:t>
            </w:r>
          </w:p>
        </w:tc>
      </w:tr>
      <w:tr>
        <w:trPr>
          <w:trHeight w:val="882" w:hRule="atLeast"/>
        </w:trPr>
        <w:tc>
          <w:tcPr>
            <w:tcW w:w="3248" w:type="dxa"/>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fr-FR" w:eastAsia="en-US"/>
              </w:rPr>
            </w:pPr>
            <w:r>
              <w:rPr>
                <w:sz w:val="20"/>
                <w:szCs w:val="20"/>
                <w:lang w:val="fr-FR" w:eastAsia="en-US"/>
              </w:rPr>
            </w:r>
          </w:p>
        </w:tc>
        <w:tc>
          <w:tcPr>
            <w:tcW w:w="561" w:type="dxa"/>
            <w:gridSpan w:val="5"/>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fr-FR" w:eastAsia="en-US"/>
              </w:rPr>
            </w:pPr>
            <w:r>
              <w:rPr>
                <w:sz w:val="20"/>
                <w:szCs w:val="20"/>
                <w:lang w:val="fr-FR" w:eastAsia="en-US"/>
              </w:rPr>
            </w:r>
          </w:p>
        </w:tc>
        <w:tc>
          <w:tcPr>
            <w:tcW w:w="866" w:type="dxa"/>
            <w:gridSpan w:val="2"/>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fr-FR" w:eastAsia="en-US"/>
              </w:rPr>
            </w:pPr>
            <w:r>
              <w:rPr>
                <w:sz w:val="20"/>
                <w:szCs w:val="20"/>
                <w:lang w:val="fr-FR" w:eastAsia="en-US"/>
              </w:rPr>
            </w:r>
          </w:p>
        </w:tc>
        <w:tc>
          <w:tcPr>
            <w:tcW w:w="853"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rFonts w:cs="Times New Roman CE" w:ascii="Times New Roman CE" w:hAnsi="Times New Roman CE"/>
                <w:sz w:val="20"/>
                <w:szCs w:val="20"/>
                <w:lang w:val="en-US" w:eastAsia="en-US"/>
              </w:rPr>
              <w:t>Alocaţii bugetare</w:t>
            </w:r>
          </w:p>
        </w:tc>
        <w:tc>
          <w:tcPr>
            <w:tcW w:w="708"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20"/>
                <w:szCs w:val="20"/>
                <w:lang w:val="en-US" w:eastAsia="en-US"/>
              </w:rPr>
              <w:t>Venituri colectatea interne</w:t>
            </w:r>
          </w:p>
        </w:tc>
        <w:tc>
          <w:tcPr>
            <w:tcW w:w="851"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rFonts w:cs="Times New Roman CE" w:ascii="Times New Roman CE" w:hAnsi="Times New Roman CE"/>
                <w:sz w:val="20"/>
                <w:szCs w:val="20"/>
                <w:lang w:val="en-US" w:eastAsia="en-US"/>
              </w:rPr>
              <w:t>Alocaţii bugetare</w:t>
            </w:r>
          </w:p>
        </w:tc>
        <w:tc>
          <w:tcPr>
            <w:tcW w:w="849" w:type="dxa"/>
            <w:gridSpan w:val="3"/>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20"/>
                <w:szCs w:val="20"/>
                <w:lang w:val="en-US" w:eastAsia="en-US"/>
              </w:rPr>
              <w:t>Venituri colectate interne</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rFonts w:cs="Times New Roman CE" w:ascii="Times New Roman CE" w:hAnsi="Times New Roman CE"/>
                <w:sz w:val="20"/>
                <w:szCs w:val="20"/>
                <w:lang w:val="en-US" w:eastAsia="en-US"/>
              </w:rPr>
              <w:t>Alocaţii bugetare</w:t>
            </w:r>
          </w:p>
        </w:tc>
        <w:tc>
          <w:tcPr>
            <w:tcW w:w="710"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20"/>
                <w:szCs w:val="20"/>
                <w:lang w:val="en-US" w:eastAsia="en-US"/>
              </w:rPr>
              <w:t>Venituri colectate interne</w:t>
            </w:r>
          </w:p>
        </w:tc>
      </w:tr>
      <w:tr>
        <w:trPr>
          <w:trHeight w:val="270" w:hRule="atLeast"/>
        </w:trPr>
        <w:tc>
          <w:tcPr>
            <w:tcW w:w="9355" w:type="dxa"/>
            <w:gridSpan w:val="2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b/>
                <w:bCs/>
                <w:sz w:val="20"/>
                <w:szCs w:val="20"/>
                <w:lang w:val="en-US" w:eastAsia="en-US"/>
              </w:rPr>
              <w:t>Materiale, tehnologii şi produse inovative</w:t>
            </w:r>
          </w:p>
        </w:tc>
      </w:tr>
      <w:tr>
        <w:trPr>
          <w:trHeight w:val="270" w:hRule="atLeast"/>
        </w:trPr>
        <w:tc>
          <w:tcPr>
            <w:tcW w:w="324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Total</w:t>
            </w:r>
          </w:p>
        </w:tc>
        <w:tc>
          <w:tcPr>
            <w:tcW w:w="561" w:type="dxa"/>
            <w:gridSpan w:val="5"/>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sz w:val="20"/>
                <w:szCs w:val="20"/>
                <w:lang w:val="en-US" w:eastAsia="en-US"/>
              </w:rPr>
              <w:t> </w:t>
            </w:r>
          </w:p>
        </w:tc>
        <w:tc>
          <w:tcPr>
            <w:tcW w:w="866"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5595,5</w:t>
            </w:r>
          </w:p>
        </w:tc>
        <w:tc>
          <w:tcPr>
            <w:tcW w:w="853"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2107,0</w:t>
            </w:r>
          </w:p>
        </w:tc>
        <w:tc>
          <w:tcPr>
            <w:tcW w:w="708"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69,4</w:t>
            </w:r>
          </w:p>
        </w:tc>
        <w:tc>
          <w:tcPr>
            <w:tcW w:w="851"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3419,1</w:t>
            </w:r>
          </w:p>
        </w:tc>
        <w:tc>
          <w:tcPr>
            <w:tcW w:w="849"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0</w:t>
            </w:r>
          </w:p>
        </w:tc>
        <w:tc>
          <w:tcPr>
            <w:tcW w:w="709"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0</w:t>
            </w:r>
          </w:p>
        </w:tc>
        <w:tc>
          <w:tcPr>
            <w:tcW w:w="710"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0</w:t>
            </w:r>
          </w:p>
        </w:tc>
      </w:tr>
      <w:tr>
        <w:trPr>
          <w:trHeight w:val="270" w:hRule="atLeast"/>
        </w:trPr>
        <w:tc>
          <w:tcPr>
            <w:tcW w:w="324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400"/>
              <w:jc w:val="left"/>
              <w:textAlignment w:val="auto"/>
              <w:rPr>
                <w:lang w:val="en-US"/>
              </w:rPr>
            </w:pPr>
            <w:r>
              <w:rPr>
                <w:sz w:val="20"/>
                <w:szCs w:val="20"/>
                <w:lang w:val="en-US" w:eastAsia="en-US"/>
              </w:rPr>
              <w:t>Inclusiv</w:t>
            </w:r>
          </w:p>
        </w:tc>
        <w:tc>
          <w:tcPr>
            <w:tcW w:w="561" w:type="dxa"/>
            <w:gridSpan w:val="5"/>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sz w:val="20"/>
                <w:szCs w:val="20"/>
                <w:lang w:val="en-US" w:eastAsia="en-US"/>
              </w:rPr>
              <w:t> </w:t>
            </w:r>
          </w:p>
        </w:tc>
        <w:tc>
          <w:tcPr>
            <w:tcW w:w="866" w:type="dxa"/>
            <w:gridSpan w:val="2"/>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853" w:type="dxa"/>
            <w:gridSpan w:val="2"/>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708" w:type="dxa"/>
            <w:gridSpan w:val="2"/>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851" w:type="dxa"/>
            <w:gridSpan w:val="2"/>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849" w:type="dxa"/>
            <w:gridSpan w:val="3"/>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709" w:type="dxa"/>
            <w:gridSpan w:val="3"/>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710" w:type="dxa"/>
            <w:gridSpan w:val="2"/>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b/>
                <w:bCs/>
                <w:sz w:val="20"/>
                <w:szCs w:val="20"/>
                <w:lang w:val="en-US" w:eastAsia="en-US"/>
              </w:rPr>
              <w:t> </w:t>
            </w:r>
          </w:p>
        </w:tc>
      </w:tr>
      <w:tr>
        <w:trPr>
          <w:trHeight w:val="270" w:hRule="atLeast"/>
        </w:trPr>
        <w:tc>
          <w:tcPr>
            <w:tcW w:w="324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400"/>
              <w:jc w:val="left"/>
              <w:textAlignment w:val="auto"/>
              <w:rPr>
                <w:lang w:val="en-US"/>
              </w:rPr>
            </w:pPr>
            <w:r>
              <w:rPr>
                <w:rFonts w:cs="Times New Roman CE" w:ascii="Times New Roman CE" w:hAnsi="Times New Roman CE"/>
                <w:sz w:val="20"/>
                <w:szCs w:val="20"/>
                <w:lang w:val="en-US" w:eastAsia="en-US"/>
              </w:rPr>
              <w:t>Ştiinţe inginereşti şi tehnologice</w:t>
            </w:r>
          </w:p>
        </w:tc>
        <w:tc>
          <w:tcPr>
            <w:tcW w:w="561" w:type="dxa"/>
            <w:gridSpan w:val="5"/>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sz w:val="20"/>
                <w:szCs w:val="20"/>
                <w:lang w:val="en-US" w:eastAsia="en-US"/>
              </w:rPr>
              <w:t>2</w:t>
            </w:r>
          </w:p>
        </w:tc>
        <w:tc>
          <w:tcPr>
            <w:tcW w:w="866"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5595,5</w:t>
            </w:r>
          </w:p>
        </w:tc>
        <w:tc>
          <w:tcPr>
            <w:tcW w:w="853"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2107,0</w:t>
            </w:r>
          </w:p>
        </w:tc>
        <w:tc>
          <w:tcPr>
            <w:tcW w:w="708"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69,4</w:t>
            </w:r>
          </w:p>
        </w:tc>
        <w:tc>
          <w:tcPr>
            <w:tcW w:w="851"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3419,1</w:t>
            </w:r>
          </w:p>
        </w:tc>
        <w:tc>
          <w:tcPr>
            <w:tcW w:w="84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710"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r>
      <w:tr>
        <w:trPr>
          <w:trHeight w:val="270" w:hRule="atLeast"/>
        </w:trPr>
        <w:tc>
          <w:tcPr>
            <w:tcW w:w="324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400"/>
              <w:jc w:val="left"/>
              <w:textAlignment w:val="auto"/>
              <w:rPr>
                <w:lang w:val="en-US"/>
              </w:rPr>
            </w:pPr>
            <w:r>
              <w:rPr>
                <w:rFonts w:cs="Times New Roman CE" w:ascii="Times New Roman CE" w:hAnsi="Times New Roman CE"/>
                <w:sz w:val="20"/>
                <w:szCs w:val="20"/>
                <w:lang w:val="en-US" w:eastAsia="en-US"/>
              </w:rPr>
              <w:t>Ştiinţe medicale</w:t>
            </w:r>
          </w:p>
        </w:tc>
        <w:tc>
          <w:tcPr>
            <w:tcW w:w="561" w:type="dxa"/>
            <w:gridSpan w:val="5"/>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sz w:val="20"/>
                <w:szCs w:val="20"/>
                <w:lang w:val="en-US" w:eastAsia="en-US"/>
              </w:rPr>
              <w:t>3</w:t>
            </w:r>
          </w:p>
        </w:tc>
        <w:tc>
          <w:tcPr>
            <w:tcW w:w="866"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0</w:t>
            </w:r>
          </w:p>
        </w:tc>
        <w:tc>
          <w:tcPr>
            <w:tcW w:w="853"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708"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851"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84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710"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r>
      <w:tr>
        <w:trPr>
          <w:trHeight w:val="270" w:hRule="atLeast"/>
        </w:trPr>
        <w:tc>
          <w:tcPr>
            <w:tcW w:w="9355" w:type="dxa"/>
            <w:gridSpan w:val="2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b/>
                <w:bCs/>
                <w:sz w:val="20"/>
                <w:szCs w:val="20"/>
                <w:lang w:val="fr-FR" w:eastAsia="en-US"/>
              </w:rPr>
              <w:t>Eficienţă energetică şi valorificare a</w:t>
            </w:r>
            <w:r>
              <w:rPr>
                <w:b/>
                <w:bCs/>
                <w:sz w:val="20"/>
                <w:szCs w:val="20"/>
                <w:lang w:val="fr-FR" w:eastAsia="en-US"/>
              </w:rPr>
              <w:t xml:space="preserve"> surselor regenerabile de energie</w:t>
            </w:r>
          </w:p>
        </w:tc>
      </w:tr>
      <w:tr>
        <w:trPr>
          <w:trHeight w:val="270" w:hRule="atLeast"/>
        </w:trPr>
        <w:tc>
          <w:tcPr>
            <w:tcW w:w="324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Total</w:t>
            </w:r>
          </w:p>
        </w:tc>
        <w:tc>
          <w:tcPr>
            <w:tcW w:w="420" w:type="dxa"/>
            <w:gridSpan w:val="2"/>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sz w:val="20"/>
                <w:szCs w:val="20"/>
                <w:lang w:val="en-US" w:eastAsia="en-US"/>
              </w:rPr>
              <w:t> </w:t>
            </w:r>
          </w:p>
        </w:tc>
        <w:tc>
          <w:tcPr>
            <w:tcW w:w="1007" w:type="dxa"/>
            <w:gridSpan w:val="5"/>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0</w:t>
            </w:r>
          </w:p>
        </w:tc>
        <w:tc>
          <w:tcPr>
            <w:tcW w:w="853"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0</w:t>
            </w:r>
          </w:p>
        </w:tc>
        <w:tc>
          <w:tcPr>
            <w:tcW w:w="708"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0</w:t>
            </w:r>
          </w:p>
        </w:tc>
        <w:tc>
          <w:tcPr>
            <w:tcW w:w="851"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0</w:t>
            </w:r>
          </w:p>
        </w:tc>
        <w:tc>
          <w:tcPr>
            <w:tcW w:w="849"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0</w:t>
            </w:r>
          </w:p>
        </w:tc>
        <w:tc>
          <w:tcPr>
            <w:tcW w:w="709"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0</w:t>
            </w:r>
          </w:p>
        </w:tc>
        <w:tc>
          <w:tcPr>
            <w:tcW w:w="710"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0</w:t>
            </w:r>
          </w:p>
        </w:tc>
      </w:tr>
      <w:tr>
        <w:trPr>
          <w:trHeight w:val="270" w:hRule="atLeast"/>
        </w:trPr>
        <w:tc>
          <w:tcPr>
            <w:tcW w:w="324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400"/>
              <w:jc w:val="left"/>
              <w:textAlignment w:val="auto"/>
              <w:rPr>
                <w:lang w:val="en-US"/>
              </w:rPr>
            </w:pPr>
            <w:r>
              <w:rPr>
                <w:sz w:val="20"/>
                <w:szCs w:val="20"/>
                <w:lang w:val="en-US" w:eastAsia="en-US"/>
              </w:rPr>
              <w:t>Inclusiv</w:t>
            </w:r>
          </w:p>
        </w:tc>
        <w:tc>
          <w:tcPr>
            <w:tcW w:w="420" w:type="dxa"/>
            <w:gridSpan w:val="2"/>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sz w:val="20"/>
                <w:szCs w:val="20"/>
                <w:lang w:val="en-US" w:eastAsia="en-US"/>
              </w:rPr>
              <w:t> </w:t>
            </w:r>
          </w:p>
        </w:tc>
        <w:tc>
          <w:tcPr>
            <w:tcW w:w="1007" w:type="dxa"/>
            <w:gridSpan w:val="5"/>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853" w:type="dxa"/>
            <w:gridSpan w:val="2"/>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708" w:type="dxa"/>
            <w:gridSpan w:val="2"/>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851" w:type="dxa"/>
            <w:gridSpan w:val="2"/>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849" w:type="dxa"/>
            <w:gridSpan w:val="3"/>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709" w:type="dxa"/>
            <w:gridSpan w:val="3"/>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710" w:type="dxa"/>
            <w:gridSpan w:val="2"/>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b/>
                <w:bCs/>
                <w:sz w:val="20"/>
                <w:szCs w:val="20"/>
                <w:lang w:val="en-US" w:eastAsia="en-US"/>
              </w:rPr>
              <w:t> </w:t>
            </w:r>
          </w:p>
        </w:tc>
      </w:tr>
      <w:tr>
        <w:trPr>
          <w:trHeight w:val="270" w:hRule="atLeast"/>
        </w:trPr>
        <w:tc>
          <w:tcPr>
            <w:tcW w:w="324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400"/>
              <w:jc w:val="left"/>
              <w:textAlignment w:val="auto"/>
              <w:rPr>
                <w:lang w:val="en-US"/>
              </w:rPr>
            </w:pPr>
            <w:r>
              <w:rPr>
                <w:rFonts w:cs="Times New Roman CE" w:ascii="Times New Roman CE" w:hAnsi="Times New Roman CE"/>
                <w:sz w:val="20"/>
                <w:szCs w:val="20"/>
                <w:lang w:val="en-US" w:eastAsia="en-US"/>
              </w:rPr>
              <w:t>Ştiinţe naturale şi exacte</w:t>
            </w:r>
          </w:p>
        </w:tc>
        <w:tc>
          <w:tcPr>
            <w:tcW w:w="420" w:type="dxa"/>
            <w:gridSpan w:val="2"/>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sz w:val="20"/>
                <w:szCs w:val="20"/>
                <w:lang w:val="en-US" w:eastAsia="en-US"/>
              </w:rPr>
              <w:t>1</w:t>
            </w:r>
          </w:p>
        </w:tc>
        <w:tc>
          <w:tcPr>
            <w:tcW w:w="1007" w:type="dxa"/>
            <w:gridSpan w:val="5"/>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0</w:t>
            </w:r>
          </w:p>
        </w:tc>
        <w:tc>
          <w:tcPr>
            <w:tcW w:w="853"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708"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851"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84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710"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r>
      <w:tr>
        <w:trPr>
          <w:trHeight w:val="270" w:hRule="atLeast"/>
        </w:trPr>
        <w:tc>
          <w:tcPr>
            <w:tcW w:w="324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400"/>
              <w:jc w:val="left"/>
              <w:textAlignment w:val="auto"/>
              <w:rPr>
                <w:lang w:val="en-US"/>
              </w:rPr>
            </w:pPr>
            <w:r>
              <w:rPr>
                <w:rFonts w:cs="Times New Roman CE" w:ascii="Times New Roman CE" w:hAnsi="Times New Roman CE"/>
                <w:sz w:val="20"/>
                <w:szCs w:val="20"/>
                <w:lang w:val="en-US" w:eastAsia="en-US"/>
              </w:rPr>
              <w:t>Ştiinţe inginereşti şi tehnologice</w:t>
            </w:r>
          </w:p>
        </w:tc>
        <w:tc>
          <w:tcPr>
            <w:tcW w:w="420" w:type="dxa"/>
            <w:gridSpan w:val="2"/>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sz w:val="20"/>
                <w:szCs w:val="20"/>
                <w:lang w:val="en-US" w:eastAsia="en-US"/>
              </w:rPr>
              <w:t>3</w:t>
            </w:r>
          </w:p>
        </w:tc>
        <w:tc>
          <w:tcPr>
            <w:tcW w:w="1007" w:type="dxa"/>
            <w:gridSpan w:val="5"/>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0</w:t>
            </w:r>
          </w:p>
        </w:tc>
        <w:tc>
          <w:tcPr>
            <w:tcW w:w="853"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708"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851"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84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710"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r>
      <w:tr>
        <w:trPr>
          <w:trHeight w:val="270" w:hRule="atLeast"/>
        </w:trPr>
        <w:tc>
          <w:tcPr>
            <w:tcW w:w="9355" w:type="dxa"/>
            <w:gridSpan w:val="2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b/>
                <w:bCs/>
                <w:sz w:val="20"/>
                <w:szCs w:val="20"/>
                <w:lang w:val="en-US" w:eastAsia="en-US"/>
              </w:rPr>
              <w:t>Sănătate şi biomedicină</w:t>
            </w:r>
          </w:p>
        </w:tc>
      </w:tr>
      <w:tr>
        <w:trPr>
          <w:trHeight w:val="270" w:hRule="atLeast"/>
        </w:trPr>
        <w:tc>
          <w:tcPr>
            <w:tcW w:w="324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Total</w:t>
            </w:r>
          </w:p>
        </w:tc>
        <w:tc>
          <w:tcPr>
            <w:tcW w:w="426" w:type="dxa"/>
            <w:gridSpan w:val="3"/>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sz w:val="20"/>
                <w:szCs w:val="20"/>
                <w:lang w:val="en-US" w:eastAsia="en-US"/>
              </w:rPr>
              <w:t> </w:t>
            </w:r>
          </w:p>
        </w:tc>
        <w:tc>
          <w:tcPr>
            <w:tcW w:w="1001" w:type="dxa"/>
            <w:gridSpan w:val="4"/>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0</w:t>
            </w:r>
          </w:p>
        </w:tc>
        <w:tc>
          <w:tcPr>
            <w:tcW w:w="853"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0</w:t>
            </w:r>
          </w:p>
        </w:tc>
        <w:tc>
          <w:tcPr>
            <w:tcW w:w="708"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0</w:t>
            </w:r>
          </w:p>
        </w:tc>
        <w:tc>
          <w:tcPr>
            <w:tcW w:w="851"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0</w:t>
            </w:r>
          </w:p>
        </w:tc>
        <w:tc>
          <w:tcPr>
            <w:tcW w:w="849"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0</w:t>
            </w:r>
          </w:p>
        </w:tc>
        <w:tc>
          <w:tcPr>
            <w:tcW w:w="709"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0</w:t>
            </w:r>
          </w:p>
        </w:tc>
        <w:tc>
          <w:tcPr>
            <w:tcW w:w="710"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0</w:t>
            </w:r>
          </w:p>
        </w:tc>
      </w:tr>
      <w:tr>
        <w:trPr>
          <w:trHeight w:val="270" w:hRule="atLeast"/>
        </w:trPr>
        <w:tc>
          <w:tcPr>
            <w:tcW w:w="324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400"/>
              <w:jc w:val="left"/>
              <w:textAlignment w:val="auto"/>
              <w:rPr>
                <w:lang w:val="en-US"/>
              </w:rPr>
            </w:pPr>
            <w:r>
              <w:rPr>
                <w:sz w:val="20"/>
                <w:szCs w:val="20"/>
                <w:lang w:val="en-US" w:eastAsia="en-US"/>
              </w:rPr>
              <w:t>Inclusiv</w:t>
            </w:r>
          </w:p>
        </w:tc>
        <w:tc>
          <w:tcPr>
            <w:tcW w:w="426" w:type="dxa"/>
            <w:gridSpan w:val="3"/>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sz w:val="20"/>
                <w:szCs w:val="20"/>
                <w:lang w:val="en-US" w:eastAsia="en-US"/>
              </w:rPr>
              <w:t> </w:t>
            </w:r>
          </w:p>
        </w:tc>
        <w:tc>
          <w:tcPr>
            <w:tcW w:w="1001" w:type="dxa"/>
            <w:gridSpan w:val="4"/>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853" w:type="dxa"/>
            <w:gridSpan w:val="2"/>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708" w:type="dxa"/>
            <w:gridSpan w:val="2"/>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851" w:type="dxa"/>
            <w:gridSpan w:val="2"/>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849" w:type="dxa"/>
            <w:gridSpan w:val="3"/>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709" w:type="dxa"/>
            <w:gridSpan w:val="3"/>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710" w:type="dxa"/>
            <w:gridSpan w:val="2"/>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b/>
                <w:bCs/>
                <w:sz w:val="20"/>
                <w:szCs w:val="20"/>
                <w:lang w:val="en-US" w:eastAsia="en-US"/>
              </w:rPr>
              <w:t> </w:t>
            </w:r>
          </w:p>
        </w:tc>
      </w:tr>
      <w:tr>
        <w:trPr>
          <w:trHeight w:val="270" w:hRule="atLeast"/>
        </w:trPr>
        <w:tc>
          <w:tcPr>
            <w:tcW w:w="324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400"/>
              <w:jc w:val="left"/>
              <w:textAlignment w:val="auto"/>
              <w:rPr>
                <w:lang w:val="en-US"/>
              </w:rPr>
            </w:pPr>
            <w:r>
              <w:rPr>
                <w:rFonts w:cs="Times New Roman CE" w:ascii="Times New Roman CE" w:hAnsi="Times New Roman CE"/>
                <w:sz w:val="20"/>
                <w:szCs w:val="20"/>
                <w:lang w:val="en-US" w:eastAsia="en-US"/>
              </w:rPr>
              <w:t>Ştiinţe naturale şi exacte</w:t>
            </w:r>
          </w:p>
        </w:tc>
        <w:tc>
          <w:tcPr>
            <w:tcW w:w="426" w:type="dxa"/>
            <w:gridSpan w:val="3"/>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sz w:val="20"/>
                <w:szCs w:val="20"/>
                <w:lang w:val="en-US" w:eastAsia="en-US"/>
              </w:rPr>
              <w:t>1</w:t>
            </w:r>
          </w:p>
        </w:tc>
        <w:tc>
          <w:tcPr>
            <w:tcW w:w="1001" w:type="dxa"/>
            <w:gridSpan w:val="4"/>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0</w:t>
            </w:r>
          </w:p>
        </w:tc>
        <w:tc>
          <w:tcPr>
            <w:tcW w:w="853"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708"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851"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84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710"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r>
      <w:tr>
        <w:trPr>
          <w:trHeight w:val="270" w:hRule="atLeast"/>
        </w:trPr>
        <w:tc>
          <w:tcPr>
            <w:tcW w:w="324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400"/>
              <w:jc w:val="left"/>
              <w:textAlignment w:val="auto"/>
              <w:rPr>
                <w:lang w:val="en-US"/>
              </w:rPr>
            </w:pPr>
            <w:r>
              <w:rPr>
                <w:rFonts w:cs="Times New Roman CE" w:ascii="Times New Roman CE" w:hAnsi="Times New Roman CE"/>
                <w:sz w:val="20"/>
                <w:szCs w:val="20"/>
                <w:lang w:val="en-US" w:eastAsia="en-US"/>
              </w:rPr>
              <w:t>Ştiinţe medicale</w:t>
            </w:r>
          </w:p>
        </w:tc>
        <w:tc>
          <w:tcPr>
            <w:tcW w:w="426" w:type="dxa"/>
            <w:gridSpan w:val="3"/>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sz w:val="20"/>
                <w:szCs w:val="20"/>
                <w:lang w:val="en-US" w:eastAsia="en-US"/>
              </w:rPr>
              <w:t>3</w:t>
            </w:r>
          </w:p>
        </w:tc>
        <w:tc>
          <w:tcPr>
            <w:tcW w:w="1001" w:type="dxa"/>
            <w:gridSpan w:val="4"/>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0</w:t>
            </w:r>
          </w:p>
        </w:tc>
        <w:tc>
          <w:tcPr>
            <w:tcW w:w="853"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708"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851"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84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710"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r>
      <w:tr>
        <w:trPr>
          <w:trHeight w:val="270" w:hRule="atLeast"/>
        </w:trPr>
        <w:tc>
          <w:tcPr>
            <w:tcW w:w="9355" w:type="dxa"/>
            <w:gridSpan w:val="2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b/>
                <w:bCs/>
                <w:sz w:val="20"/>
                <w:szCs w:val="20"/>
                <w:lang w:val="en-US" w:eastAsia="en-US"/>
              </w:rPr>
              <w:t>Biotehnologie</w:t>
            </w:r>
          </w:p>
        </w:tc>
      </w:tr>
      <w:tr>
        <w:trPr>
          <w:trHeight w:val="270" w:hRule="atLeast"/>
        </w:trPr>
        <w:tc>
          <w:tcPr>
            <w:tcW w:w="324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Total</w:t>
            </w:r>
          </w:p>
        </w:tc>
        <w:tc>
          <w:tcPr>
            <w:tcW w:w="432" w:type="dxa"/>
            <w:gridSpan w:val="4"/>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sz w:val="20"/>
                <w:szCs w:val="20"/>
                <w:lang w:val="en-US" w:eastAsia="en-US"/>
              </w:rPr>
              <w:t> </w:t>
            </w:r>
          </w:p>
        </w:tc>
        <w:tc>
          <w:tcPr>
            <w:tcW w:w="995"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0</w:t>
            </w:r>
          </w:p>
        </w:tc>
        <w:tc>
          <w:tcPr>
            <w:tcW w:w="853"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0</w:t>
            </w:r>
          </w:p>
        </w:tc>
        <w:tc>
          <w:tcPr>
            <w:tcW w:w="708"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0</w:t>
            </w:r>
          </w:p>
        </w:tc>
        <w:tc>
          <w:tcPr>
            <w:tcW w:w="851"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0</w:t>
            </w:r>
          </w:p>
        </w:tc>
        <w:tc>
          <w:tcPr>
            <w:tcW w:w="849"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0</w:t>
            </w:r>
          </w:p>
        </w:tc>
        <w:tc>
          <w:tcPr>
            <w:tcW w:w="709"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0</w:t>
            </w:r>
          </w:p>
        </w:tc>
        <w:tc>
          <w:tcPr>
            <w:tcW w:w="710"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0</w:t>
            </w:r>
          </w:p>
        </w:tc>
      </w:tr>
      <w:tr>
        <w:trPr>
          <w:trHeight w:val="270" w:hRule="atLeast"/>
        </w:trPr>
        <w:tc>
          <w:tcPr>
            <w:tcW w:w="324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400"/>
              <w:jc w:val="left"/>
              <w:textAlignment w:val="auto"/>
              <w:rPr>
                <w:lang w:val="en-US"/>
              </w:rPr>
            </w:pPr>
            <w:r>
              <w:rPr>
                <w:sz w:val="20"/>
                <w:szCs w:val="20"/>
                <w:lang w:val="en-US" w:eastAsia="en-US"/>
              </w:rPr>
              <w:t>Inclusiv</w:t>
            </w:r>
          </w:p>
        </w:tc>
        <w:tc>
          <w:tcPr>
            <w:tcW w:w="432" w:type="dxa"/>
            <w:gridSpan w:val="4"/>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sz w:val="20"/>
                <w:szCs w:val="20"/>
                <w:lang w:val="en-US" w:eastAsia="en-US"/>
              </w:rPr>
              <w:t> </w:t>
            </w:r>
          </w:p>
        </w:tc>
        <w:tc>
          <w:tcPr>
            <w:tcW w:w="995" w:type="dxa"/>
            <w:gridSpan w:val="3"/>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853" w:type="dxa"/>
            <w:gridSpan w:val="2"/>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708" w:type="dxa"/>
            <w:gridSpan w:val="2"/>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851" w:type="dxa"/>
            <w:gridSpan w:val="2"/>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849" w:type="dxa"/>
            <w:gridSpan w:val="3"/>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709" w:type="dxa"/>
            <w:gridSpan w:val="3"/>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710" w:type="dxa"/>
            <w:gridSpan w:val="2"/>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b/>
                <w:bCs/>
                <w:sz w:val="20"/>
                <w:szCs w:val="20"/>
                <w:lang w:val="en-US" w:eastAsia="en-US"/>
              </w:rPr>
              <w:t> </w:t>
            </w:r>
          </w:p>
        </w:tc>
      </w:tr>
      <w:tr>
        <w:trPr>
          <w:trHeight w:val="270" w:hRule="atLeast"/>
        </w:trPr>
        <w:tc>
          <w:tcPr>
            <w:tcW w:w="324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400"/>
              <w:jc w:val="left"/>
              <w:textAlignment w:val="auto"/>
              <w:rPr>
                <w:lang w:val="en-US"/>
              </w:rPr>
            </w:pPr>
            <w:r>
              <w:rPr>
                <w:rFonts w:cs="Times New Roman CE" w:ascii="Times New Roman CE" w:hAnsi="Times New Roman CE"/>
                <w:sz w:val="20"/>
                <w:szCs w:val="20"/>
                <w:lang w:val="en-US" w:eastAsia="en-US"/>
              </w:rPr>
              <w:t>Ştiinţe naturale şi exacte</w:t>
            </w:r>
          </w:p>
        </w:tc>
        <w:tc>
          <w:tcPr>
            <w:tcW w:w="432" w:type="dxa"/>
            <w:gridSpan w:val="4"/>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sz w:val="20"/>
                <w:szCs w:val="20"/>
                <w:lang w:val="en-US" w:eastAsia="en-US"/>
              </w:rPr>
              <w:t>1</w:t>
            </w:r>
          </w:p>
        </w:tc>
        <w:tc>
          <w:tcPr>
            <w:tcW w:w="995"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0</w:t>
            </w:r>
          </w:p>
        </w:tc>
        <w:tc>
          <w:tcPr>
            <w:tcW w:w="853"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708"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851"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84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710"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r>
      <w:tr>
        <w:trPr>
          <w:trHeight w:val="270" w:hRule="atLeast"/>
        </w:trPr>
        <w:tc>
          <w:tcPr>
            <w:tcW w:w="324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400"/>
              <w:jc w:val="left"/>
              <w:textAlignment w:val="auto"/>
              <w:rPr>
                <w:lang w:val="en-US"/>
              </w:rPr>
            </w:pPr>
            <w:r>
              <w:rPr>
                <w:rFonts w:cs="Times New Roman CE" w:ascii="Times New Roman CE" w:hAnsi="Times New Roman CE"/>
                <w:sz w:val="20"/>
                <w:szCs w:val="20"/>
                <w:lang w:val="en-US" w:eastAsia="en-US"/>
              </w:rPr>
              <w:t>Ştiinţe agricole</w:t>
            </w:r>
          </w:p>
        </w:tc>
        <w:tc>
          <w:tcPr>
            <w:tcW w:w="432" w:type="dxa"/>
            <w:gridSpan w:val="4"/>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sz w:val="20"/>
                <w:szCs w:val="20"/>
                <w:lang w:val="en-US" w:eastAsia="en-US"/>
              </w:rPr>
              <w:t>4</w:t>
            </w:r>
          </w:p>
        </w:tc>
        <w:tc>
          <w:tcPr>
            <w:tcW w:w="995"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0</w:t>
            </w:r>
          </w:p>
        </w:tc>
        <w:tc>
          <w:tcPr>
            <w:tcW w:w="853"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708"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851"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84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710"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r>
      <w:tr>
        <w:trPr>
          <w:trHeight w:val="270" w:hRule="atLeast"/>
        </w:trPr>
        <w:tc>
          <w:tcPr>
            <w:tcW w:w="9355" w:type="dxa"/>
            <w:gridSpan w:val="2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b/>
                <w:bCs/>
                <w:sz w:val="20"/>
                <w:szCs w:val="20"/>
                <w:lang w:val="en-US" w:eastAsia="en-US"/>
              </w:rPr>
              <w:t>Patrimoniu naţional şi dezvoltarea a socieţăţii</w:t>
            </w:r>
          </w:p>
        </w:tc>
      </w:tr>
      <w:tr>
        <w:trPr>
          <w:trHeight w:val="270" w:hRule="atLeast"/>
        </w:trPr>
        <w:tc>
          <w:tcPr>
            <w:tcW w:w="324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Total</w:t>
            </w:r>
          </w:p>
        </w:tc>
        <w:tc>
          <w:tcPr>
            <w:tcW w:w="432" w:type="dxa"/>
            <w:gridSpan w:val="4"/>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sz w:val="20"/>
                <w:szCs w:val="20"/>
                <w:lang w:val="en-US" w:eastAsia="en-US"/>
              </w:rPr>
              <w:t> </w:t>
            </w:r>
          </w:p>
        </w:tc>
        <w:tc>
          <w:tcPr>
            <w:tcW w:w="995"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0</w:t>
            </w:r>
          </w:p>
        </w:tc>
        <w:tc>
          <w:tcPr>
            <w:tcW w:w="853"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0</w:t>
            </w:r>
          </w:p>
        </w:tc>
        <w:tc>
          <w:tcPr>
            <w:tcW w:w="708"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0</w:t>
            </w:r>
          </w:p>
        </w:tc>
        <w:tc>
          <w:tcPr>
            <w:tcW w:w="851"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0</w:t>
            </w:r>
          </w:p>
        </w:tc>
        <w:tc>
          <w:tcPr>
            <w:tcW w:w="849"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0</w:t>
            </w:r>
          </w:p>
        </w:tc>
        <w:tc>
          <w:tcPr>
            <w:tcW w:w="709"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0</w:t>
            </w:r>
          </w:p>
        </w:tc>
        <w:tc>
          <w:tcPr>
            <w:tcW w:w="710"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0</w:t>
            </w:r>
          </w:p>
        </w:tc>
      </w:tr>
      <w:tr>
        <w:trPr>
          <w:trHeight w:val="270" w:hRule="atLeast"/>
        </w:trPr>
        <w:tc>
          <w:tcPr>
            <w:tcW w:w="324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400"/>
              <w:jc w:val="left"/>
              <w:textAlignment w:val="auto"/>
              <w:rPr>
                <w:lang w:val="en-US"/>
              </w:rPr>
            </w:pPr>
            <w:r>
              <w:rPr>
                <w:sz w:val="20"/>
                <w:szCs w:val="20"/>
                <w:lang w:val="en-US" w:eastAsia="en-US"/>
              </w:rPr>
              <w:t>Inclusiv</w:t>
            </w:r>
          </w:p>
        </w:tc>
        <w:tc>
          <w:tcPr>
            <w:tcW w:w="432" w:type="dxa"/>
            <w:gridSpan w:val="4"/>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sz w:val="20"/>
                <w:szCs w:val="20"/>
                <w:lang w:val="en-US" w:eastAsia="en-US"/>
              </w:rPr>
              <w:t> </w:t>
            </w:r>
          </w:p>
        </w:tc>
        <w:tc>
          <w:tcPr>
            <w:tcW w:w="995" w:type="dxa"/>
            <w:gridSpan w:val="3"/>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853" w:type="dxa"/>
            <w:gridSpan w:val="2"/>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708" w:type="dxa"/>
            <w:gridSpan w:val="2"/>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851" w:type="dxa"/>
            <w:gridSpan w:val="2"/>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849" w:type="dxa"/>
            <w:gridSpan w:val="3"/>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709" w:type="dxa"/>
            <w:gridSpan w:val="3"/>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710" w:type="dxa"/>
            <w:gridSpan w:val="2"/>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b/>
                <w:bCs/>
                <w:sz w:val="20"/>
                <w:szCs w:val="20"/>
                <w:lang w:val="en-US" w:eastAsia="en-US"/>
              </w:rPr>
              <w:t> </w:t>
            </w:r>
          </w:p>
        </w:tc>
      </w:tr>
      <w:tr>
        <w:trPr>
          <w:trHeight w:val="270" w:hRule="atLeast"/>
        </w:trPr>
        <w:tc>
          <w:tcPr>
            <w:tcW w:w="324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400"/>
              <w:jc w:val="left"/>
              <w:textAlignment w:val="auto"/>
              <w:rPr>
                <w:lang w:val="en-US"/>
              </w:rPr>
            </w:pPr>
            <w:r>
              <w:rPr>
                <w:rFonts w:cs="Times New Roman CE" w:ascii="Times New Roman CE" w:hAnsi="Times New Roman CE"/>
                <w:sz w:val="20"/>
                <w:szCs w:val="20"/>
                <w:lang w:val="en-US" w:eastAsia="en-US"/>
              </w:rPr>
              <w:t>Ştiinţe sociale şi economice</w:t>
            </w:r>
          </w:p>
        </w:tc>
        <w:tc>
          <w:tcPr>
            <w:tcW w:w="432" w:type="dxa"/>
            <w:gridSpan w:val="4"/>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sz w:val="20"/>
                <w:szCs w:val="20"/>
                <w:lang w:val="en-US" w:eastAsia="en-US"/>
              </w:rPr>
              <w:t>5</w:t>
            </w:r>
          </w:p>
        </w:tc>
        <w:tc>
          <w:tcPr>
            <w:tcW w:w="995"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0</w:t>
            </w:r>
          </w:p>
        </w:tc>
        <w:tc>
          <w:tcPr>
            <w:tcW w:w="853"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708"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851"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84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710"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r>
      <w:tr>
        <w:trPr>
          <w:trHeight w:val="270" w:hRule="atLeast"/>
        </w:trPr>
        <w:tc>
          <w:tcPr>
            <w:tcW w:w="324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400"/>
              <w:jc w:val="left"/>
              <w:textAlignment w:val="auto"/>
              <w:rPr>
                <w:lang w:val="en-US"/>
              </w:rPr>
            </w:pPr>
            <w:r>
              <w:rPr>
                <w:rFonts w:cs="Times New Roman CE" w:ascii="Times New Roman CE" w:hAnsi="Times New Roman CE"/>
                <w:sz w:val="20"/>
                <w:szCs w:val="20"/>
                <w:lang w:val="en-US" w:eastAsia="en-US"/>
              </w:rPr>
              <w:t>Ştiinţe umanistice</w:t>
            </w:r>
          </w:p>
        </w:tc>
        <w:tc>
          <w:tcPr>
            <w:tcW w:w="432" w:type="dxa"/>
            <w:gridSpan w:val="4"/>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sz w:val="20"/>
                <w:szCs w:val="20"/>
                <w:lang w:val="en-US" w:eastAsia="en-US"/>
              </w:rPr>
              <w:t>6</w:t>
            </w:r>
          </w:p>
        </w:tc>
        <w:tc>
          <w:tcPr>
            <w:tcW w:w="995"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0</w:t>
            </w:r>
          </w:p>
        </w:tc>
        <w:tc>
          <w:tcPr>
            <w:tcW w:w="853"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708"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851"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84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710"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r>
      <w:tr>
        <w:trPr>
          <w:trHeight w:val="270" w:hRule="atLeast"/>
        </w:trPr>
        <w:tc>
          <w:tcPr>
            <w:tcW w:w="9355" w:type="dxa"/>
            <w:gridSpan w:val="2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b/>
                <w:bCs/>
                <w:sz w:val="20"/>
                <w:szCs w:val="20"/>
                <w:lang w:val="en-US" w:eastAsia="en-US"/>
              </w:rPr>
              <w:t> </w:t>
            </w:r>
          </w:p>
        </w:tc>
      </w:tr>
      <w:tr>
        <w:trPr>
          <w:trHeight w:val="270" w:hRule="atLeast"/>
        </w:trPr>
        <w:tc>
          <w:tcPr>
            <w:tcW w:w="324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400"/>
              <w:jc w:val="left"/>
              <w:textAlignment w:val="auto"/>
              <w:rPr>
                <w:lang w:val="en-US"/>
              </w:rPr>
            </w:pPr>
            <w:r>
              <w:rPr>
                <w:sz w:val="20"/>
                <w:szCs w:val="20"/>
                <w:lang w:val="en-US" w:eastAsia="en-US"/>
              </w:rPr>
              <w:t> </w:t>
            </w:r>
          </w:p>
        </w:tc>
        <w:tc>
          <w:tcPr>
            <w:tcW w:w="432" w:type="dxa"/>
            <w:gridSpan w:val="4"/>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sz w:val="20"/>
                <w:szCs w:val="20"/>
                <w:lang w:val="en-US" w:eastAsia="en-US"/>
              </w:rPr>
              <w:t> </w:t>
            </w:r>
          </w:p>
        </w:tc>
        <w:tc>
          <w:tcPr>
            <w:tcW w:w="995"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853"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708"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851"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84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710"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 </w:t>
            </w:r>
          </w:p>
        </w:tc>
      </w:tr>
      <w:tr>
        <w:trPr>
          <w:trHeight w:val="270" w:hRule="atLeast"/>
        </w:trPr>
        <w:tc>
          <w:tcPr>
            <w:tcW w:w="324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center"/>
              <w:textAlignment w:val="auto"/>
              <w:rPr>
                <w:lang w:val="en-US"/>
              </w:rPr>
            </w:pPr>
            <w:r>
              <w:rPr>
                <w:b/>
                <w:bCs/>
                <w:sz w:val="20"/>
                <w:szCs w:val="20"/>
                <w:lang w:val="en-US" w:eastAsia="en-US"/>
              </w:rPr>
              <w:t>Total</w:t>
            </w:r>
          </w:p>
        </w:tc>
        <w:tc>
          <w:tcPr>
            <w:tcW w:w="432" w:type="dxa"/>
            <w:gridSpan w:val="4"/>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lang w:val="en-US"/>
              </w:rPr>
            </w:pPr>
            <w:r>
              <w:rPr>
                <w:b/>
                <w:bCs/>
                <w:sz w:val="20"/>
                <w:szCs w:val="20"/>
                <w:lang w:val="en-US" w:eastAsia="en-US"/>
              </w:rPr>
              <w:t> </w:t>
            </w:r>
          </w:p>
        </w:tc>
        <w:tc>
          <w:tcPr>
            <w:tcW w:w="995"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5595,5</w:t>
            </w:r>
          </w:p>
        </w:tc>
        <w:tc>
          <w:tcPr>
            <w:tcW w:w="853"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2107,0</w:t>
            </w:r>
          </w:p>
        </w:tc>
        <w:tc>
          <w:tcPr>
            <w:tcW w:w="708"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69,4</w:t>
            </w:r>
          </w:p>
        </w:tc>
        <w:tc>
          <w:tcPr>
            <w:tcW w:w="851"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3419,1</w:t>
            </w:r>
          </w:p>
        </w:tc>
        <w:tc>
          <w:tcPr>
            <w:tcW w:w="849"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0</w:t>
            </w:r>
          </w:p>
        </w:tc>
        <w:tc>
          <w:tcPr>
            <w:tcW w:w="709"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0</w:t>
            </w:r>
          </w:p>
        </w:tc>
        <w:tc>
          <w:tcPr>
            <w:tcW w:w="710"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b/>
                <w:bCs/>
                <w:sz w:val="20"/>
                <w:szCs w:val="20"/>
                <w:lang w:val="en-US" w:eastAsia="en-US"/>
              </w:rPr>
              <w:t>0</w:t>
            </w:r>
          </w:p>
        </w:tc>
      </w:tr>
      <w:tr>
        <w:trPr>
          <w:trHeight w:val="255" w:hRule="atLeast"/>
        </w:trPr>
        <w:tc>
          <w:tcPr>
            <w:tcW w:w="4676" w:type="dxa"/>
            <w:gridSpan w:val="9"/>
            <w:tcBorders/>
            <w:shd w:fill="auto" w:val="clear"/>
            <w:vAlign w:val="bottom"/>
          </w:tcPr>
          <w:p>
            <w:pPr>
              <w:pStyle w:val="Normal"/>
              <w:widowControl/>
              <w:bidi w:val="0"/>
              <w:ind w:left="0" w:right="0" w:firstLine="400"/>
              <w:jc w:val="left"/>
              <w:textAlignment w:val="auto"/>
              <w:rPr>
                <w:lang w:val="en-US"/>
              </w:rPr>
            </w:pPr>
            <w:r>
              <w:rPr>
                <w:rFonts w:cs="Times New Roman CE" w:ascii="Times New Roman CE" w:hAnsi="Times New Roman CE"/>
                <w:sz w:val="20"/>
                <w:szCs w:val="20"/>
                <w:lang w:val="en-US" w:eastAsia="en-US"/>
              </w:rPr>
              <w:t>*Domenii ale Ştiinţei Clasificate după Manualul Fra</w:t>
            </w:r>
            <w:r>
              <w:rPr>
                <w:sz w:val="20"/>
                <w:szCs w:val="20"/>
                <w:lang w:val="en-US" w:eastAsia="en-US"/>
              </w:rPr>
              <w:t xml:space="preserve">scati </w:t>
            </w:r>
          </w:p>
        </w:tc>
        <w:tc>
          <w:tcPr>
            <w:tcW w:w="853" w:type="dxa"/>
            <w:gridSpan w:val="2"/>
            <w:tcBorders/>
            <w:shd w:fill="auto" w:val="clear"/>
            <w:vAlign w:val="bottom"/>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c>
          <w:tcPr>
            <w:tcW w:w="708" w:type="dxa"/>
            <w:gridSpan w:val="2"/>
            <w:tcBorders/>
            <w:shd w:fill="auto" w:val="clear"/>
            <w:vAlign w:val="bottom"/>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c>
          <w:tcPr>
            <w:tcW w:w="851" w:type="dxa"/>
            <w:gridSpan w:val="2"/>
            <w:tcBorders/>
            <w:shd w:fill="auto" w:val="clear"/>
            <w:vAlign w:val="bottom"/>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c>
          <w:tcPr>
            <w:tcW w:w="849" w:type="dxa"/>
            <w:gridSpan w:val="3"/>
            <w:tcBorders/>
            <w:shd w:fill="auto" w:val="clear"/>
            <w:vAlign w:val="bottom"/>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c>
          <w:tcPr>
            <w:tcW w:w="709" w:type="dxa"/>
            <w:gridSpan w:val="3"/>
            <w:tcBorders/>
            <w:shd w:fill="auto" w:val="clear"/>
            <w:vAlign w:val="bottom"/>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c>
          <w:tcPr>
            <w:tcW w:w="709" w:type="dxa"/>
            <w:tcBorders/>
            <w:shd w:fill="auto" w:val="clear"/>
            <w:vAlign w:val="bottom"/>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bl>
    <w:p>
      <w:pPr>
        <w:sectPr>
          <w:type w:val="nextPage"/>
          <w:pgSz w:w="11906" w:h="16838"/>
          <w:pgMar w:left="1560" w:right="720" w:header="0" w:top="284" w:footer="0" w:bottom="426" w:gutter="0"/>
          <w:pgNumType w:fmt="decimal"/>
          <w:formProt w:val="false"/>
          <w:textDirection w:val="lrTb"/>
          <w:docGrid w:type="default" w:linePitch="240" w:charSpace="4294961151"/>
        </w:sectPr>
      </w:pPr>
    </w:p>
    <w:p>
      <w:pPr>
        <w:pStyle w:val="Normal"/>
        <w:widowControl/>
        <w:bidi w:val="0"/>
        <w:ind w:left="0" w:right="0" w:hanging="0"/>
        <w:jc w:val="left"/>
        <w:textAlignment w:val="auto"/>
        <w:rPr>
          <w:rFonts w:ascii="Times New Roman" w:hAnsi="Times New Roman"/>
          <w:lang w:val="en-US"/>
        </w:rPr>
      </w:pPr>
      <w:r>
        <w:rPr>
          <w:lang w:val="en-US"/>
        </w:rPr>
      </w:r>
    </w:p>
    <w:p>
      <w:pPr>
        <w:pStyle w:val="Normal"/>
        <w:widowControl/>
        <w:bidi w:val="0"/>
        <w:ind w:left="0" w:right="0" w:hanging="0"/>
        <w:jc w:val="left"/>
        <w:textAlignment w:val="auto"/>
        <w:rPr>
          <w:rFonts w:ascii="Times New Roman" w:hAnsi="Times New Roman"/>
          <w:sz w:val="18"/>
          <w:szCs w:val="18"/>
          <w:lang w:val="en-US"/>
        </w:rPr>
      </w:pPr>
      <w:r>
        <w:rPr>
          <w:sz w:val="18"/>
          <w:szCs w:val="18"/>
          <w:lang w:val="en-US"/>
        </w:rPr>
      </w:r>
    </w:p>
    <w:tbl>
      <w:tblPr>
        <w:tblW w:w="12714" w:type="dxa"/>
        <w:jc w:val="left"/>
        <w:tblInd w:w="-567" w:type="dxa"/>
        <w:tblBorders/>
        <w:tblCellMar>
          <w:top w:w="0" w:type="dxa"/>
          <w:left w:w="108" w:type="dxa"/>
          <w:bottom w:w="0" w:type="dxa"/>
          <w:right w:w="108" w:type="dxa"/>
        </w:tblCellMar>
      </w:tblPr>
      <w:tblGrid>
        <w:gridCol w:w="706"/>
        <w:gridCol w:w="1421"/>
        <w:gridCol w:w="708"/>
        <w:gridCol w:w="117"/>
        <w:gridCol w:w="166"/>
        <w:gridCol w:w="284"/>
        <w:gridCol w:w="354"/>
        <w:gridCol w:w="186"/>
        <w:gridCol w:w="26"/>
        <w:gridCol w:w="567"/>
        <w:gridCol w:w="295"/>
        <w:gridCol w:w="272"/>
        <w:gridCol w:w="667"/>
        <w:gridCol w:w="42"/>
        <w:gridCol w:w="284"/>
        <w:gridCol w:w="1"/>
        <w:gridCol w:w="425"/>
        <w:gridCol w:w="321"/>
        <w:gridCol w:w="246"/>
        <w:gridCol w:w="141"/>
        <w:gridCol w:w="426"/>
        <w:gridCol w:w="567"/>
        <w:gridCol w:w="567"/>
        <w:gridCol w:w="557"/>
        <w:gridCol w:w="292"/>
        <w:gridCol w:w="1"/>
        <w:gridCol w:w="338"/>
        <w:gridCol w:w="616"/>
        <w:gridCol w:w="16"/>
        <w:gridCol w:w="274"/>
        <w:gridCol w:w="377"/>
        <w:gridCol w:w="92"/>
        <w:gridCol w:w="198"/>
        <w:gridCol w:w="378"/>
        <w:gridCol w:w="408"/>
        <w:gridCol w:w="378"/>
      </w:tblGrid>
      <w:tr>
        <w:trPr>
          <w:trHeight w:val="255" w:hRule="atLeast"/>
        </w:trPr>
        <w:tc>
          <w:tcPr>
            <w:tcW w:w="9638" w:type="dxa"/>
            <w:gridSpan w:val="25"/>
            <w:tcBorders/>
            <w:shd w:fill="auto" w:val="clear"/>
            <w:vAlign w:val="bottom"/>
          </w:tcPr>
          <w:p>
            <w:pPr>
              <w:pStyle w:val="Normal"/>
              <w:widowControl/>
              <w:bidi w:val="0"/>
              <w:ind w:left="0" w:right="0" w:hanging="0"/>
              <w:jc w:val="center"/>
              <w:textAlignment w:val="auto"/>
              <w:rPr>
                <w:lang w:val="en-US"/>
              </w:rPr>
            </w:pPr>
            <w:r>
              <w:rPr>
                <w:rFonts w:cs="Arial CE" w:ascii="Arial CE" w:hAnsi="Arial CE"/>
                <w:b/>
                <w:bCs/>
                <w:sz w:val="20"/>
                <w:szCs w:val="20"/>
                <w:lang w:val="en-US" w:eastAsia="en-US"/>
              </w:rPr>
              <w:t xml:space="preserve">3. RESURSE UMANE ŞI RETRIBUIREA MUNCII </w:t>
            </w:r>
          </w:p>
        </w:tc>
        <w:tc>
          <w:tcPr>
            <w:tcW w:w="3076" w:type="dxa"/>
            <w:gridSpan w:val="11"/>
            <w:tcBorders/>
            <w:shd w:fill="auto" w:val="clear"/>
            <w:vAlign w:val="bottom"/>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360" w:hRule="atLeast"/>
        </w:trPr>
        <w:tc>
          <w:tcPr>
            <w:tcW w:w="9638" w:type="dxa"/>
            <w:gridSpan w:val="25"/>
            <w:tcBorders>
              <w:bottom w:val="single" w:sz="8" w:space="0" w:color="000001"/>
              <w:insideH w:val="single" w:sz="8" w:space="0" w:color="000001"/>
            </w:tcBorders>
            <w:shd w:fill="auto" w:val="clear"/>
            <w:vAlign w:val="bottom"/>
          </w:tcPr>
          <w:p>
            <w:pPr>
              <w:pStyle w:val="Normal"/>
              <w:widowControl/>
              <w:bidi w:val="0"/>
              <w:ind w:left="0" w:right="0" w:hanging="0"/>
              <w:jc w:val="center"/>
              <w:textAlignment w:val="auto"/>
              <w:rPr>
                <w:lang w:val="fr-FR"/>
              </w:rPr>
            </w:pPr>
            <w:r>
              <w:rPr>
                <w:rFonts w:cs="Arial CE" w:ascii="Arial CE" w:hAnsi="Arial CE"/>
                <w:b/>
                <w:bCs/>
                <w:sz w:val="20"/>
                <w:szCs w:val="20"/>
                <w:lang w:val="fr-FR" w:eastAsia="en-US"/>
              </w:rPr>
              <w:t>3.1. Resurse umane şi structura personalului după ocupaţie, vîrstă şi gen</w:t>
            </w:r>
          </w:p>
        </w:tc>
        <w:tc>
          <w:tcPr>
            <w:tcW w:w="3076" w:type="dxa"/>
            <w:gridSpan w:val="11"/>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rFonts w:ascii="Times New Roman" w:hAnsi="Times New Roman"/>
                <w:sz w:val="20"/>
                <w:szCs w:val="20"/>
                <w:lang w:val="fr-FR" w:eastAsia="en-US"/>
              </w:rPr>
            </w:pPr>
            <w:r>
              <w:rPr>
                <w:sz w:val="20"/>
                <w:szCs w:val="20"/>
                <w:lang w:val="fr-FR" w:eastAsia="en-US"/>
              </w:rPr>
            </w:r>
          </w:p>
        </w:tc>
      </w:tr>
      <w:tr>
        <w:trPr>
          <w:trHeight w:val="270" w:hRule="atLeast"/>
        </w:trPr>
        <w:tc>
          <w:tcPr>
            <w:tcW w:w="2127" w:type="dxa"/>
            <w:gridSpan w:val="2"/>
            <w:vMerge w:val="restart"/>
            <w:tcBorders>
              <w:top w:val="single" w:sz="8" w:space="0" w:color="000001"/>
              <w:left w:val="single" w:sz="8" w:space="0" w:color="000001"/>
              <w:bottom w:val="single" w:sz="8" w:space="0" w:color="000001"/>
              <w:insideH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color w:val="000000"/>
                <w:sz w:val="18"/>
                <w:szCs w:val="18"/>
                <w:lang w:val="en-US" w:eastAsia="en-US"/>
              </w:rPr>
              <w:t>Categorii de personal</w:t>
            </w:r>
          </w:p>
        </w:tc>
        <w:tc>
          <w:tcPr>
            <w:tcW w:w="708" w:type="dxa"/>
            <w:vMerge w:val="restart"/>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extDirection w:val="btLr"/>
            <w:vAlign w:val="center"/>
          </w:tcPr>
          <w:p>
            <w:pPr>
              <w:pStyle w:val="Normal"/>
              <w:widowControl/>
              <w:bidi w:val="0"/>
              <w:ind w:left="0" w:right="0" w:hanging="0"/>
              <w:jc w:val="center"/>
              <w:textAlignment w:val="auto"/>
              <w:rPr>
                <w:lang w:val="en-US"/>
              </w:rPr>
            </w:pPr>
            <w:r>
              <w:rPr>
                <w:sz w:val="18"/>
                <w:szCs w:val="18"/>
                <w:lang w:val="en-US" w:eastAsia="en-US"/>
              </w:rPr>
              <w:t>Unitati conform statelor de personal</w:t>
            </w:r>
          </w:p>
        </w:tc>
        <w:tc>
          <w:tcPr>
            <w:tcW w:w="6804" w:type="dxa"/>
            <w:gridSpan w:val="23"/>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18"/>
                <w:szCs w:val="18"/>
                <w:lang w:val="en-US" w:eastAsia="en-US"/>
              </w:rPr>
              <w:t>Persoane fizice</w:t>
            </w:r>
          </w:p>
        </w:tc>
        <w:tc>
          <w:tcPr>
            <w:tcW w:w="3075" w:type="dxa"/>
            <w:gridSpan w:val="10"/>
            <w:vMerge w:val="restart"/>
            <w:tcBorders>
              <w:top w:val="single" w:sz="8" w:space="0" w:color="000001"/>
              <w:left w:val="single" w:sz="8" w:space="0" w:color="000001"/>
              <w:bottom w:val="single" w:sz="8" w:space="0" w:color="000001"/>
              <w:insideH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398" w:hRule="atLeast"/>
        </w:trPr>
        <w:tc>
          <w:tcPr>
            <w:tcW w:w="2127" w:type="dxa"/>
            <w:gridSpan w:val="2"/>
            <w:vMerge w:val="continue"/>
            <w:tcBorders>
              <w:top w:val="single" w:sz="8" w:space="0" w:color="000001"/>
              <w:left w:val="single" w:sz="8" w:space="0" w:color="000001"/>
              <w:bottom w:val="single" w:sz="8" w:space="0" w:color="000001"/>
              <w:insideH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color w:val="000000"/>
                <w:sz w:val="18"/>
                <w:szCs w:val="18"/>
                <w:lang w:val="en-US" w:eastAsia="en-US"/>
              </w:rPr>
            </w:pPr>
            <w:r>
              <w:rPr>
                <w:color w:val="000000"/>
                <w:sz w:val="18"/>
                <w:szCs w:val="18"/>
                <w:lang w:val="en-US" w:eastAsia="en-US"/>
              </w:rPr>
            </w:r>
          </w:p>
        </w:tc>
        <w:tc>
          <w:tcPr>
            <w:tcW w:w="708" w:type="dxa"/>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567" w:type="dxa"/>
            <w:gridSpan w:val="3"/>
            <w:vMerge w:val="restart"/>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extDirection w:val="btLr"/>
            <w:vAlign w:val="center"/>
          </w:tcPr>
          <w:p>
            <w:pPr>
              <w:pStyle w:val="Normal"/>
              <w:widowControl/>
              <w:bidi w:val="0"/>
              <w:ind w:left="0" w:right="0" w:hanging="0"/>
              <w:jc w:val="center"/>
              <w:textAlignment w:val="auto"/>
              <w:rPr>
                <w:lang w:val="en-US"/>
              </w:rPr>
            </w:pPr>
            <w:r>
              <w:rPr>
                <w:rFonts w:cs="Times New Roman CE" w:ascii="Times New Roman CE" w:hAnsi="Times New Roman CE"/>
                <w:sz w:val="18"/>
                <w:szCs w:val="18"/>
                <w:lang w:val="en-US" w:eastAsia="en-US"/>
              </w:rPr>
              <w:t>De bază</w:t>
            </w:r>
          </w:p>
        </w:tc>
        <w:tc>
          <w:tcPr>
            <w:tcW w:w="3686" w:type="dxa"/>
            <w:gridSpan w:val="13"/>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18"/>
                <w:szCs w:val="18"/>
                <w:lang w:val="en-US" w:eastAsia="en-US"/>
              </w:rPr>
              <w:t>inclusiv</w:t>
            </w:r>
          </w:p>
        </w:tc>
        <w:tc>
          <w:tcPr>
            <w:tcW w:w="567" w:type="dxa"/>
            <w:gridSpan w:val="2"/>
            <w:vMerge w:val="restart"/>
            <w:tcBorders>
              <w:top w:val="single" w:sz="8" w:space="0" w:color="000001"/>
              <w:right w:val="single" w:sz="8" w:space="0" w:color="000001"/>
              <w:insideV w:val="single" w:sz="8" w:space="0" w:color="000001"/>
            </w:tcBorders>
            <w:shd w:fill="auto" w:val="clear"/>
            <w:textDirection w:val="btLr"/>
            <w:vAlign w:val="center"/>
          </w:tcPr>
          <w:p>
            <w:pPr>
              <w:pStyle w:val="Normal"/>
              <w:widowControl/>
              <w:bidi w:val="0"/>
              <w:ind w:left="113" w:right="113" w:hanging="0"/>
              <w:jc w:val="center"/>
              <w:textAlignment w:val="auto"/>
              <w:rPr>
                <w:lang w:val="en-US"/>
              </w:rPr>
            </w:pPr>
            <w:r>
              <w:rPr>
                <w:sz w:val="18"/>
                <w:szCs w:val="18"/>
                <w:lang w:val="en-US" w:eastAsia="en-US"/>
              </w:rPr>
              <w:t>Cumul intern</w:t>
            </w:r>
          </w:p>
        </w:tc>
        <w:tc>
          <w:tcPr>
            <w:tcW w:w="567" w:type="dxa"/>
            <w:vMerge w:val="restart"/>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extDirection w:val="btLr"/>
            <w:vAlign w:val="center"/>
          </w:tcPr>
          <w:p>
            <w:pPr>
              <w:pStyle w:val="Normal"/>
              <w:widowControl/>
              <w:bidi w:val="0"/>
              <w:ind w:left="0" w:right="0" w:hanging="0"/>
              <w:jc w:val="center"/>
              <w:textAlignment w:val="auto"/>
              <w:rPr>
                <w:lang w:val="en-US"/>
              </w:rPr>
            </w:pPr>
            <w:r>
              <w:rPr>
                <w:sz w:val="18"/>
                <w:szCs w:val="18"/>
                <w:lang w:val="en-US" w:eastAsia="en-US"/>
              </w:rPr>
              <w:t>Cumul extern</w:t>
            </w:r>
          </w:p>
        </w:tc>
        <w:tc>
          <w:tcPr>
            <w:tcW w:w="567" w:type="dxa"/>
            <w:vMerge w:val="restart"/>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extDirection w:val="btLr"/>
            <w:vAlign w:val="center"/>
          </w:tcPr>
          <w:p>
            <w:pPr>
              <w:pStyle w:val="Normal"/>
              <w:widowControl/>
              <w:bidi w:val="0"/>
              <w:ind w:left="0" w:right="0" w:hanging="0"/>
              <w:jc w:val="center"/>
              <w:textAlignment w:val="auto"/>
              <w:rPr>
                <w:lang w:val="en-US"/>
              </w:rPr>
            </w:pPr>
            <w:r>
              <w:rPr>
                <w:sz w:val="18"/>
                <w:szCs w:val="18"/>
                <w:lang w:val="en-US" w:eastAsia="en-US"/>
              </w:rPr>
              <w:t>Aco</w:t>
            </w:r>
            <w:r>
              <w:rPr>
                <w:rFonts w:cs="Times New Roman CE" w:ascii="Times New Roman CE" w:hAnsi="Times New Roman CE"/>
                <w:sz w:val="18"/>
                <w:szCs w:val="18"/>
                <w:lang w:val="en-US" w:eastAsia="en-US"/>
              </w:rPr>
              <w:t>rd de muncă (netitulari)</w:t>
            </w:r>
          </w:p>
        </w:tc>
        <w:tc>
          <w:tcPr>
            <w:tcW w:w="849" w:type="dxa"/>
            <w:gridSpan w:val="2"/>
            <w:vMerge w:val="restart"/>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extDirection w:val="btLr"/>
            <w:vAlign w:val="center"/>
          </w:tcPr>
          <w:p>
            <w:pPr>
              <w:pStyle w:val="Normal"/>
              <w:widowControl/>
              <w:bidi w:val="0"/>
              <w:ind w:left="0" w:right="0" w:hanging="0"/>
              <w:jc w:val="center"/>
              <w:textAlignment w:val="auto"/>
              <w:rPr>
                <w:lang w:val="fr-FR"/>
              </w:rPr>
            </w:pPr>
            <w:r>
              <w:rPr>
                <w:rFonts w:cs="Times New Roman CE" w:ascii="Times New Roman CE" w:hAnsi="Times New Roman CE"/>
                <w:sz w:val="18"/>
                <w:szCs w:val="18"/>
                <w:lang w:val="fr-FR" w:eastAsia="en-US"/>
              </w:rPr>
              <w:t>Total (fară cumul intern şi acord de muncă)</w:t>
            </w:r>
          </w:p>
        </w:tc>
        <w:tc>
          <w:tcPr>
            <w:tcW w:w="3076" w:type="dxa"/>
            <w:gridSpan w:val="11"/>
            <w:vMerge w:val="continue"/>
            <w:tcBorders>
              <w:top w:val="single" w:sz="8" w:space="0" w:color="000001"/>
              <w:left w:val="single" w:sz="8" w:space="0" w:color="000001"/>
              <w:bottom w:val="single" w:sz="8" w:space="0" w:color="000001"/>
              <w:insideH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fr-FR" w:eastAsia="en-US"/>
              </w:rPr>
            </w:pPr>
            <w:r>
              <w:rPr>
                <w:sz w:val="20"/>
                <w:szCs w:val="20"/>
                <w:lang w:val="fr-FR" w:eastAsia="en-US"/>
              </w:rPr>
            </w:r>
          </w:p>
        </w:tc>
      </w:tr>
      <w:tr>
        <w:trPr>
          <w:trHeight w:val="1098" w:hRule="atLeast"/>
        </w:trPr>
        <w:tc>
          <w:tcPr>
            <w:tcW w:w="2127" w:type="dxa"/>
            <w:gridSpan w:val="2"/>
            <w:vMerge w:val="continue"/>
            <w:tcBorders>
              <w:top w:val="single" w:sz="8" w:space="0" w:color="000001"/>
              <w:left w:val="single" w:sz="8" w:space="0" w:color="000001"/>
              <w:bottom w:val="single" w:sz="8" w:space="0" w:color="000001"/>
              <w:insideH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color w:val="000000"/>
                <w:sz w:val="18"/>
                <w:szCs w:val="18"/>
                <w:lang w:val="fr-FR" w:eastAsia="en-US"/>
              </w:rPr>
            </w:pPr>
            <w:r>
              <w:rPr>
                <w:color w:val="000000"/>
                <w:sz w:val="18"/>
                <w:szCs w:val="18"/>
                <w:lang w:val="fr-FR" w:eastAsia="en-US"/>
              </w:rPr>
            </w:r>
          </w:p>
        </w:tc>
        <w:tc>
          <w:tcPr>
            <w:tcW w:w="708" w:type="dxa"/>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18"/>
                <w:szCs w:val="18"/>
                <w:lang w:val="fr-FR" w:eastAsia="en-US"/>
              </w:rPr>
            </w:pPr>
            <w:r>
              <w:rPr>
                <w:sz w:val="18"/>
                <w:szCs w:val="18"/>
                <w:lang w:val="fr-FR" w:eastAsia="en-US"/>
              </w:rPr>
            </w:r>
          </w:p>
        </w:tc>
        <w:tc>
          <w:tcPr>
            <w:tcW w:w="567" w:type="dxa"/>
            <w:gridSpan w:val="3"/>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18"/>
                <w:szCs w:val="18"/>
                <w:lang w:val="fr-FR" w:eastAsia="en-US"/>
              </w:rPr>
            </w:pPr>
            <w:r>
              <w:rPr>
                <w:sz w:val="18"/>
                <w:szCs w:val="18"/>
                <w:lang w:val="fr-FR" w:eastAsia="en-US"/>
              </w:rPr>
            </w:r>
          </w:p>
        </w:tc>
        <w:tc>
          <w:tcPr>
            <w:tcW w:w="540"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rFonts w:cs="Times New Roman CE" w:ascii="Times New Roman CE" w:hAnsi="Times New Roman CE"/>
                <w:sz w:val="18"/>
                <w:szCs w:val="18"/>
                <w:lang w:val="en-US" w:eastAsia="en-US"/>
              </w:rPr>
              <w:t>Pînă la 25</w:t>
            </w:r>
          </w:p>
        </w:tc>
        <w:tc>
          <w:tcPr>
            <w:tcW w:w="593"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18"/>
                <w:szCs w:val="18"/>
                <w:lang w:val="en-US" w:eastAsia="en-US"/>
              </w:rPr>
              <w:t>25-34</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18"/>
                <w:szCs w:val="18"/>
                <w:lang w:val="en-US" w:eastAsia="en-US"/>
              </w:rPr>
              <w:t>35-44</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18"/>
                <w:szCs w:val="18"/>
                <w:lang w:val="en-US" w:eastAsia="en-US"/>
              </w:rPr>
              <w:t>45-54</w:t>
            </w:r>
          </w:p>
        </w:tc>
        <w:tc>
          <w:tcPr>
            <w:tcW w:w="710" w:type="dxa"/>
            <w:gridSpan w:val="3"/>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18"/>
                <w:szCs w:val="18"/>
                <w:lang w:val="en-US" w:eastAsia="en-US"/>
              </w:rPr>
              <w:t>55-64</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rFonts w:cs="Times New Roman CE" w:ascii="Times New Roman CE" w:hAnsi="Times New Roman CE"/>
                <w:sz w:val="18"/>
                <w:szCs w:val="18"/>
                <w:lang w:val="en-US" w:eastAsia="en-US"/>
              </w:rPr>
              <w:t>65 şi peste</w:t>
            </w:r>
          </w:p>
        </w:tc>
        <w:tc>
          <w:tcPr>
            <w:tcW w:w="567" w:type="dxa"/>
            <w:gridSpan w:val="2"/>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567" w:type="dxa"/>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567" w:type="dxa"/>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849" w:type="dxa"/>
            <w:gridSpan w:val="2"/>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3076" w:type="dxa"/>
            <w:gridSpan w:val="11"/>
            <w:vMerge w:val="continue"/>
            <w:tcBorders>
              <w:top w:val="single" w:sz="8" w:space="0" w:color="000001"/>
              <w:left w:val="single" w:sz="8" w:space="0" w:color="000001"/>
              <w:bottom w:val="single" w:sz="8" w:space="0" w:color="000001"/>
              <w:insideH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225" w:hRule="atLeast"/>
        </w:trPr>
        <w:tc>
          <w:tcPr>
            <w:tcW w:w="2127"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lang w:val="en-US"/>
              </w:rPr>
            </w:pPr>
            <w:r>
              <w:rPr>
                <w:color w:val="000000"/>
                <w:sz w:val="18"/>
                <w:szCs w:val="18"/>
                <w:lang w:val="en-US" w:eastAsia="en-US"/>
              </w:rPr>
              <w:t>Conducatori</w:t>
            </w:r>
          </w:p>
        </w:tc>
        <w:tc>
          <w:tcPr>
            <w:tcW w:w="708"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3</w:t>
            </w:r>
          </w:p>
        </w:tc>
        <w:tc>
          <w:tcPr>
            <w:tcW w:w="567"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18"/>
                <w:szCs w:val="18"/>
                <w:lang w:val="en-US" w:eastAsia="en-US"/>
              </w:rPr>
              <w:t>3</w:t>
            </w:r>
          </w:p>
        </w:tc>
        <w:tc>
          <w:tcPr>
            <w:tcW w:w="540"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18"/>
                <w:szCs w:val="18"/>
                <w:lang w:val="en-US" w:eastAsia="en-US"/>
              </w:rPr>
              <w:t> </w:t>
            </w:r>
          </w:p>
        </w:tc>
        <w:tc>
          <w:tcPr>
            <w:tcW w:w="593"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18"/>
                <w:szCs w:val="18"/>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18"/>
                <w:szCs w:val="18"/>
                <w:lang w:val="en-US" w:eastAsia="en-US"/>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18"/>
                <w:szCs w:val="18"/>
                <w:lang w:val="en-US" w:eastAsia="en-US"/>
              </w:rPr>
              <w:t> </w:t>
            </w:r>
          </w:p>
        </w:tc>
        <w:tc>
          <w:tcPr>
            <w:tcW w:w="71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2</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1</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18"/>
                <w:szCs w:val="18"/>
                <w:lang w:val="en-US" w:eastAsia="en-US"/>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18"/>
                <w:szCs w:val="18"/>
                <w:lang w:val="en-US" w:eastAsia="en-US"/>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18"/>
                <w:szCs w:val="18"/>
                <w:lang w:val="en-US" w:eastAsia="en-US"/>
              </w:rPr>
              <w:t> </w:t>
            </w:r>
          </w:p>
        </w:tc>
        <w:tc>
          <w:tcPr>
            <w:tcW w:w="849"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18"/>
                <w:szCs w:val="18"/>
                <w:lang w:val="en-US" w:eastAsia="en-US"/>
              </w:rPr>
              <w:t>3</w:t>
            </w:r>
          </w:p>
        </w:tc>
        <w:tc>
          <w:tcPr>
            <w:tcW w:w="3076" w:type="dxa"/>
            <w:gridSpan w:val="11"/>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295" w:hRule="atLeast"/>
        </w:trPr>
        <w:tc>
          <w:tcPr>
            <w:tcW w:w="706" w:type="dxa"/>
            <w:tcBorders>
              <w:left w:val="single" w:sz="8" w:space="0" w:color="000001"/>
              <w:bottom w:val="single" w:sz="8" w:space="0" w:color="000001"/>
              <w:insideH w:val="single" w:sz="8" w:space="0" w:color="000001"/>
            </w:tcBorders>
            <w:shd w:fill="auto" w:val="clear"/>
            <w:tcMar>
              <w:left w:w="98" w:type="dxa"/>
            </w:tcMar>
            <w:vAlign w:val="center"/>
          </w:tcPr>
          <w:p>
            <w:pPr>
              <w:pStyle w:val="Normal"/>
              <w:widowControl/>
              <w:bidi w:val="0"/>
              <w:ind w:left="0" w:right="0" w:hanging="0"/>
              <w:jc w:val="left"/>
              <w:textAlignment w:val="auto"/>
              <w:rPr>
                <w:lang w:val="en-US"/>
              </w:rPr>
            </w:pPr>
            <w:r>
              <w:rPr>
                <w:color w:val="000000"/>
                <w:sz w:val="18"/>
                <w:szCs w:val="18"/>
                <w:lang w:val="en-US" w:eastAsia="en-US"/>
              </w:rPr>
              <w:t> </w:t>
            </w:r>
          </w:p>
        </w:tc>
        <w:tc>
          <w:tcPr>
            <w:tcW w:w="142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lang w:val="en-US"/>
              </w:rPr>
            </w:pPr>
            <w:r>
              <w:rPr>
                <w:color w:val="000000"/>
                <w:sz w:val="18"/>
                <w:szCs w:val="18"/>
                <w:lang w:val="en-US" w:eastAsia="en-US"/>
              </w:rPr>
              <w:t>Femei</w:t>
            </w:r>
          </w:p>
        </w:tc>
        <w:tc>
          <w:tcPr>
            <w:tcW w:w="708" w:type="dxa"/>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180"/>
              <w:jc w:val="left"/>
              <w:textAlignment w:val="auto"/>
              <w:rPr>
                <w:lang w:val="en-US"/>
              </w:rPr>
            </w:pPr>
            <w:r>
              <w:rPr>
                <w:sz w:val="18"/>
                <w:szCs w:val="18"/>
                <w:lang w:val="en-US" w:eastAsia="en-US"/>
              </w:rPr>
              <w:t>2</w:t>
            </w:r>
          </w:p>
        </w:tc>
        <w:tc>
          <w:tcPr>
            <w:tcW w:w="567"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firstLine="180"/>
              <w:jc w:val="center"/>
              <w:textAlignment w:val="auto"/>
              <w:rPr>
                <w:lang w:val="en-US"/>
              </w:rPr>
            </w:pPr>
            <w:r>
              <w:rPr>
                <w:sz w:val="18"/>
                <w:szCs w:val="18"/>
                <w:lang w:val="en-US" w:eastAsia="en-US"/>
              </w:rPr>
              <w:t>2</w:t>
            </w:r>
          </w:p>
        </w:tc>
        <w:tc>
          <w:tcPr>
            <w:tcW w:w="540"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firstLine="180"/>
              <w:jc w:val="left"/>
              <w:textAlignment w:val="auto"/>
              <w:rPr>
                <w:lang w:val="en-US"/>
              </w:rPr>
            </w:pPr>
            <w:r>
              <w:rPr>
                <w:sz w:val="18"/>
                <w:szCs w:val="18"/>
                <w:lang w:val="en-US" w:eastAsia="en-US"/>
              </w:rPr>
              <w:t> </w:t>
            </w:r>
          </w:p>
        </w:tc>
        <w:tc>
          <w:tcPr>
            <w:tcW w:w="593"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18"/>
                <w:szCs w:val="18"/>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18"/>
                <w:szCs w:val="18"/>
                <w:lang w:val="en-US" w:eastAsia="en-US"/>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18"/>
                <w:szCs w:val="18"/>
                <w:lang w:val="en-US" w:eastAsia="en-US"/>
              </w:rPr>
              <w:t> </w:t>
            </w:r>
          </w:p>
        </w:tc>
        <w:tc>
          <w:tcPr>
            <w:tcW w:w="710"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18"/>
                <w:szCs w:val="18"/>
                <w:lang w:val="en-US" w:eastAsia="en-US"/>
              </w:rPr>
              <w:t>1</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18"/>
                <w:szCs w:val="18"/>
                <w:lang w:val="en-US" w:eastAsia="en-US"/>
              </w:rPr>
              <w:t>1</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rFonts w:ascii="Times New Roman" w:hAnsi="Times New Roman"/>
                <w:sz w:val="18"/>
                <w:szCs w:val="18"/>
                <w:lang w:val="en-US" w:eastAsia="en-US"/>
              </w:rPr>
            </w:pPr>
            <w:r>
              <w:rPr>
                <w:sz w:val="18"/>
                <w:szCs w:val="18"/>
                <w:lang w:val="en-US" w:eastAsia="en-US"/>
              </w:rPr>
            </w:r>
          </w:p>
        </w:tc>
        <w:tc>
          <w:tcPr>
            <w:tcW w:w="567" w:type="dxa"/>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18"/>
                <w:szCs w:val="18"/>
                <w:lang w:val="en-US" w:eastAsia="en-US"/>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18"/>
                <w:szCs w:val="18"/>
                <w:lang w:val="en-US" w:eastAsia="en-US"/>
              </w:rPr>
              <w:t> </w:t>
            </w:r>
          </w:p>
        </w:tc>
        <w:tc>
          <w:tcPr>
            <w:tcW w:w="849"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18"/>
                <w:szCs w:val="18"/>
                <w:lang w:val="en-US" w:eastAsia="en-US"/>
              </w:rPr>
              <w:t>2</w:t>
            </w:r>
          </w:p>
        </w:tc>
        <w:tc>
          <w:tcPr>
            <w:tcW w:w="3076" w:type="dxa"/>
            <w:gridSpan w:val="11"/>
            <w:tcBorders>
              <w:left w:val="single" w:sz="8" w:space="0" w:color="000001"/>
              <w:bottom w:val="single" w:sz="8" w:space="0" w:color="000001"/>
              <w:insideH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231" w:hRule="atLeast"/>
        </w:trPr>
        <w:tc>
          <w:tcPr>
            <w:tcW w:w="2127"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180"/>
              <w:jc w:val="left"/>
              <w:textAlignment w:val="auto"/>
              <w:rPr>
                <w:lang w:val="en-US"/>
              </w:rPr>
            </w:pPr>
            <w:r>
              <w:rPr>
                <w:rFonts w:cs="Times New Roman CE" w:ascii="Times New Roman CE" w:hAnsi="Times New Roman CE"/>
                <w:sz w:val="18"/>
                <w:szCs w:val="18"/>
                <w:lang w:val="en-US" w:eastAsia="en-US"/>
              </w:rPr>
              <w:t>Cercetători</w:t>
            </w:r>
          </w:p>
        </w:tc>
        <w:tc>
          <w:tcPr>
            <w:tcW w:w="708"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en-US"/>
              </w:rPr>
            </w:pPr>
            <w:r>
              <w:rPr>
                <w:sz w:val="18"/>
                <w:szCs w:val="18"/>
                <w:lang w:val="en-US" w:eastAsia="en-US"/>
              </w:rPr>
              <w:t>45,7</w:t>
            </w:r>
          </w:p>
        </w:tc>
        <w:tc>
          <w:tcPr>
            <w:tcW w:w="567"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18"/>
                <w:szCs w:val="18"/>
                <w:lang w:val="en-US" w:eastAsia="en-US"/>
              </w:rPr>
              <w:t>43</w:t>
            </w:r>
          </w:p>
        </w:tc>
        <w:tc>
          <w:tcPr>
            <w:tcW w:w="540"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2</w:t>
            </w:r>
          </w:p>
        </w:tc>
        <w:tc>
          <w:tcPr>
            <w:tcW w:w="593"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4</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6</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lang w:val="en-US" w:eastAsia="en-US"/>
              </w:rPr>
              <w:t>6</w:t>
            </w:r>
          </w:p>
        </w:tc>
        <w:tc>
          <w:tcPr>
            <w:tcW w:w="71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12</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lang w:val="en-US" w:eastAsia="en-US"/>
              </w:rPr>
              <w:t>13</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3</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11</w:t>
            </w:r>
          </w:p>
        </w:tc>
        <w:tc>
          <w:tcPr>
            <w:tcW w:w="567"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18"/>
                <w:szCs w:val="18"/>
                <w:lang w:val="en-US" w:eastAsia="en-US"/>
              </w:rPr>
              <w:t> </w:t>
            </w:r>
          </w:p>
        </w:tc>
        <w:tc>
          <w:tcPr>
            <w:tcW w:w="849"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18"/>
                <w:szCs w:val="18"/>
                <w:lang w:val="en-US" w:eastAsia="en-US"/>
              </w:rPr>
              <w:t>54</w:t>
            </w:r>
          </w:p>
        </w:tc>
        <w:tc>
          <w:tcPr>
            <w:tcW w:w="3076" w:type="dxa"/>
            <w:gridSpan w:val="11"/>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147" w:hRule="atLeast"/>
        </w:trPr>
        <w:tc>
          <w:tcPr>
            <w:tcW w:w="70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180"/>
              <w:jc w:val="left"/>
              <w:textAlignment w:val="auto"/>
              <w:rPr>
                <w:lang w:val="en-US"/>
              </w:rPr>
            </w:pPr>
            <w:r>
              <w:rPr>
                <w:sz w:val="18"/>
                <w:szCs w:val="18"/>
                <w:lang w:val="en-US" w:eastAsia="en-US"/>
              </w:rPr>
              <w:t> </w:t>
            </w:r>
          </w:p>
        </w:tc>
        <w:tc>
          <w:tcPr>
            <w:tcW w:w="1421"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en-US"/>
              </w:rPr>
            </w:pPr>
            <w:r>
              <w:rPr>
                <w:sz w:val="18"/>
                <w:szCs w:val="18"/>
                <w:lang w:val="en-US" w:eastAsia="en-US"/>
              </w:rPr>
              <w:t>Femei</w:t>
            </w:r>
          </w:p>
        </w:tc>
        <w:tc>
          <w:tcPr>
            <w:tcW w:w="708" w:type="dxa"/>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hanging="0"/>
              <w:jc w:val="left"/>
              <w:textAlignment w:val="auto"/>
              <w:rPr>
                <w:lang w:val="en-US"/>
              </w:rPr>
            </w:pPr>
            <w:r>
              <w:rPr>
                <w:sz w:val="18"/>
                <w:szCs w:val="18"/>
                <w:lang w:val="en-US" w:eastAsia="en-US"/>
              </w:rPr>
              <w:t>13,5</w:t>
            </w:r>
          </w:p>
        </w:tc>
        <w:tc>
          <w:tcPr>
            <w:tcW w:w="567"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18"/>
                <w:szCs w:val="18"/>
                <w:lang w:val="en-US" w:eastAsia="en-US"/>
              </w:rPr>
              <w:t>13</w:t>
            </w:r>
          </w:p>
        </w:tc>
        <w:tc>
          <w:tcPr>
            <w:tcW w:w="540"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593"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3</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4</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2</w:t>
            </w:r>
          </w:p>
        </w:tc>
        <w:tc>
          <w:tcPr>
            <w:tcW w:w="71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lang w:val="en-US" w:eastAsia="en-US"/>
              </w:rPr>
              <w:t>2</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lang w:val="en-US" w:eastAsia="en-US"/>
              </w:rPr>
              <w:t>2</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3</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2</w:t>
            </w:r>
          </w:p>
        </w:tc>
        <w:tc>
          <w:tcPr>
            <w:tcW w:w="567"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lang w:val="en-US" w:eastAsia="en-US"/>
              </w:rPr>
              <w:t> </w:t>
            </w:r>
          </w:p>
        </w:tc>
        <w:tc>
          <w:tcPr>
            <w:tcW w:w="849"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18"/>
                <w:szCs w:val="18"/>
                <w:lang w:val="en-US" w:eastAsia="en-US"/>
              </w:rPr>
              <w:t>13</w:t>
            </w:r>
          </w:p>
        </w:tc>
        <w:tc>
          <w:tcPr>
            <w:tcW w:w="3076" w:type="dxa"/>
            <w:gridSpan w:val="11"/>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125" w:hRule="atLeast"/>
        </w:trPr>
        <w:tc>
          <w:tcPr>
            <w:tcW w:w="2127"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180"/>
              <w:jc w:val="right"/>
              <w:textAlignment w:val="auto"/>
              <w:rPr>
                <w:lang w:val="en-US"/>
              </w:rPr>
            </w:pPr>
            <w:r>
              <w:rPr>
                <w:i/>
                <w:iCs/>
                <w:sz w:val="18"/>
                <w:szCs w:val="18"/>
                <w:lang w:val="en-US" w:eastAsia="en-US"/>
              </w:rPr>
              <w:t>din ei</w:t>
            </w:r>
            <w:r>
              <w:rPr>
                <w:sz w:val="18"/>
                <w:szCs w:val="18"/>
                <w:lang w:val="en-US" w:eastAsia="en-US"/>
              </w:rPr>
              <w:t>:</w:t>
            </w:r>
          </w:p>
        </w:tc>
        <w:tc>
          <w:tcPr>
            <w:tcW w:w="708" w:type="dxa"/>
            <w:tcBorders>
              <w:bottom w:val="single" w:sz="8" w:space="0" w:color="000001"/>
              <w:insideH w:val="single" w:sz="8" w:space="0" w:color="000001"/>
            </w:tcBorders>
            <w:shd w:color="auto" w:fill="C0C0C0"/>
          </w:tcPr>
          <w:p>
            <w:pPr>
              <w:pStyle w:val="Normal"/>
              <w:widowControl/>
              <w:bidi w:val="0"/>
              <w:ind w:left="0" w:right="0" w:firstLine="180"/>
              <w:jc w:val="right"/>
              <w:textAlignment w:val="auto"/>
              <w:rPr/>
            </w:pPr>
            <w:r>
              <w:rPr>
                <w:i/>
                <w:iCs/>
                <w:sz w:val="18"/>
                <w:szCs w:val="18"/>
                <w:lang w:val="en-US" w:eastAsia="en-US"/>
              </w:rPr>
              <w:t> </w:t>
            </w:r>
          </w:p>
        </w:tc>
        <w:tc>
          <w:tcPr>
            <w:tcW w:w="567" w:type="dxa"/>
            <w:gridSpan w:val="3"/>
            <w:tcBorders>
              <w:bottom w:val="single" w:sz="8" w:space="0" w:color="000001"/>
              <w:insideH w:val="single" w:sz="8" w:space="0" w:color="000001"/>
            </w:tcBorders>
            <w:shd w:color="auto" w:fill="C0C0C0"/>
          </w:tcPr>
          <w:p>
            <w:pPr>
              <w:pStyle w:val="Normal"/>
              <w:widowControl/>
              <w:bidi w:val="0"/>
              <w:ind w:left="0" w:right="0" w:firstLine="180"/>
              <w:jc w:val="right"/>
              <w:textAlignment w:val="auto"/>
              <w:rPr/>
            </w:pPr>
            <w:r>
              <w:rPr>
                <w:i/>
                <w:iCs/>
                <w:sz w:val="18"/>
                <w:szCs w:val="18"/>
                <w:lang w:val="en-US" w:eastAsia="en-US"/>
              </w:rPr>
              <w:t> </w:t>
            </w:r>
          </w:p>
        </w:tc>
        <w:tc>
          <w:tcPr>
            <w:tcW w:w="540" w:type="dxa"/>
            <w:gridSpan w:val="2"/>
            <w:tcBorders>
              <w:bottom w:val="single" w:sz="8" w:space="0" w:color="000001"/>
              <w:insideH w:val="single" w:sz="8" w:space="0" w:color="000001"/>
            </w:tcBorders>
            <w:shd w:color="auto" w:fill="C0C0C0"/>
          </w:tcPr>
          <w:p>
            <w:pPr>
              <w:pStyle w:val="Normal"/>
              <w:widowControl/>
              <w:bidi w:val="0"/>
              <w:ind w:left="0" w:right="0" w:firstLine="180"/>
              <w:jc w:val="right"/>
              <w:textAlignment w:val="auto"/>
              <w:rPr/>
            </w:pPr>
            <w:r>
              <w:rPr>
                <w:i/>
                <w:iCs/>
                <w:sz w:val="18"/>
                <w:szCs w:val="18"/>
                <w:lang w:val="en-US" w:eastAsia="en-US"/>
              </w:rPr>
              <w:t> </w:t>
            </w:r>
          </w:p>
        </w:tc>
        <w:tc>
          <w:tcPr>
            <w:tcW w:w="593" w:type="dxa"/>
            <w:gridSpan w:val="2"/>
            <w:tcBorders>
              <w:bottom w:val="single" w:sz="8" w:space="0" w:color="000001"/>
              <w:insideH w:val="single" w:sz="8" w:space="0" w:color="000001"/>
            </w:tcBorders>
            <w:shd w:color="auto" w:fill="C0C0C0"/>
          </w:tcPr>
          <w:p>
            <w:pPr>
              <w:pStyle w:val="Normal"/>
              <w:widowControl/>
              <w:bidi w:val="0"/>
              <w:ind w:left="0" w:right="0" w:firstLine="180"/>
              <w:jc w:val="right"/>
              <w:textAlignment w:val="auto"/>
              <w:rPr/>
            </w:pPr>
            <w:r>
              <w:rPr>
                <w:i/>
                <w:iCs/>
                <w:sz w:val="18"/>
                <w:szCs w:val="18"/>
                <w:lang w:val="en-US" w:eastAsia="en-US"/>
              </w:rPr>
              <w:t> </w:t>
            </w:r>
          </w:p>
        </w:tc>
        <w:tc>
          <w:tcPr>
            <w:tcW w:w="567" w:type="dxa"/>
            <w:gridSpan w:val="2"/>
            <w:tcBorders>
              <w:bottom w:val="single" w:sz="8" w:space="0" w:color="000001"/>
              <w:insideH w:val="single" w:sz="8" w:space="0" w:color="000001"/>
            </w:tcBorders>
            <w:shd w:color="auto" w:fill="C0C0C0"/>
          </w:tcPr>
          <w:p>
            <w:pPr>
              <w:pStyle w:val="Normal"/>
              <w:widowControl/>
              <w:bidi w:val="0"/>
              <w:ind w:left="0" w:right="0" w:firstLine="180"/>
              <w:jc w:val="right"/>
              <w:textAlignment w:val="auto"/>
              <w:rPr/>
            </w:pPr>
            <w:r>
              <w:rPr>
                <w:i/>
                <w:iCs/>
                <w:sz w:val="18"/>
                <w:szCs w:val="18"/>
                <w:lang w:val="en-US" w:eastAsia="en-US"/>
              </w:rPr>
              <w:t> </w:t>
            </w:r>
          </w:p>
        </w:tc>
        <w:tc>
          <w:tcPr>
            <w:tcW w:w="709" w:type="dxa"/>
            <w:gridSpan w:val="2"/>
            <w:tcBorders>
              <w:bottom w:val="single" w:sz="8" w:space="0" w:color="000001"/>
              <w:insideH w:val="single" w:sz="8" w:space="0" w:color="000001"/>
            </w:tcBorders>
            <w:shd w:color="auto" w:fill="C0C0C0"/>
          </w:tcPr>
          <w:p>
            <w:pPr>
              <w:pStyle w:val="Normal"/>
              <w:widowControl/>
              <w:bidi w:val="0"/>
              <w:ind w:left="0" w:right="0" w:firstLine="180"/>
              <w:jc w:val="right"/>
              <w:textAlignment w:val="auto"/>
              <w:rPr/>
            </w:pPr>
            <w:r>
              <w:rPr>
                <w:i/>
                <w:iCs/>
                <w:sz w:val="18"/>
                <w:szCs w:val="18"/>
                <w:lang w:val="en-US" w:eastAsia="en-US"/>
              </w:rPr>
              <w:t> </w:t>
            </w:r>
          </w:p>
        </w:tc>
        <w:tc>
          <w:tcPr>
            <w:tcW w:w="710" w:type="dxa"/>
            <w:gridSpan w:val="3"/>
            <w:tcBorders>
              <w:bottom w:val="single" w:sz="8" w:space="0" w:color="000001"/>
              <w:insideH w:val="single" w:sz="8" w:space="0" w:color="000001"/>
            </w:tcBorders>
            <w:shd w:color="auto" w:fill="C0C0C0"/>
          </w:tcPr>
          <w:p>
            <w:pPr>
              <w:pStyle w:val="Normal"/>
              <w:widowControl/>
              <w:bidi w:val="0"/>
              <w:ind w:left="0" w:right="0" w:firstLine="180"/>
              <w:jc w:val="right"/>
              <w:textAlignment w:val="auto"/>
              <w:rPr/>
            </w:pPr>
            <w:r>
              <w:rPr>
                <w:i/>
                <w:iCs/>
                <w:sz w:val="18"/>
                <w:szCs w:val="18"/>
                <w:lang w:val="en-US" w:eastAsia="en-US"/>
              </w:rPr>
              <w:t> </w:t>
            </w:r>
          </w:p>
        </w:tc>
        <w:tc>
          <w:tcPr>
            <w:tcW w:w="567" w:type="dxa"/>
            <w:gridSpan w:val="2"/>
            <w:tcBorders>
              <w:bottom w:val="single" w:sz="8" w:space="0" w:color="000001"/>
              <w:insideH w:val="single" w:sz="8" w:space="0" w:color="000001"/>
            </w:tcBorders>
            <w:shd w:color="auto" w:fill="C0C0C0"/>
          </w:tcPr>
          <w:p>
            <w:pPr>
              <w:pStyle w:val="Normal"/>
              <w:widowControl/>
              <w:bidi w:val="0"/>
              <w:ind w:left="0" w:right="0" w:firstLine="180"/>
              <w:jc w:val="right"/>
              <w:textAlignment w:val="auto"/>
              <w:rPr/>
            </w:pPr>
            <w:r>
              <w:rPr>
                <w:i/>
                <w:iCs/>
                <w:sz w:val="18"/>
                <w:szCs w:val="18"/>
                <w:lang w:val="en-US" w:eastAsia="en-US"/>
              </w:rPr>
              <w:t> </w:t>
            </w:r>
          </w:p>
        </w:tc>
        <w:tc>
          <w:tcPr>
            <w:tcW w:w="567" w:type="dxa"/>
            <w:gridSpan w:val="2"/>
            <w:tcBorders>
              <w:bottom w:val="single" w:sz="8" w:space="0" w:color="000001"/>
              <w:insideH w:val="single" w:sz="8" w:space="0" w:color="000001"/>
            </w:tcBorders>
            <w:shd w:color="auto" w:fill="C0C0C0"/>
          </w:tcPr>
          <w:p>
            <w:pPr>
              <w:pStyle w:val="Normal"/>
              <w:widowControl/>
              <w:bidi w:val="0"/>
              <w:ind w:left="0" w:right="0" w:firstLine="180"/>
              <w:jc w:val="right"/>
              <w:textAlignment w:val="auto"/>
              <w:rPr/>
            </w:pPr>
            <w:r>
              <w:rPr>
                <w:i/>
                <w:iCs/>
                <w:sz w:val="18"/>
                <w:szCs w:val="18"/>
                <w:lang w:val="en-US" w:eastAsia="en-US"/>
              </w:rPr>
              <w:t> </w:t>
            </w:r>
          </w:p>
        </w:tc>
        <w:tc>
          <w:tcPr>
            <w:tcW w:w="567" w:type="dxa"/>
            <w:tcBorders>
              <w:bottom w:val="single" w:sz="8" w:space="0" w:color="000001"/>
              <w:insideH w:val="single" w:sz="8" w:space="0" w:color="000001"/>
            </w:tcBorders>
            <w:shd w:color="auto" w:fill="C0C0C0"/>
          </w:tcPr>
          <w:p>
            <w:pPr>
              <w:pStyle w:val="Normal"/>
              <w:widowControl/>
              <w:bidi w:val="0"/>
              <w:ind w:left="0" w:right="0" w:firstLine="180"/>
              <w:jc w:val="right"/>
              <w:textAlignment w:val="auto"/>
              <w:rPr/>
            </w:pPr>
            <w:r>
              <w:rPr>
                <w:i/>
                <w:iCs/>
                <w:sz w:val="18"/>
                <w:szCs w:val="18"/>
                <w:lang w:val="en-US" w:eastAsia="en-US"/>
              </w:rPr>
              <w:t> </w:t>
            </w:r>
          </w:p>
        </w:tc>
        <w:tc>
          <w:tcPr>
            <w:tcW w:w="567" w:type="dxa"/>
            <w:tcBorders>
              <w:bottom w:val="single" w:sz="8" w:space="0" w:color="000001"/>
              <w:insideH w:val="single" w:sz="8" w:space="0" w:color="000001"/>
            </w:tcBorders>
            <w:shd w:color="auto" w:fill="C0C0C0"/>
          </w:tcPr>
          <w:p>
            <w:pPr>
              <w:pStyle w:val="Normal"/>
              <w:widowControl/>
              <w:bidi w:val="0"/>
              <w:ind w:left="0" w:right="0" w:firstLine="180"/>
              <w:jc w:val="right"/>
              <w:textAlignment w:val="auto"/>
              <w:rPr/>
            </w:pPr>
            <w:r>
              <w:rPr>
                <w:i/>
                <w:iCs/>
                <w:sz w:val="18"/>
                <w:szCs w:val="18"/>
                <w:lang w:val="en-US" w:eastAsia="en-US"/>
              </w:rPr>
              <w:t> </w:t>
            </w:r>
          </w:p>
        </w:tc>
        <w:tc>
          <w:tcPr>
            <w:tcW w:w="849" w:type="dxa"/>
            <w:gridSpan w:val="2"/>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180"/>
              <w:jc w:val="right"/>
              <w:textAlignment w:val="auto"/>
              <w:rPr/>
            </w:pPr>
            <w:r>
              <w:rPr>
                <w:i/>
                <w:iCs/>
                <w:sz w:val="18"/>
                <w:szCs w:val="18"/>
                <w:lang w:val="en-US" w:eastAsia="en-US"/>
              </w:rPr>
              <w:t> </w:t>
            </w:r>
          </w:p>
        </w:tc>
        <w:tc>
          <w:tcPr>
            <w:tcW w:w="3076" w:type="dxa"/>
            <w:gridSpan w:val="11"/>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185" w:hRule="atLeast"/>
        </w:trPr>
        <w:tc>
          <w:tcPr>
            <w:tcW w:w="2127"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180"/>
              <w:jc w:val="left"/>
              <w:textAlignment w:val="auto"/>
              <w:rPr>
                <w:lang w:val="en-US"/>
              </w:rPr>
            </w:pPr>
            <w:r>
              <w:rPr>
                <w:rFonts w:cs="Times New Roman CE" w:ascii="Times New Roman CE" w:hAnsi="Times New Roman CE"/>
                <w:sz w:val="18"/>
                <w:szCs w:val="18"/>
                <w:lang w:val="en-US" w:eastAsia="en-US"/>
              </w:rPr>
              <w:t>Doctori habilitaţi</w:t>
            </w:r>
          </w:p>
        </w:tc>
        <w:tc>
          <w:tcPr>
            <w:tcW w:w="708" w:type="dxa"/>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hanging="0"/>
              <w:jc w:val="left"/>
              <w:textAlignment w:val="auto"/>
              <w:rPr>
                <w:lang w:val="en-US"/>
              </w:rPr>
            </w:pPr>
            <w:r>
              <w:rPr>
                <w:sz w:val="18"/>
                <w:szCs w:val="18"/>
                <w:lang w:val="en-US" w:eastAsia="en-US"/>
              </w:rPr>
              <w:t>13,5</w:t>
            </w:r>
          </w:p>
        </w:tc>
        <w:tc>
          <w:tcPr>
            <w:tcW w:w="567"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18"/>
                <w:szCs w:val="18"/>
                <w:lang w:val="en-US" w:eastAsia="en-US"/>
              </w:rPr>
              <w:t>13</w:t>
            </w:r>
          </w:p>
        </w:tc>
        <w:tc>
          <w:tcPr>
            <w:tcW w:w="540"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593"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18"/>
                <w:szCs w:val="18"/>
                <w:lang w:val="en-US" w:eastAsia="en-US"/>
              </w:rPr>
            </w:pPr>
            <w:r>
              <w:rPr>
                <w:sz w:val="18"/>
                <w:szCs w:val="18"/>
                <w:lang w:val="en-US" w:eastAsia="en-US"/>
              </w:rPr>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r>
              <w:rPr>
                <w:sz w:val="18"/>
                <w:szCs w:val="18"/>
                <w:lang w:val="en-US" w:eastAsia="en-US"/>
              </w:rPr>
              <w:t>1</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lang w:val="en-US" w:eastAsia="en-US"/>
              </w:rPr>
              <w:t> </w:t>
            </w:r>
            <w:r>
              <w:rPr>
                <w:sz w:val="18"/>
                <w:szCs w:val="18"/>
                <w:lang w:val="en-US" w:eastAsia="en-US"/>
              </w:rPr>
              <w:t>1</w:t>
            </w:r>
          </w:p>
        </w:tc>
        <w:tc>
          <w:tcPr>
            <w:tcW w:w="71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lang w:val="en-US" w:eastAsia="en-US"/>
              </w:rPr>
              <w:t>4</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lang w:val="en-US" w:eastAsia="en-US"/>
              </w:rPr>
              <w:t>7</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lang w:val="en-US" w:eastAsia="en-US"/>
              </w:rPr>
              <w:t>1</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lang w:val="en-US" w:eastAsia="en-US"/>
              </w:rPr>
              <w:t>2</w:t>
            </w:r>
          </w:p>
        </w:tc>
        <w:tc>
          <w:tcPr>
            <w:tcW w:w="567"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lang w:val="en-US" w:eastAsia="en-US"/>
              </w:rPr>
              <w:t> </w:t>
            </w:r>
          </w:p>
        </w:tc>
        <w:tc>
          <w:tcPr>
            <w:tcW w:w="849"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18"/>
                <w:szCs w:val="18"/>
                <w:lang w:val="en-US" w:eastAsia="en-US"/>
              </w:rPr>
              <w:t>15</w:t>
            </w:r>
          </w:p>
        </w:tc>
        <w:tc>
          <w:tcPr>
            <w:tcW w:w="3076" w:type="dxa"/>
            <w:gridSpan w:val="11"/>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185" w:hRule="atLeast"/>
        </w:trPr>
        <w:tc>
          <w:tcPr>
            <w:tcW w:w="70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180"/>
              <w:jc w:val="left"/>
              <w:textAlignment w:val="auto"/>
              <w:rPr>
                <w:lang w:val="en-US"/>
              </w:rPr>
            </w:pPr>
            <w:r>
              <w:rPr>
                <w:sz w:val="18"/>
                <w:szCs w:val="18"/>
                <w:lang w:val="en-US" w:eastAsia="en-US"/>
              </w:rPr>
              <w:t> </w:t>
            </w:r>
          </w:p>
        </w:tc>
        <w:tc>
          <w:tcPr>
            <w:tcW w:w="1421"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en-US"/>
              </w:rPr>
            </w:pPr>
            <w:r>
              <w:rPr>
                <w:sz w:val="18"/>
                <w:szCs w:val="18"/>
                <w:lang w:val="en-US" w:eastAsia="en-US"/>
              </w:rPr>
              <w:t>Femei</w:t>
            </w:r>
          </w:p>
        </w:tc>
        <w:tc>
          <w:tcPr>
            <w:tcW w:w="708" w:type="dxa"/>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180"/>
              <w:jc w:val="left"/>
              <w:textAlignment w:val="auto"/>
              <w:rPr>
                <w:lang w:val="en-US"/>
              </w:rPr>
            </w:pPr>
            <w:r>
              <w:rPr>
                <w:sz w:val="18"/>
                <w:szCs w:val="18"/>
                <w:lang w:val="en-US" w:eastAsia="en-US"/>
              </w:rPr>
              <w:t>1</w:t>
            </w:r>
          </w:p>
        </w:tc>
        <w:tc>
          <w:tcPr>
            <w:tcW w:w="567"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18"/>
                <w:szCs w:val="18"/>
                <w:lang w:val="en-US" w:eastAsia="en-US"/>
              </w:rPr>
              <w:t>1</w:t>
            </w:r>
          </w:p>
        </w:tc>
        <w:tc>
          <w:tcPr>
            <w:tcW w:w="540"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593"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71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1</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18"/>
                <w:szCs w:val="18"/>
                <w:lang w:val="en-US" w:eastAsia="en-US"/>
              </w:rPr>
              <w:t> </w:t>
            </w:r>
          </w:p>
        </w:tc>
        <w:tc>
          <w:tcPr>
            <w:tcW w:w="849"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18"/>
                <w:szCs w:val="18"/>
                <w:lang w:val="en-US" w:eastAsia="en-US"/>
              </w:rPr>
              <w:t>1</w:t>
            </w:r>
          </w:p>
        </w:tc>
        <w:tc>
          <w:tcPr>
            <w:tcW w:w="3076" w:type="dxa"/>
            <w:gridSpan w:val="11"/>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263" w:hRule="atLeast"/>
        </w:trPr>
        <w:tc>
          <w:tcPr>
            <w:tcW w:w="2127"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180"/>
              <w:jc w:val="left"/>
              <w:textAlignment w:val="auto"/>
              <w:rPr>
                <w:lang w:val="en-US"/>
              </w:rPr>
            </w:pPr>
            <w:r>
              <w:rPr>
                <w:rFonts w:cs="Times New Roman CE" w:ascii="Times New Roman CE" w:hAnsi="Times New Roman CE"/>
                <w:sz w:val="18"/>
                <w:szCs w:val="18"/>
                <w:lang w:val="en-US" w:eastAsia="en-US"/>
              </w:rPr>
              <w:t>Doctori în ştiinţe</w:t>
            </w:r>
          </w:p>
        </w:tc>
        <w:tc>
          <w:tcPr>
            <w:tcW w:w="708" w:type="dxa"/>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hanging="0"/>
              <w:jc w:val="left"/>
              <w:textAlignment w:val="auto"/>
              <w:rPr>
                <w:lang w:val="en-US"/>
              </w:rPr>
            </w:pPr>
            <w:r>
              <w:rPr>
                <w:sz w:val="18"/>
                <w:szCs w:val="18"/>
                <w:lang w:val="en-US" w:eastAsia="en-US"/>
              </w:rPr>
              <w:t>24,5</w:t>
            </w:r>
          </w:p>
        </w:tc>
        <w:tc>
          <w:tcPr>
            <w:tcW w:w="567"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18"/>
                <w:szCs w:val="18"/>
                <w:lang w:val="en-US" w:eastAsia="en-US"/>
              </w:rPr>
              <w:t>20</w:t>
            </w:r>
          </w:p>
        </w:tc>
        <w:tc>
          <w:tcPr>
            <w:tcW w:w="540"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sz w:val="18"/>
                <w:szCs w:val="18"/>
                <w:lang w:val="en-US" w:eastAsia="en-US"/>
              </w:rPr>
            </w:pPr>
            <w:r>
              <w:rPr>
                <w:sz w:val="18"/>
                <w:szCs w:val="18"/>
                <w:lang w:val="en-US" w:eastAsia="en-US"/>
              </w:rPr>
            </w:r>
          </w:p>
        </w:tc>
        <w:tc>
          <w:tcPr>
            <w:tcW w:w="593"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sz w:val="18"/>
                <w:szCs w:val="18"/>
                <w:lang w:val="en-US" w:eastAsia="en-US"/>
              </w:rPr>
            </w:pPr>
            <w:r>
              <w:rPr>
                <w:sz w:val="18"/>
                <w:szCs w:val="18"/>
                <w:lang w:val="en-US" w:eastAsia="en-US"/>
              </w:rPr>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18"/>
                <w:szCs w:val="18"/>
                <w:lang w:val="en-US" w:eastAsia="en-US"/>
              </w:rPr>
              <w:t>5</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18"/>
                <w:szCs w:val="18"/>
                <w:lang w:val="en-US" w:eastAsia="en-US"/>
              </w:rPr>
              <w:t>4</w:t>
            </w:r>
          </w:p>
        </w:tc>
        <w:tc>
          <w:tcPr>
            <w:tcW w:w="710"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lang w:val="en-US" w:eastAsia="en-US"/>
              </w:rPr>
              <w:t>5</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lang w:val="en-US" w:eastAsia="en-US"/>
              </w:rPr>
              <w:t>6</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sz w:val="18"/>
                <w:szCs w:val="18"/>
                <w:lang w:val="en-US" w:eastAsia="en-US"/>
              </w:rPr>
            </w:pPr>
            <w:r>
              <w:rPr>
                <w:sz w:val="18"/>
                <w:szCs w:val="18"/>
                <w:lang w:val="en-US" w:eastAsia="en-US"/>
              </w:rPr>
            </w:r>
          </w:p>
        </w:tc>
        <w:tc>
          <w:tcPr>
            <w:tcW w:w="567"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18"/>
                <w:szCs w:val="18"/>
                <w:lang w:val="en-US" w:eastAsia="en-US"/>
              </w:rPr>
              <w:t>9</w:t>
            </w:r>
          </w:p>
        </w:tc>
        <w:tc>
          <w:tcPr>
            <w:tcW w:w="567"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sz w:val="18"/>
                <w:szCs w:val="18"/>
                <w:lang w:val="en-US" w:eastAsia="en-US"/>
              </w:rPr>
            </w:pPr>
            <w:r>
              <w:rPr>
                <w:sz w:val="18"/>
                <w:szCs w:val="18"/>
                <w:lang w:val="en-US" w:eastAsia="en-US"/>
              </w:rPr>
            </w:r>
          </w:p>
        </w:tc>
        <w:tc>
          <w:tcPr>
            <w:tcW w:w="849"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sz w:val="18"/>
                <w:szCs w:val="18"/>
                <w:lang w:val="en-US" w:eastAsia="en-US"/>
              </w:rPr>
              <w:t>29</w:t>
            </w:r>
          </w:p>
        </w:tc>
        <w:tc>
          <w:tcPr>
            <w:tcW w:w="3076" w:type="dxa"/>
            <w:gridSpan w:val="11"/>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107" w:hRule="atLeast"/>
        </w:trPr>
        <w:tc>
          <w:tcPr>
            <w:tcW w:w="70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180"/>
              <w:jc w:val="left"/>
              <w:textAlignment w:val="auto"/>
              <w:rPr>
                <w:lang w:val="en-US"/>
              </w:rPr>
            </w:pPr>
            <w:r>
              <w:rPr>
                <w:sz w:val="18"/>
                <w:szCs w:val="18"/>
                <w:lang w:val="en-US" w:eastAsia="en-US"/>
              </w:rPr>
              <w:t> </w:t>
            </w:r>
          </w:p>
        </w:tc>
        <w:tc>
          <w:tcPr>
            <w:tcW w:w="1421"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en-US"/>
              </w:rPr>
            </w:pPr>
            <w:r>
              <w:rPr>
                <w:sz w:val="18"/>
                <w:szCs w:val="18"/>
                <w:lang w:val="en-US" w:eastAsia="en-US"/>
              </w:rPr>
              <w:t>Femei</w:t>
            </w:r>
          </w:p>
        </w:tc>
        <w:tc>
          <w:tcPr>
            <w:tcW w:w="708" w:type="dxa"/>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180"/>
              <w:jc w:val="left"/>
              <w:textAlignment w:val="auto"/>
              <w:rPr>
                <w:lang w:val="en-US"/>
              </w:rPr>
            </w:pPr>
            <w:r>
              <w:rPr>
                <w:sz w:val="18"/>
                <w:szCs w:val="18"/>
                <w:lang w:val="en-US" w:eastAsia="en-US"/>
              </w:rPr>
              <w:t>7</w:t>
            </w:r>
          </w:p>
        </w:tc>
        <w:tc>
          <w:tcPr>
            <w:tcW w:w="567"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18"/>
                <w:szCs w:val="18"/>
                <w:lang w:val="en-US" w:eastAsia="en-US"/>
              </w:rPr>
              <w:t>6</w:t>
            </w:r>
          </w:p>
        </w:tc>
        <w:tc>
          <w:tcPr>
            <w:tcW w:w="540"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lang w:val="en-US" w:eastAsia="en-US"/>
              </w:rPr>
              <w:t> </w:t>
            </w:r>
          </w:p>
        </w:tc>
        <w:tc>
          <w:tcPr>
            <w:tcW w:w="593"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2</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3</w:t>
            </w:r>
          </w:p>
        </w:tc>
        <w:tc>
          <w:tcPr>
            <w:tcW w:w="71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18"/>
                <w:szCs w:val="18"/>
                <w:lang w:val="en-US" w:eastAsia="en-US"/>
              </w:rPr>
            </w:pPr>
            <w:r>
              <w:rPr>
                <w:sz w:val="18"/>
                <w:szCs w:val="18"/>
                <w:lang w:val="en-US" w:eastAsia="en-US"/>
              </w:rPr>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1</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1</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18"/>
                <w:szCs w:val="18"/>
                <w:lang w:val="en-US" w:eastAsia="en-US"/>
              </w:rPr>
            </w:pPr>
            <w:r>
              <w:rPr>
                <w:sz w:val="18"/>
                <w:szCs w:val="18"/>
                <w:lang w:val="en-US" w:eastAsia="en-US"/>
              </w:rPr>
            </w:r>
          </w:p>
        </w:tc>
        <w:tc>
          <w:tcPr>
            <w:tcW w:w="567"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lang w:val="en-US" w:eastAsia="en-US"/>
              </w:rPr>
              <w:t> </w:t>
            </w:r>
          </w:p>
        </w:tc>
        <w:tc>
          <w:tcPr>
            <w:tcW w:w="849"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18"/>
                <w:szCs w:val="18"/>
                <w:lang w:val="en-US" w:eastAsia="en-US"/>
              </w:rPr>
              <w:t>6</w:t>
            </w:r>
          </w:p>
        </w:tc>
        <w:tc>
          <w:tcPr>
            <w:tcW w:w="3076" w:type="dxa"/>
            <w:gridSpan w:val="11"/>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139" w:hRule="atLeast"/>
        </w:trPr>
        <w:tc>
          <w:tcPr>
            <w:tcW w:w="2127"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180"/>
              <w:jc w:val="left"/>
              <w:textAlignment w:val="auto"/>
              <w:rPr>
                <w:lang w:val="en-US"/>
              </w:rPr>
            </w:pPr>
            <w:r>
              <w:rPr>
                <w:sz w:val="18"/>
                <w:szCs w:val="18"/>
                <w:lang w:val="en-US" w:eastAsia="en-US"/>
              </w:rPr>
              <w:t xml:space="preserve">Postdoctoranzi </w:t>
            </w:r>
          </w:p>
        </w:tc>
        <w:tc>
          <w:tcPr>
            <w:tcW w:w="708" w:type="dxa"/>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180"/>
              <w:jc w:val="left"/>
              <w:textAlignment w:val="auto"/>
              <w:rPr>
                <w:lang w:val="en-US"/>
              </w:rPr>
            </w:pPr>
            <w:r>
              <w:rPr>
                <w:sz w:val="18"/>
                <w:szCs w:val="18"/>
                <w:lang w:val="en-US" w:eastAsia="en-US"/>
              </w:rPr>
              <w:t> </w:t>
            </w:r>
          </w:p>
        </w:tc>
        <w:tc>
          <w:tcPr>
            <w:tcW w:w="567"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18"/>
                <w:szCs w:val="18"/>
                <w:lang w:val="en-US" w:eastAsia="en-US"/>
              </w:rPr>
              <w:t>0</w:t>
            </w:r>
          </w:p>
        </w:tc>
        <w:tc>
          <w:tcPr>
            <w:tcW w:w="540"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593"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71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18"/>
                <w:szCs w:val="18"/>
                <w:lang w:val="en-US" w:eastAsia="en-US"/>
              </w:rPr>
              <w:t> </w:t>
            </w:r>
          </w:p>
        </w:tc>
        <w:tc>
          <w:tcPr>
            <w:tcW w:w="849"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18"/>
                <w:szCs w:val="18"/>
                <w:lang w:val="en-US" w:eastAsia="en-US"/>
              </w:rPr>
              <w:t>0</w:t>
            </w:r>
          </w:p>
        </w:tc>
        <w:tc>
          <w:tcPr>
            <w:tcW w:w="3076" w:type="dxa"/>
            <w:gridSpan w:val="11"/>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199" w:hRule="atLeast"/>
        </w:trPr>
        <w:tc>
          <w:tcPr>
            <w:tcW w:w="70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180"/>
              <w:jc w:val="left"/>
              <w:textAlignment w:val="auto"/>
              <w:rPr>
                <w:lang w:val="en-US"/>
              </w:rPr>
            </w:pPr>
            <w:r>
              <w:rPr>
                <w:sz w:val="18"/>
                <w:szCs w:val="18"/>
                <w:lang w:val="en-US" w:eastAsia="en-US"/>
              </w:rPr>
              <w:t> </w:t>
            </w:r>
          </w:p>
        </w:tc>
        <w:tc>
          <w:tcPr>
            <w:tcW w:w="1421"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en-US"/>
              </w:rPr>
            </w:pPr>
            <w:r>
              <w:rPr>
                <w:sz w:val="18"/>
                <w:szCs w:val="18"/>
                <w:lang w:val="en-US" w:eastAsia="en-US"/>
              </w:rPr>
              <w:t>Femei</w:t>
            </w:r>
          </w:p>
        </w:tc>
        <w:tc>
          <w:tcPr>
            <w:tcW w:w="708" w:type="dxa"/>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180"/>
              <w:jc w:val="left"/>
              <w:textAlignment w:val="auto"/>
              <w:rPr>
                <w:lang w:val="en-US"/>
              </w:rPr>
            </w:pPr>
            <w:r>
              <w:rPr>
                <w:sz w:val="18"/>
                <w:szCs w:val="18"/>
                <w:lang w:val="en-US" w:eastAsia="en-US"/>
              </w:rPr>
              <w:t> </w:t>
            </w:r>
          </w:p>
        </w:tc>
        <w:tc>
          <w:tcPr>
            <w:tcW w:w="567"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18"/>
                <w:szCs w:val="18"/>
                <w:lang w:val="en-US" w:eastAsia="en-US"/>
              </w:rPr>
              <w:t>0</w:t>
            </w:r>
          </w:p>
        </w:tc>
        <w:tc>
          <w:tcPr>
            <w:tcW w:w="540"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593"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71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18"/>
                <w:szCs w:val="18"/>
                <w:lang w:val="en-US" w:eastAsia="en-US"/>
              </w:rPr>
              <w:t> </w:t>
            </w:r>
          </w:p>
        </w:tc>
        <w:tc>
          <w:tcPr>
            <w:tcW w:w="849"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18"/>
                <w:szCs w:val="18"/>
                <w:lang w:val="en-US" w:eastAsia="en-US"/>
              </w:rPr>
              <w:t>0</w:t>
            </w:r>
          </w:p>
        </w:tc>
        <w:tc>
          <w:tcPr>
            <w:tcW w:w="3076" w:type="dxa"/>
            <w:gridSpan w:val="11"/>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118" w:hRule="atLeast"/>
        </w:trPr>
        <w:tc>
          <w:tcPr>
            <w:tcW w:w="2127"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180"/>
              <w:jc w:val="left"/>
              <w:textAlignment w:val="auto"/>
              <w:rPr>
                <w:lang w:val="en-US"/>
              </w:rPr>
            </w:pPr>
            <w:r>
              <w:rPr>
                <w:sz w:val="18"/>
                <w:szCs w:val="18"/>
                <w:lang w:val="en-US" w:eastAsia="en-US"/>
              </w:rPr>
              <w:t xml:space="preserve">Doctoranzi </w:t>
            </w:r>
          </w:p>
        </w:tc>
        <w:tc>
          <w:tcPr>
            <w:tcW w:w="708" w:type="dxa"/>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180"/>
              <w:jc w:val="left"/>
              <w:textAlignment w:val="auto"/>
              <w:rPr>
                <w:lang w:val="en-US"/>
              </w:rPr>
            </w:pPr>
            <w:r>
              <w:rPr>
                <w:sz w:val="18"/>
                <w:szCs w:val="18"/>
                <w:lang w:val="en-US" w:eastAsia="en-US"/>
              </w:rPr>
              <w:t>7 </w:t>
            </w:r>
          </w:p>
        </w:tc>
        <w:tc>
          <w:tcPr>
            <w:tcW w:w="567"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18"/>
                <w:szCs w:val="18"/>
                <w:lang w:val="en-US" w:eastAsia="en-US"/>
              </w:rPr>
              <w:t>7</w:t>
            </w:r>
          </w:p>
        </w:tc>
        <w:tc>
          <w:tcPr>
            <w:tcW w:w="540"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593"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5 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lang w:val="en-US" w:eastAsia="en-US"/>
              </w:rPr>
              <w:t> </w:t>
            </w:r>
            <w:r>
              <w:rPr>
                <w:sz w:val="18"/>
                <w:szCs w:val="18"/>
                <w:lang w:val="en-US" w:eastAsia="en-US"/>
              </w:rPr>
              <w:t>1</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1 </w:t>
            </w:r>
          </w:p>
        </w:tc>
        <w:tc>
          <w:tcPr>
            <w:tcW w:w="71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lang w:val="en-US" w:eastAsia="en-US"/>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lang w:val="en-US" w:eastAsia="en-US"/>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lang w:val="en-US" w:eastAsia="en-US"/>
              </w:rPr>
              <w:t> </w:t>
            </w:r>
          </w:p>
        </w:tc>
        <w:tc>
          <w:tcPr>
            <w:tcW w:w="849"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sz w:val="18"/>
                <w:szCs w:val="18"/>
                <w:lang w:val="en-US" w:eastAsia="en-US"/>
              </w:rPr>
              <w:t>7</w:t>
            </w:r>
          </w:p>
        </w:tc>
        <w:tc>
          <w:tcPr>
            <w:tcW w:w="3076" w:type="dxa"/>
            <w:gridSpan w:val="11"/>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127" w:hRule="atLeast"/>
        </w:trPr>
        <w:tc>
          <w:tcPr>
            <w:tcW w:w="70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180"/>
              <w:jc w:val="left"/>
              <w:textAlignment w:val="auto"/>
              <w:rPr>
                <w:lang w:val="en-US"/>
              </w:rPr>
            </w:pPr>
            <w:r>
              <w:rPr>
                <w:sz w:val="18"/>
                <w:szCs w:val="18"/>
                <w:lang w:val="en-US" w:eastAsia="en-US"/>
              </w:rPr>
              <w:t> </w:t>
            </w:r>
          </w:p>
        </w:tc>
        <w:tc>
          <w:tcPr>
            <w:tcW w:w="1421"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en-US"/>
              </w:rPr>
            </w:pPr>
            <w:r>
              <w:rPr>
                <w:sz w:val="18"/>
                <w:szCs w:val="18"/>
                <w:lang w:val="en-US" w:eastAsia="en-US"/>
              </w:rPr>
              <w:t>Femei</w:t>
            </w:r>
          </w:p>
        </w:tc>
        <w:tc>
          <w:tcPr>
            <w:tcW w:w="708" w:type="dxa"/>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180"/>
              <w:jc w:val="left"/>
              <w:textAlignment w:val="auto"/>
              <w:rPr>
                <w:lang w:val="en-US"/>
              </w:rPr>
            </w:pPr>
            <w:r>
              <w:rPr>
                <w:sz w:val="18"/>
                <w:szCs w:val="18"/>
                <w:lang w:val="en-US" w:eastAsia="en-US"/>
              </w:rPr>
              <w:t> </w:t>
            </w:r>
            <w:r>
              <w:rPr>
                <w:sz w:val="18"/>
                <w:szCs w:val="18"/>
                <w:lang w:val="en-US" w:eastAsia="en-US"/>
              </w:rPr>
              <w:t>2</w:t>
            </w:r>
          </w:p>
        </w:tc>
        <w:tc>
          <w:tcPr>
            <w:tcW w:w="567"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18"/>
                <w:szCs w:val="18"/>
                <w:lang w:val="en-US" w:eastAsia="en-US"/>
              </w:rPr>
              <w:t>2</w:t>
            </w:r>
          </w:p>
        </w:tc>
        <w:tc>
          <w:tcPr>
            <w:tcW w:w="540"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lang w:val="en-US" w:eastAsia="en-US"/>
              </w:rPr>
              <w:t> </w:t>
            </w:r>
          </w:p>
        </w:tc>
        <w:tc>
          <w:tcPr>
            <w:tcW w:w="593"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r>
              <w:rPr>
                <w:sz w:val="18"/>
                <w:szCs w:val="18"/>
                <w:lang w:val="en-US" w:eastAsia="en-US"/>
              </w:rPr>
              <w:t>2</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71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18"/>
                <w:szCs w:val="18"/>
                <w:lang w:val="en-US" w:eastAsia="en-US"/>
              </w:rPr>
              <w:t> </w:t>
            </w:r>
          </w:p>
        </w:tc>
        <w:tc>
          <w:tcPr>
            <w:tcW w:w="849"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18"/>
                <w:szCs w:val="18"/>
                <w:lang w:val="en-US" w:eastAsia="en-US"/>
              </w:rPr>
              <w:t>2</w:t>
            </w:r>
          </w:p>
        </w:tc>
        <w:tc>
          <w:tcPr>
            <w:tcW w:w="3076" w:type="dxa"/>
            <w:gridSpan w:val="11"/>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187" w:hRule="atLeast"/>
        </w:trPr>
        <w:tc>
          <w:tcPr>
            <w:tcW w:w="2127"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180"/>
              <w:jc w:val="left"/>
              <w:textAlignment w:val="auto"/>
              <w:rPr>
                <w:lang w:val="en-US"/>
              </w:rPr>
            </w:pPr>
            <w:r>
              <w:rPr>
                <w:sz w:val="18"/>
                <w:szCs w:val="18"/>
                <w:lang w:val="en-US" w:eastAsia="en-US"/>
              </w:rPr>
              <w:t xml:space="preserve">Masteranzi </w:t>
            </w:r>
          </w:p>
        </w:tc>
        <w:tc>
          <w:tcPr>
            <w:tcW w:w="708" w:type="dxa"/>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180"/>
              <w:jc w:val="left"/>
              <w:textAlignment w:val="auto"/>
              <w:rPr>
                <w:lang w:val="en-US"/>
              </w:rPr>
            </w:pPr>
            <w:r>
              <w:rPr>
                <w:sz w:val="18"/>
                <w:szCs w:val="18"/>
                <w:lang w:val="en-US" w:eastAsia="en-US"/>
              </w:rPr>
              <w:t> </w:t>
            </w:r>
            <w:r>
              <w:rPr>
                <w:sz w:val="18"/>
                <w:szCs w:val="18"/>
                <w:lang w:val="en-US" w:eastAsia="en-US"/>
              </w:rPr>
              <w:t>36</w:t>
            </w:r>
          </w:p>
        </w:tc>
        <w:tc>
          <w:tcPr>
            <w:tcW w:w="567"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18"/>
                <w:szCs w:val="18"/>
                <w:lang w:val="en-US" w:eastAsia="en-US"/>
              </w:rPr>
              <w:t>36</w:t>
            </w:r>
          </w:p>
        </w:tc>
        <w:tc>
          <w:tcPr>
            <w:tcW w:w="540"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r>
              <w:rPr>
                <w:sz w:val="18"/>
                <w:szCs w:val="18"/>
                <w:lang w:val="en-US" w:eastAsia="en-US"/>
              </w:rPr>
              <w:t>25</w:t>
            </w:r>
          </w:p>
        </w:tc>
        <w:tc>
          <w:tcPr>
            <w:tcW w:w="593"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lang w:val="en-US" w:eastAsia="en-US"/>
              </w:rPr>
              <w:t> </w:t>
            </w:r>
            <w:r>
              <w:rPr>
                <w:sz w:val="18"/>
                <w:szCs w:val="18"/>
                <w:lang w:val="en-US" w:eastAsia="en-US"/>
              </w:rPr>
              <w:t>7</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lang w:val="en-US" w:eastAsia="en-US"/>
              </w:rPr>
              <w:t> </w:t>
            </w:r>
            <w:r>
              <w:rPr>
                <w:sz w:val="18"/>
                <w:szCs w:val="18"/>
                <w:lang w:val="en-US" w:eastAsia="en-US"/>
              </w:rPr>
              <w:t>3</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lang w:val="en-US" w:eastAsia="en-US"/>
              </w:rPr>
              <w:t> </w:t>
            </w:r>
          </w:p>
        </w:tc>
        <w:tc>
          <w:tcPr>
            <w:tcW w:w="71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1 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lang w:val="en-US" w:eastAsia="en-US"/>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lang w:val="en-US" w:eastAsia="en-US"/>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lang w:val="en-US" w:eastAsia="en-US"/>
              </w:rPr>
              <w:t> </w:t>
            </w:r>
          </w:p>
        </w:tc>
        <w:tc>
          <w:tcPr>
            <w:tcW w:w="849"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sz w:val="18"/>
                <w:szCs w:val="18"/>
                <w:lang w:val="en-US" w:eastAsia="en-US"/>
              </w:rPr>
              <w:t>36</w:t>
            </w:r>
          </w:p>
        </w:tc>
        <w:tc>
          <w:tcPr>
            <w:tcW w:w="3076" w:type="dxa"/>
            <w:gridSpan w:val="11"/>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234" w:hRule="atLeast"/>
        </w:trPr>
        <w:tc>
          <w:tcPr>
            <w:tcW w:w="70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180"/>
              <w:jc w:val="left"/>
              <w:textAlignment w:val="auto"/>
              <w:rPr>
                <w:lang w:val="en-US"/>
              </w:rPr>
            </w:pPr>
            <w:r>
              <w:rPr>
                <w:sz w:val="18"/>
                <w:szCs w:val="18"/>
                <w:lang w:val="en-US" w:eastAsia="en-US"/>
              </w:rPr>
              <w:t> </w:t>
            </w:r>
          </w:p>
        </w:tc>
        <w:tc>
          <w:tcPr>
            <w:tcW w:w="1421"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en-US"/>
              </w:rPr>
            </w:pPr>
            <w:r>
              <w:rPr>
                <w:sz w:val="18"/>
                <w:szCs w:val="18"/>
                <w:lang w:val="en-US" w:eastAsia="en-US"/>
              </w:rPr>
              <w:t>Femei</w:t>
            </w:r>
          </w:p>
        </w:tc>
        <w:tc>
          <w:tcPr>
            <w:tcW w:w="708" w:type="dxa"/>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180"/>
              <w:jc w:val="left"/>
              <w:textAlignment w:val="auto"/>
              <w:rPr>
                <w:lang w:val="en-US"/>
              </w:rPr>
            </w:pPr>
            <w:r>
              <w:rPr>
                <w:sz w:val="18"/>
                <w:szCs w:val="18"/>
                <w:lang w:val="en-US" w:eastAsia="en-US"/>
              </w:rPr>
              <w:t>10</w:t>
            </w:r>
          </w:p>
        </w:tc>
        <w:tc>
          <w:tcPr>
            <w:tcW w:w="567"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18"/>
                <w:szCs w:val="18"/>
                <w:lang w:val="en-US" w:eastAsia="en-US"/>
              </w:rPr>
              <w:t>10</w:t>
            </w:r>
          </w:p>
        </w:tc>
        <w:tc>
          <w:tcPr>
            <w:tcW w:w="540"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lang w:val="en-US" w:eastAsia="en-US"/>
              </w:rPr>
              <w:t> </w:t>
            </w:r>
            <w:r>
              <w:rPr>
                <w:sz w:val="18"/>
                <w:szCs w:val="18"/>
                <w:lang w:val="en-US" w:eastAsia="en-US"/>
              </w:rPr>
              <w:t>8</w:t>
            </w:r>
          </w:p>
        </w:tc>
        <w:tc>
          <w:tcPr>
            <w:tcW w:w="593"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lang w:val="en-US" w:eastAsia="en-US"/>
              </w:rPr>
              <w:t> </w:t>
            </w:r>
            <w:r>
              <w:rPr>
                <w:sz w:val="18"/>
                <w:szCs w:val="18"/>
                <w:lang w:val="en-US" w:eastAsia="en-US"/>
              </w:rPr>
              <w:t>1</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lang w:val="en-US" w:eastAsia="en-US"/>
              </w:rPr>
              <w:t> </w:t>
            </w:r>
            <w:r>
              <w:rPr>
                <w:sz w:val="18"/>
                <w:szCs w:val="18"/>
                <w:lang w:val="en-US" w:eastAsia="en-US"/>
              </w:rPr>
              <w:t>1</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lang w:val="en-US" w:eastAsia="en-US"/>
              </w:rPr>
              <w:t> </w:t>
            </w:r>
          </w:p>
        </w:tc>
        <w:tc>
          <w:tcPr>
            <w:tcW w:w="71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lang w:val="en-US" w:eastAsia="en-US"/>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lang w:val="en-US" w:eastAsia="en-US"/>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lang w:val="en-US" w:eastAsia="en-US"/>
              </w:rPr>
              <w:t> </w:t>
            </w:r>
          </w:p>
        </w:tc>
        <w:tc>
          <w:tcPr>
            <w:tcW w:w="849"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18"/>
                <w:szCs w:val="18"/>
                <w:lang w:val="en-US" w:eastAsia="en-US"/>
              </w:rPr>
              <w:t>10</w:t>
            </w:r>
          </w:p>
        </w:tc>
        <w:tc>
          <w:tcPr>
            <w:tcW w:w="3076" w:type="dxa"/>
            <w:gridSpan w:val="11"/>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315" w:hRule="atLeast"/>
        </w:trPr>
        <w:tc>
          <w:tcPr>
            <w:tcW w:w="2127"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180"/>
              <w:jc w:val="left"/>
              <w:textAlignment w:val="auto"/>
              <w:rPr>
                <w:lang w:val="en-US"/>
              </w:rPr>
            </w:pPr>
            <w:r>
              <w:rPr>
                <w:rFonts w:cs="Times New Roman CE" w:ascii="Times New Roman CE" w:hAnsi="Times New Roman CE"/>
                <w:sz w:val="18"/>
                <w:szCs w:val="18"/>
                <w:lang w:val="en-US" w:eastAsia="en-US"/>
              </w:rPr>
              <w:t xml:space="preserve">Ingineri şi specialişti cu </w:t>
            </w:r>
            <w:r>
              <w:rPr>
                <w:color w:val="000000"/>
                <w:sz w:val="18"/>
                <w:szCs w:val="18"/>
                <w:lang w:val="en-US" w:eastAsia="en-US"/>
              </w:rPr>
              <w:t>studii superioare</w:t>
            </w:r>
            <w:r>
              <w:rPr>
                <w:sz w:val="18"/>
                <w:szCs w:val="18"/>
                <w:lang w:val="en-US" w:eastAsia="en-US"/>
              </w:rPr>
              <w:t xml:space="preserve"> </w:t>
            </w:r>
          </w:p>
        </w:tc>
        <w:tc>
          <w:tcPr>
            <w:tcW w:w="708"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180"/>
              <w:jc w:val="left"/>
              <w:textAlignment w:val="auto"/>
              <w:rPr/>
            </w:pPr>
            <w:r>
              <w:rPr>
                <w:sz w:val="18"/>
                <w:szCs w:val="18"/>
                <w:lang w:val="en-US" w:eastAsia="en-US"/>
              </w:rPr>
              <w:t>27</w:t>
            </w:r>
          </w:p>
        </w:tc>
        <w:tc>
          <w:tcPr>
            <w:tcW w:w="567"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18"/>
                <w:szCs w:val="18"/>
                <w:lang w:val="en-US" w:eastAsia="en-US"/>
              </w:rPr>
              <w:t>23</w:t>
            </w:r>
          </w:p>
        </w:tc>
        <w:tc>
          <w:tcPr>
            <w:tcW w:w="540"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18"/>
                <w:szCs w:val="18"/>
                <w:lang w:val="en-US" w:eastAsia="en-US"/>
              </w:rPr>
              <w:t>11</w:t>
            </w:r>
          </w:p>
        </w:tc>
        <w:tc>
          <w:tcPr>
            <w:tcW w:w="593"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18"/>
                <w:szCs w:val="18"/>
                <w:lang w:val="en-US" w:eastAsia="en-US"/>
              </w:rPr>
              <w:t>3</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lang w:val="en-US" w:eastAsia="en-US"/>
              </w:rPr>
              <w:t>1</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18"/>
                <w:szCs w:val="18"/>
                <w:lang w:val="en-US" w:eastAsia="en-US"/>
              </w:rPr>
              <w:t>1</w:t>
            </w:r>
          </w:p>
        </w:tc>
        <w:tc>
          <w:tcPr>
            <w:tcW w:w="710"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lang w:val="en-US" w:eastAsia="en-US"/>
              </w:rPr>
              <w:t>3</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lang w:val="en-US" w:eastAsia="en-US"/>
              </w:rPr>
              <w:t>4</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sz w:val="18"/>
                <w:szCs w:val="18"/>
                <w:lang w:val="en-US" w:eastAsia="en-US"/>
              </w:rPr>
            </w:pPr>
            <w:r>
              <w:rPr>
                <w:sz w:val="18"/>
                <w:szCs w:val="18"/>
                <w:lang w:val="en-US" w:eastAsia="en-US"/>
              </w:rPr>
            </w:r>
          </w:p>
        </w:tc>
        <w:tc>
          <w:tcPr>
            <w:tcW w:w="567"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18"/>
                <w:szCs w:val="18"/>
                <w:lang w:val="en-US" w:eastAsia="en-US"/>
              </w:rPr>
              <w:t>8</w:t>
            </w:r>
          </w:p>
        </w:tc>
        <w:tc>
          <w:tcPr>
            <w:tcW w:w="567"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sz w:val="18"/>
                <w:szCs w:val="18"/>
                <w:lang w:val="en-US" w:eastAsia="en-US"/>
              </w:rPr>
            </w:pPr>
            <w:r>
              <w:rPr>
                <w:sz w:val="18"/>
                <w:szCs w:val="18"/>
                <w:lang w:val="en-US" w:eastAsia="en-US"/>
              </w:rPr>
            </w:r>
          </w:p>
        </w:tc>
        <w:tc>
          <w:tcPr>
            <w:tcW w:w="849"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18"/>
                <w:szCs w:val="18"/>
                <w:lang w:val="en-US" w:eastAsia="en-US"/>
              </w:rPr>
              <w:t>31</w:t>
            </w:r>
          </w:p>
        </w:tc>
        <w:tc>
          <w:tcPr>
            <w:tcW w:w="3076" w:type="dxa"/>
            <w:gridSpan w:val="11"/>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115" w:hRule="atLeast"/>
        </w:trPr>
        <w:tc>
          <w:tcPr>
            <w:tcW w:w="70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180"/>
              <w:jc w:val="left"/>
              <w:textAlignment w:val="auto"/>
              <w:rPr>
                <w:lang w:val="en-US"/>
              </w:rPr>
            </w:pPr>
            <w:r>
              <w:rPr>
                <w:sz w:val="18"/>
                <w:szCs w:val="18"/>
                <w:lang w:val="en-US" w:eastAsia="en-US"/>
              </w:rPr>
              <w:t> </w:t>
            </w:r>
          </w:p>
        </w:tc>
        <w:tc>
          <w:tcPr>
            <w:tcW w:w="1421"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180"/>
              <w:jc w:val="left"/>
              <w:textAlignment w:val="auto"/>
              <w:rPr>
                <w:lang w:val="en-US"/>
              </w:rPr>
            </w:pPr>
            <w:r>
              <w:rPr>
                <w:sz w:val="18"/>
                <w:szCs w:val="18"/>
                <w:lang w:val="en-US" w:eastAsia="en-US"/>
              </w:rPr>
              <w:t>Femei</w:t>
            </w:r>
          </w:p>
        </w:tc>
        <w:tc>
          <w:tcPr>
            <w:tcW w:w="708" w:type="dxa"/>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180"/>
              <w:jc w:val="left"/>
              <w:textAlignment w:val="auto"/>
              <w:rPr>
                <w:lang w:val="en-US"/>
              </w:rPr>
            </w:pPr>
            <w:r>
              <w:rPr>
                <w:sz w:val="18"/>
                <w:szCs w:val="18"/>
                <w:lang w:val="en-US" w:eastAsia="en-US"/>
              </w:rPr>
              <w:t>9,3</w:t>
            </w:r>
          </w:p>
        </w:tc>
        <w:tc>
          <w:tcPr>
            <w:tcW w:w="567"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18"/>
                <w:szCs w:val="18"/>
                <w:lang w:val="en-US" w:eastAsia="en-US"/>
              </w:rPr>
              <w:t>14</w:t>
            </w:r>
          </w:p>
        </w:tc>
        <w:tc>
          <w:tcPr>
            <w:tcW w:w="540"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4</w:t>
            </w:r>
          </w:p>
        </w:tc>
        <w:tc>
          <w:tcPr>
            <w:tcW w:w="593"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1 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18"/>
                <w:szCs w:val="18"/>
                <w:lang w:val="en-US" w:eastAsia="en-US"/>
              </w:rPr>
            </w:pPr>
            <w:r>
              <w:rPr>
                <w:sz w:val="18"/>
                <w:szCs w:val="18"/>
                <w:lang w:val="en-US" w:eastAsia="en-US"/>
              </w:rPr>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lang w:val="en-US" w:eastAsia="en-US"/>
              </w:rPr>
              <w:t> </w:t>
            </w:r>
          </w:p>
        </w:tc>
        <w:tc>
          <w:tcPr>
            <w:tcW w:w="71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lang w:val="en-US" w:eastAsia="en-US"/>
              </w:rPr>
              <w:t>2</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lang w:val="en-US" w:eastAsia="en-US"/>
              </w:rPr>
              <w:t>3</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4</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3</w:t>
            </w:r>
          </w:p>
        </w:tc>
        <w:tc>
          <w:tcPr>
            <w:tcW w:w="567"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lang w:val="en-US" w:eastAsia="en-US"/>
              </w:rPr>
              <w:t> </w:t>
            </w:r>
          </w:p>
        </w:tc>
        <w:tc>
          <w:tcPr>
            <w:tcW w:w="849"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18"/>
                <w:szCs w:val="18"/>
                <w:lang w:val="en-US" w:eastAsia="en-US"/>
              </w:rPr>
              <w:t>17</w:t>
            </w:r>
          </w:p>
        </w:tc>
        <w:tc>
          <w:tcPr>
            <w:tcW w:w="3076" w:type="dxa"/>
            <w:gridSpan w:val="11"/>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175" w:hRule="atLeast"/>
        </w:trPr>
        <w:tc>
          <w:tcPr>
            <w:tcW w:w="2127"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180"/>
              <w:jc w:val="left"/>
              <w:textAlignment w:val="auto"/>
              <w:rPr>
                <w:lang w:val="en-US"/>
              </w:rPr>
            </w:pPr>
            <w:r>
              <w:rPr>
                <w:rFonts w:cs="Times New Roman CE" w:ascii="Times New Roman CE" w:hAnsi="Times New Roman CE"/>
                <w:sz w:val="18"/>
                <w:szCs w:val="18"/>
                <w:lang w:val="en-US" w:eastAsia="en-US"/>
              </w:rPr>
              <w:t xml:space="preserve">Tehnicieni, laboranţi </w:t>
            </w:r>
          </w:p>
        </w:tc>
        <w:tc>
          <w:tcPr>
            <w:tcW w:w="708"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180"/>
              <w:jc w:val="left"/>
              <w:textAlignment w:val="auto"/>
              <w:rPr>
                <w:lang w:val="en-US"/>
              </w:rPr>
            </w:pPr>
            <w:r>
              <w:rPr>
                <w:sz w:val="18"/>
                <w:szCs w:val="18"/>
                <w:lang w:val="en-US" w:eastAsia="en-US"/>
              </w:rPr>
              <w:t> </w:t>
            </w:r>
          </w:p>
        </w:tc>
        <w:tc>
          <w:tcPr>
            <w:tcW w:w="567"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18"/>
                <w:szCs w:val="18"/>
                <w:lang w:val="en-US" w:eastAsia="en-US"/>
              </w:rPr>
              <w:t>0</w:t>
            </w:r>
          </w:p>
        </w:tc>
        <w:tc>
          <w:tcPr>
            <w:tcW w:w="540"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593"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71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18"/>
                <w:szCs w:val="18"/>
                <w:lang w:val="en-US" w:eastAsia="en-US"/>
              </w:rPr>
              <w:t> </w:t>
            </w:r>
          </w:p>
        </w:tc>
        <w:tc>
          <w:tcPr>
            <w:tcW w:w="849"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18"/>
                <w:szCs w:val="18"/>
                <w:lang w:val="en-US" w:eastAsia="en-US"/>
              </w:rPr>
              <w:t>0</w:t>
            </w:r>
          </w:p>
        </w:tc>
        <w:tc>
          <w:tcPr>
            <w:tcW w:w="3076" w:type="dxa"/>
            <w:gridSpan w:val="11"/>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236" w:hRule="atLeast"/>
        </w:trPr>
        <w:tc>
          <w:tcPr>
            <w:tcW w:w="70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180"/>
              <w:jc w:val="left"/>
              <w:textAlignment w:val="auto"/>
              <w:rPr>
                <w:lang w:val="en-US"/>
              </w:rPr>
            </w:pPr>
            <w:r>
              <w:rPr>
                <w:sz w:val="18"/>
                <w:szCs w:val="18"/>
                <w:lang w:val="en-US" w:eastAsia="en-US"/>
              </w:rPr>
              <w:t> </w:t>
            </w:r>
          </w:p>
        </w:tc>
        <w:tc>
          <w:tcPr>
            <w:tcW w:w="1421"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180"/>
              <w:jc w:val="left"/>
              <w:textAlignment w:val="auto"/>
              <w:rPr>
                <w:lang w:val="en-US"/>
              </w:rPr>
            </w:pPr>
            <w:r>
              <w:rPr>
                <w:sz w:val="18"/>
                <w:szCs w:val="18"/>
                <w:lang w:val="en-US" w:eastAsia="en-US"/>
              </w:rPr>
              <w:t>Femei</w:t>
            </w:r>
          </w:p>
        </w:tc>
        <w:tc>
          <w:tcPr>
            <w:tcW w:w="708" w:type="dxa"/>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180"/>
              <w:jc w:val="left"/>
              <w:textAlignment w:val="auto"/>
              <w:rPr>
                <w:lang w:val="en-US"/>
              </w:rPr>
            </w:pPr>
            <w:r>
              <w:rPr>
                <w:sz w:val="18"/>
                <w:szCs w:val="18"/>
                <w:lang w:val="en-US" w:eastAsia="en-US"/>
              </w:rPr>
              <w:t> </w:t>
            </w:r>
          </w:p>
        </w:tc>
        <w:tc>
          <w:tcPr>
            <w:tcW w:w="567"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18"/>
                <w:szCs w:val="18"/>
                <w:lang w:val="en-US" w:eastAsia="en-US"/>
              </w:rPr>
              <w:t>0</w:t>
            </w:r>
          </w:p>
        </w:tc>
        <w:tc>
          <w:tcPr>
            <w:tcW w:w="540"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593"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18"/>
                <w:szCs w:val="18"/>
                <w:lang w:val="en-US" w:eastAsia="en-US"/>
              </w:rPr>
            </w:pPr>
            <w:r>
              <w:rPr>
                <w:sz w:val="18"/>
                <w:szCs w:val="18"/>
                <w:lang w:val="en-US" w:eastAsia="en-US"/>
              </w:rPr>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71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18"/>
                <w:szCs w:val="18"/>
                <w:lang w:val="en-US" w:eastAsia="en-US"/>
              </w:rPr>
              <w:t> </w:t>
            </w:r>
          </w:p>
        </w:tc>
        <w:tc>
          <w:tcPr>
            <w:tcW w:w="849"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18"/>
                <w:szCs w:val="18"/>
                <w:lang w:val="en-US" w:eastAsia="en-US"/>
              </w:rPr>
              <w:t>0</w:t>
            </w:r>
          </w:p>
        </w:tc>
        <w:tc>
          <w:tcPr>
            <w:tcW w:w="3076" w:type="dxa"/>
            <w:gridSpan w:val="11"/>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175" w:hRule="atLeast"/>
        </w:trPr>
        <w:tc>
          <w:tcPr>
            <w:tcW w:w="2127"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eastAsia="en-US"/>
              </w:rPr>
              <w:t xml:space="preserve">Alte categorii de salariaţi </w:t>
            </w:r>
          </w:p>
        </w:tc>
        <w:tc>
          <w:tcPr>
            <w:tcW w:w="708"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180"/>
              <w:jc w:val="left"/>
              <w:textAlignment w:val="auto"/>
              <w:rPr>
                <w:lang w:val="en-US"/>
              </w:rPr>
            </w:pPr>
            <w:r>
              <w:rPr>
                <w:sz w:val="18"/>
                <w:szCs w:val="18"/>
                <w:lang w:val="en-US" w:eastAsia="en-US"/>
              </w:rPr>
              <w:t>7</w:t>
            </w:r>
          </w:p>
        </w:tc>
        <w:tc>
          <w:tcPr>
            <w:tcW w:w="567"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18"/>
                <w:szCs w:val="18"/>
                <w:lang w:val="en-US" w:eastAsia="en-US"/>
              </w:rPr>
              <w:t>7</w:t>
            </w:r>
          </w:p>
        </w:tc>
        <w:tc>
          <w:tcPr>
            <w:tcW w:w="540"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lang w:val="en-US" w:eastAsia="en-US"/>
              </w:rPr>
              <w:t> </w:t>
            </w:r>
          </w:p>
        </w:tc>
        <w:tc>
          <w:tcPr>
            <w:tcW w:w="593"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18"/>
                <w:szCs w:val="18"/>
                <w:lang w:val="en-US" w:eastAsia="en-US"/>
              </w:rPr>
            </w:pPr>
            <w:r>
              <w:rPr>
                <w:sz w:val="18"/>
                <w:szCs w:val="18"/>
                <w:lang w:val="en-US" w:eastAsia="en-US"/>
              </w:rPr>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18"/>
                <w:szCs w:val="18"/>
                <w:lang w:val="en-US" w:eastAsia="en-US"/>
              </w:rPr>
            </w:pPr>
            <w:r>
              <w:rPr>
                <w:sz w:val="18"/>
                <w:szCs w:val="18"/>
                <w:lang w:val="en-US" w:eastAsia="en-US"/>
              </w:rPr>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lang w:val="en-US" w:eastAsia="en-US"/>
              </w:rPr>
              <w:t>2</w:t>
            </w:r>
          </w:p>
        </w:tc>
        <w:tc>
          <w:tcPr>
            <w:tcW w:w="71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2 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3</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lang w:val="en-US" w:eastAsia="en-US"/>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lang w:val="en-US" w:eastAsia="en-US"/>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lang w:val="en-US" w:eastAsia="en-US"/>
              </w:rPr>
              <w:t> </w:t>
            </w:r>
          </w:p>
        </w:tc>
        <w:tc>
          <w:tcPr>
            <w:tcW w:w="849"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18"/>
                <w:szCs w:val="18"/>
                <w:lang w:val="en-US" w:eastAsia="en-US"/>
              </w:rPr>
              <w:t>7</w:t>
            </w:r>
          </w:p>
        </w:tc>
        <w:tc>
          <w:tcPr>
            <w:tcW w:w="3076" w:type="dxa"/>
            <w:gridSpan w:val="11"/>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80" w:hRule="atLeast"/>
        </w:trPr>
        <w:tc>
          <w:tcPr>
            <w:tcW w:w="70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180"/>
              <w:jc w:val="left"/>
              <w:textAlignment w:val="auto"/>
              <w:rPr>
                <w:lang w:val="en-US"/>
              </w:rPr>
            </w:pPr>
            <w:r>
              <w:rPr>
                <w:sz w:val="18"/>
                <w:szCs w:val="18"/>
                <w:lang w:val="en-US" w:eastAsia="en-US"/>
              </w:rPr>
              <w:t> </w:t>
            </w:r>
          </w:p>
        </w:tc>
        <w:tc>
          <w:tcPr>
            <w:tcW w:w="1421"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180"/>
              <w:jc w:val="left"/>
              <w:textAlignment w:val="auto"/>
              <w:rPr>
                <w:lang w:val="en-US"/>
              </w:rPr>
            </w:pPr>
            <w:r>
              <w:rPr>
                <w:sz w:val="18"/>
                <w:szCs w:val="18"/>
                <w:lang w:val="en-US" w:eastAsia="en-US"/>
              </w:rPr>
              <w:t>Femei</w:t>
            </w:r>
          </w:p>
        </w:tc>
        <w:tc>
          <w:tcPr>
            <w:tcW w:w="708" w:type="dxa"/>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180"/>
              <w:jc w:val="left"/>
              <w:textAlignment w:val="auto"/>
              <w:rPr>
                <w:lang w:val="en-US"/>
              </w:rPr>
            </w:pPr>
            <w:r>
              <w:rPr>
                <w:sz w:val="18"/>
                <w:szCs w:val="18"/>
                <w:lang w:val="en-US" w:eastAsia="en-US"/>
              </w:rPr>
              <w:t>3</w:t>
            </w:r>
          </w:p>
        </w:tc>
        <w:tc>
          <w:tcPr>
            <w:tcW w:w="567"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18"/>
                <w:szCs w:val="18"/>
                <w:lang w:val="en-US" w:eastAsia="en-US"/>
              </w:rPr>
              <w:t>3</w:t>
            </w:r>
          </w:p>
        </w:tc>
        <w:tc>
          <w:tcPr>
            <w:tcW w:w="540"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lang w:val="en-US" w:eastAsia="en-US"/>
              </w:rPr>
              <w:t> </w:t>
            </w:r>
          </w:p>
        </w:tc>
        <w:tc>
          <w:tcPr>
            <w:tcW w:w="593"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18"/>
                <w:szCs w:val="18"/>
                <w:lang w:val="en-US" w:eastAsia="en-US"/>
              </w:rPr>
            </w:pPr>
            <w:r>
              <w:rPr>
                <w:sz w:val="18"/>
                <w:szCs w:val="18"/>
                <w:lang w:val="en-US" w:eastAsia="en-US"/>
              </w:rPr>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lang w:val="en-US" w:eastAsia="en-US"/>
              </w:rPr>
              <w:t>1</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18"/>
                <w:szCs w:val="18"/>
                <w:lang w:val="en-US" w:eastAsia="en-US"/>
              </w:rPr>
            </w:pPr>
            <w:r>
              <w:rPr>
                <w:sz w:val="18"/>
                <w:szCs w:val="18"/>
                <w:lang w:val="en-US" w:eastAsia="en-US"/>
              </w:rPr>
            </w:r>
          </w:p>
        </w:tc>
        <w:tc>
          <w:tcPr>
            <w:tcW w:w="71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lang w:val="en-US" w:eastAsia="en-US"/>
              </w:rPr>
              <w:t>2</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lang w:val="en-US" w:eastAsia="en-US"/>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lang w:val="en-US" w:eastAsia="en-US"/>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lang w:val="en-US" w:eastAsia="en-US"/>
              </w:rPr>
              <w:t> </w:t>
            </w:r>
          </w:p>
        </w:tc>
        <w:tc>
          <w:tcPr>
            <w:tcW w:w="849"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18"/>
                <w:szCs w:val="18"/>
                <w:lang w:val="en-US" w:eastAsia="en-US"/>
              </w:rPr>
              <w:t>3</w:t>
            </w:r>
          </w:p>
        </w:tc>
        <w:tc>
          <w:tcPr>
            <w:tcW w:w="3076" w:type="dxa"/>
            <w:gridSpan w:val="11"/>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139" w:hRule="atLeast"/>
        </w:trPr>
        <w:tc>
          <w:tcPr>
            <w:tcW w:w="2127"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181"/>
              <w:jc w:val="left"/>
              <w:textAlignment w:val="auto"/>
              <w:rPr>
                <w:lang w:val="en-US"/>
              </w:rPr>
            </w:pPr>
            <w:r>
              <w:rPr>
                <w:b/>
                <w:bCs/>
                <w:sz w:val="18"/>
                <w:szCs w:val="18"/>
                <w:lang w:val="en-US" w:eastAsia="en-US"/>
              </w:rPr>
              <w:t>Total</w:t>
            </w:r>
          </w:p>
        </w:tc>
        <w:tc>
          <w:tcPr>
            <w:tcW w:w="708"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181"/>
              <w:jc w:val="right"/>
              <w:textAlignment w:val="auto"/>
              <w:rPr>
                <w:lang w:val="en-US"/>
              </w:rPr>
            </w:pPr>
            <w:r>
              <w:rPr>
                <w:b/>
                <w:bCs/>
                <w:sz w:val="18"/>
                <w:szCs w:val="18"/>
                <w:lang w:val="en-US" w:eastAsia="en-US"/>
              </w:rPr>
              <w:t>79 </w:t>
            </w:r>
          </w:p>
        </w:tc>
        <w:tc>
          <w:tcPr>
            <w:tcW w:w="567"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18"/>
                <w:szCs w:val="18"/>
                <w:lang w:val="en-US" w:eastAsia="en-US"/>
              </w:rPr>
              <w:t>73</w:t>
            </w:r>
          </w:p>
        </w:tc>
        <w:tc>
          <w:tcPr>
            <w:tcW w:w="540"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18"/>
                <w:szCs w:val="18"/>
                <w:lang w:val="en-US" w:eastAsia="en-US"/>
              </w:rPr>
              <w:t>13</w:t>
            </w:r>
          </w:p>
        </w:tc>
        <w:tc>
          <w:tcPr>
            <w:tcW w:w="593"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18"/>
                <w:szCs w:val="18"/>
                <w:lang w:val="en-US" w:eastAsia="en-US"/>
              </w:rPr>
              <w:t>7</w:t>
            </w:r>
          </w:p>
        </w:tc>
        <w:tc>
          <w:tcPr>
            <w:tcW w:w="567"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18"/>
                <w:szCs w:val="18"/>
                <w:lang w:val="en-US" w:eastAsia="en-US"/>
              </w:rPr>
              <w:t>7</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18"/>
                <w:szCs w:val="18"/>
                <w:lang w:val="en-US" w:eastAsia="en-US"/>
              </w:rPr>
              <w:t>9</w:t>
            </w:r>
          </w:p>
        </w:tc>
        <w:tc>
          <w:tcPr>
            <w:tcW w:w="710"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18"/>
                <w:szCs w:val="18"/>
                <w:lang w:val="en-US" w:eastAsia="en-US"/>
              </w:rPr>
              <w:t>17</w:t>
            </w:r>
          </w:p>
        </w:tc>
        <w:tc>
          <w:tcPr>
            <w:tcW w:w="567"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18"/>
                <w:szCs w:val="18"/>
                <w:lang w:val="en-US" w:eastAsia="en-US"/>
              </w:rPr>
              <w:t>20</w:t>
            </w:r>
          </w:p>
        </w:tc>
        <w:tc>
          <w:tcPr>
            <w:tcW w:w="567"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18"/>
                <w:szCs w:val="18"/>
                <w:lang w:val="en-US" w:eastAsia="en-US"/>
              </w:rPr>
              <w:t>3</w:t>
            </w:r>
          </w:p>
        </w:tc>
        <w:tc>
          <w:tcPr>
            <w:tcW w:w="567" w:type="dxa"/>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18"/>
                <w:szCs w:val="18"/>
                <w:lang w:val="en-US" w:eastAsia="en-US"/>
              </w:rPr>
              <w:t>19</w:t>
            </w:r>
          </w:p>
        </w:tc>
        <w:tc>
          <w:tcPr>
            <w:tcW w:w="567" w:type="dxa"/>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18"/>
                <w:szCs w:val="18"/>
                <w:lang w:val="en-US" w:eastAsia="en-US"/>
              </w:rPr>
              <w:t>0</w:t>
            </w:r>
          </w:p>
        </w:tc>
        <w:tc>
          <w:tcPr>
            <w:tcW w:w="849"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18"/>
                <w:szCs w:val="18"/>
                <w:lang w:val="en-US" w:eastAsia="en-US"/>
              </w:rPr>
              <w:t>92</w:t>
            </w:r>
          </w:p>
        </w:tc>
        <w:tc>
          <w:tcPr>
            <w:tcW w:w="3076" w:type="dxa"/>
            <w:gridSpan w:val="11"/>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199" w:hRule="atLeast"/>
        </w:trPr>
        <w:tc>
          <w:tcPr>
            <w:tcW w:w="70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180"/>
              <w:jc w:val="left"/>
              <w:textAlignment w:val="auto"/>
              <w:rPr>
                <w:lang w:val="en-US"/>
              </w:rPr>
            </w:pPr>
            <w:r>
              <w:rPr>
                <w:sz w:val="18"/>
                <w:szCs w:val="18"/>
                <w:lang w:val="en-US" w:eastAsia="en-US"/>
              </w:rPr>
              <w:t> </w:t>
            </w:r>
          </w:p>
        </w:tc>
        <w:tc>
          <w:tcPr>
            <w:tcW w:w="1421"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181"/>
              <w:jc w:val="left"/>
              <w:textAlignment w:val="auto"/>
              <w:rPr>
                <w:lang w:val="en-US"/>
              </w:rPr>
            </w:pPr>
            <w:r>
              <w:rPr>
                <w:b/>
                <w:bCs/>
                <w:sz w:val="18"/>
                <w:szCs w:val="18"/>
                <w:lang w:val="en-US" w:eastAsia="en-US"/>
              </w:rPr>
              <w:t>Total femei</w:t>
            </w:r>
          </w:p>
        </w:tc>
        <w:tc>
          <w:tcPr>
            <w:tcW w:w="708" w:type="dxa"/>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180"/>
              <w:jc w:val="left"/>
              <w:textAlignment w:val="auto"/>
              <w:rPr>
                <w:lang w:val="en-US"/>
              </w:rPr>
            </w:pPr>
            <w:r>
              <w:rPr>
                <w:sz w:val="18"/>
                <w:szCs w:val="18"/>
                <w:lang w:val="en-US" w:eastAsia="en-US"/>
              </w:rPr>
              <w:t> </w:t>
            </w:r>
          </w:p>
        </w:tc>
        <w:tc>
          <w:tcPr>
            <w:tcW w:w="567"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18"/>
                <w:szCs w:val="18"/>
                <w:lang w:val="en-US" w:eastAsia="en-US"/>
              </w:rPr>
              <w:t>30</w:t>
            </w:r>
          </w:p>
        </w:tc>
        <w:tc>
          <w:tcPr>
            <w:tcW w:w="540"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18"/>
                <w:szCs w:val="18"/>
                <w:lang w:val="en-US" w:eastAsia="en-US"/>
              </w:rPr>
              <w:t>4</w:t>
            </w:r>
          </w:p>
        </w:tc>
        <w:tc>
          <w:tcPr>
            <w:tcW w:w="593"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18"/>
                <w:szCs w:val="18"/>
                <w:lang w:val="en-US" w:eastAsia="en-US"/>
              </w:rPr>
              <w:t>4</w:t>
            </w:r>
          </w:p>
        </w:tc>
        <w:tc>
          <w:tcPr>
            <w:tcW w:w="567"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18"/>
                <w:szCs w:val="18"/>
                <w:lang w:val="en-US" w:eastAsia="en-US"/>
              </w:rPr>
              <w:t>5</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18"/>
                <w:szCs w:val="18"/>
                <w:lang w:val="en-US" w:eastAsia="en-US"/>
              </w:rPr>
              <w:t>4</w:t>
            </w:r>
          </w:p>
        </w:tc>
        <w:tc>
          <w:tcPr>
            <w:tcW w:w="710"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18"/>
                <w:szCs w:val="18"/>
                <w:lang w:val="en-US" w:eastAsia="en-US"/>
              </w:rPr>
              <w:t>5</w:t>
            </w:r>
          </w:p>
        </w:tc>
        <w:tc>
          <w:tcPr>
            <w:tcW w:w="567"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18"/>
                <w:szCs w:val="18"/>
                <w:lang w:val="en-US" w:eastAsia="en-US"/>
              </w:rPr>
              <w:t>8</w:t>
            </w:r>
          </w:p>
        </w:tc>
        <w:tc>
          <w:tcPr>
            <w:tcW w:w="567"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rFonts w:ascii="Times New Roman" w:hAnsi="Times New Roman"/>
                <w:sz w:val="18"/>
                <w:szCs w:val="18"/>
                <w:lang w:val="en-US" w:eastAsia="en-US"/>
              </w:rPr>
            </w:pPr>
            <w:r>
              <w:rPr>
                <w:sz w:val="18"/>
                <w:szCs w:val="18"/>
                <w:lang w:val="en-US" w:eastAsia="en-US"/>
              </w:rPr>
            </w:r>
          </w:p>
        </w:tc>
        <w:tc>
          <w:tcPr>
            <w:tcW w:w="567" w:type="dxa"/>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18"/>
                <w:szCs w:val="18"/>
                <w:lang w:val="en-US" w:eastAsia="en-US"/>
              </w:rPr>
              <w:t>3</w:t>
            </w:r>
          </w:p>
        </w:tc>
        <w:tc>
          <w:tcPr>
            <w:tcW w:w="567" w:type="dxa"/>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18"/>
                <w:szCs w:val="18"/>
                <w:lang w:val="en-US" w:eastAsia="en-US"/>
              </w:rPr>
              <w:t>0</w:t>
            </w:r>
          </w:p>
        </w:tc>
        <w:tc>
          <w:tcPr>
            <w:tcW w:w="849"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18"/>
                <w:szCs w:val="18"/>
                <w:lang w:val="en-US" w:eastAsia="en-US"/>
              </w:rPr>
              <w:t>33</w:t>
            </w:r>
          </w:p>
        </w:tc>
        <w:tc>
          <w:tcPr>
            <w:tcW w:w="3076" w:type="dxa"/>
            <w:gridSpan w:val="11"/>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259" w:hRule="atLeast"/>
        </w:trPr>
        <w:tc>
          <w:tcPr>
            <w:tcW w:w="2127"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sz w:val="18"/>
                <w:szCs w:val="18"/>
                <w:lang w:val="en-US" w:eastAsia="en-US"/>
              </w:rPr>
              <w:t>Din ei membrii academiei</w:t>
            </w:r>
          </w:p>
        </w:tc>
        <w:tc>
          <w:tcPr>
            <w:tcW w:w="708" w:type="dxa"/>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180"/>
              <w:jc w:val="left"/>
              <w:textAlignment w:val="auto"/>
              <w:rPr>
                <w:lang w:val="en-US"/>
              </w:rPr>
            </w:pPr>
            <w:r>
              <w:rPr>
                <w:sz w:val="18"/>
                <w:szCs w:val="18"/>
                <w:lang w:val="en-US" w:eastAsia="en-US"/>
              </w:rPr>
              <w:t>5</w:t>
            </w:r>
          </w:p>
        </w:tc>
        <w:tc>
          <w:tcPr>
            <w:tcW w:w="567"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18"/>
                <w:szCs w:val="18"/>
                <w:lang w:val="en-US" w:eastAsia="en-US"/>
              </w:rPr>
              <w:t>4</w:t>
            </w:r>
          </w:p>
        </w:tc>
        <w:tc>
          <w:tcPr>
            <w:tcW w:w="540"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593"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71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4</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1</w:t>
            </w:r>
          </w:p>
        </w:tc>
        <w:tc>
          <w:tcPr>
            <w:tcW w:w="567"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18"/>
                <w:szCs w:val="18"/>
                <w:lang w:val="en-US" w:eastAsia="en-US"/>
              </w:rPr>
              <w:t> </w:t>
            </w:r>
          </w:p>
        </w:tc>
        <w:tc>
          <w:tcPr>
            <w:tcW w:w="849"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18"/>
                <w:szCs w:val="18"/>
                <w:lang w:val="en-US" w:eastAsia="en-US"/>
              </w:rPr>
              <w:t>5</w:t>
            </w:r>
          </w:p>
        </w:tc>
        <w:tc>
          <w:tcPr>
            <w:tcW w:w="3076" w:type="dxa"/>
            <w:gridSpan w:val="11"/>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107" w:hRule="atLeast"/>
        </w:trPr>
        <w:tc>
          <w:tcPr>
            <w:tcW w:w="70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180"/>
              <w:jc w:val="left"/>
              <w:textAlignment w:val="auto"/>
              <w:rPr>
                <w:lang w:val="en-US"/>
              </w:rPr>
            </w:pPr>
            <w:r>
              <w:rPr>
                <w:sz w:val="18"/>
                <w:szCs w:val="18"/>
                <w:lang w:val="en-US" w:eastAsia="en-US"/>
              </w:rPr>
              <w:t> </w:t>
            </w:r>
          </w:p>
        </w:tc>
        <w:tc>
          <w:tcPr>
            <w:tcW w:w="1421"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180"/>
              <w:jc w:val="left"/>
              <w:textAlignment w:val="auto"/>
              <w:rPr>
                <w:lang w:val="en-US"/>
              </w:rPr>
            </w:pPr>
            <w:r>
              <w:rPr>
                <w:sz w:val="18"/>
                <w:szCs w:val="18"/>
                <w:lang w:val="en-US" w:eastAsia="en-US"/>
              </w:rPr>
              <w:t>Femei</w:t>
            </w:r>
          </w:p>
        </w:tc>
        <w:tc>
          <w:tcPr>
            <w:tcW w:w="708" w:type="dxa"/>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180"/>
              <w:jc w:val="left"/>
              <w:textAlignment w:val="auto"/>
              <w:rPr>
                <w:lang w:val="en-US"/>
              </w:rPr>
            </w:pPr>
            <w:r>
              <w:rPr>
                <w:sz w:val="18"/>
                <w:szCs w:val="18"/>
                <w:lang w:val="en-US" w:eastAsia="en-US"/>
              </w:rPr>
              <w:t> </w:t>
            </w:r>
          </w:p>
        </w:tc>
        <w:tc>
          <w:tcPr>
            <w:tcW w:w="567"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18"/>
                <w:szCs w:val="18"/>
                <w:lang w:val="en-US" w:eastAsia="en-US"/>
              </w:rPr>
              <w:t>0</w:t>
            </w:r>
          </w:p>
        </w:tc>
        <w:tc>
          <w:tcPr>
            <w:tcW w:w="540"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593"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71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18"/>
                <w:szCs w:val="18"/>
                <w:lang w:val="en-US" w:eastAsia="en-US"/>
              </w:rPr>
              <w:t> </w:t>
            </w:r>
          </w:p>
        </w:tc>
        <w:tc>
          <w:tcPr>
            <w:tcW w:w="849"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18"/>
                <w:szCs w:val="18"/>
                <w:lang w:val="en-US" w:eastAsia="en-US"/>
              </w:rPr>
              <w:t>0</w:t>
            </w:r>
          </w:p>
        </w:tc>
        <w:tc>
          <w:tcPr>
            <w:tcW w:w="3076" w:type="dxa"/>
            <w:gridSpan w:val="11"/>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270" w:hRule="atLeast"/>
        </w:trPr>
        <w:tc>
          <w:tcPr>
            <w:tcW w:w="6096" w:type="dxa"/>
            <w:gridSpan w:val="16"/>
            <w:tcBorders>
              <w:bottom w:val="single" w:sz="8" w:space="0" w:color="000001"/>
              <w:insideH w:val="single" w:sz="8" w:space="0" w:color="000001"/>
            </w:tcBorders>
            <w:shd w:fill="auto" w:val="clear"/>
            <w:vAlign w:val="bottom"/>
          </w:tcPr>
          <w:p>
            <w:pPr>
              <w:pStyle w:val="Normal"/>
              <w:widowControl/>
              <w:bidi w:val="0"/>
              <w:ind w:left="0" w:right="0" w:hanging="0"/>
              <w:jc w:val="center"/>
              <w:textAlignment w:val="auto"/>
              <w:rPr>
                <w:lang w:val="en-US"/>
              </w:rPr>
            </w:pPr>
            <w:r>
              <w:rPr>
                <w:b/>
                <w:bCs/>
                <w:sz w:val="18"/>
                <w:szCs w:val="18"/>
                <w:lang w:val="en-US" w:eastAsia="en-US"/>
              </w:rPr>
              <w:t>3.2. Retribuirea muncii colaboratorilor</w:t>
            </w:r>
          </w:p>
        </w:tc>
        <w:tc>
          <w:tcPr>
            <w:tcW w:w="1559" w:type="dxa"/>
            <w:gridSpan w:val="5"/>
            <w:tcBorders/>
            <w:shd w:fill="auto" w:val="clear"/>
            <w:vAlign w:val="bottom"/>
          </w:tcPr>
          <w:p>
            <w:pPr>
              <w:pStyle w:val="Normal"/>
              <w:widowControl/>
              <w:bidi w:val="0"/>
              <w:ind w:left="0" w:right="0" w:hanging="0"/>
              <w:jc w:val="center"/>
              <w:textAlignment w:val="auto"/>
              <w:rPr>
                <w:rFonts w:ascii="Times New Roman" w:hAnsi="Times New Roman"/>
                <w:b/>
                <w:b/>
                <w:bCs/>
                <w:sz w:val="18"/>
                <w:szCs w:val="18"/>
                <w:lang w:val="en-US" w:eastAsia="en-US"/>
              </w:rPr>
            </w:pPr>
            <w:r>
              <w:rPr>
                <w:b/>
                <w:bCs/>
                <w:sz w:val="18"/>
                <w:szCs w:val="18"/>
                <w:lang w:val="en-US" w:eastAsia="en-US"/>
              </w:rPr>
            </w:r>
          </w:p>
        </w:tc>
        <w:tc>
          <w:tcPr>
            <w:tcW w:w="567" w:type="dxa"/>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567" w:type="dxa"/>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849" w:type="dxa"/>
            <w:gridSpan w:val="2"/>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3076" w:type="dxa"/>
            <w:gridSpan w:val="11"/>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430" w:hRule="atLeast"/>
        </w:trPr>
        <w:tc>
          <w:tcPr>
            <w:tcW w:w="3118" w:type="dxa"/>
            <w:gridSpan w:val="5"/>
            <w:vMerge w:val="restart"/>
            <w:tcBorders>
              <w:top w:val="single" w:sz="8" w:space="0" w:color="000001"/>
              <w:left w:val="single" w:sz="8" w:space="0" w:color="000001"/>
              <w:bottom w:val="single" w:sz="8" w:space="0" w:color="000001"/>
              <w:right w:val="single" w:sz="4" w:space="0" w:color="000001"/>
              <w:insideH w:val="single" w:sz="8" w:space="0" w:color="000001"/>
              <w:insideV w:val="single" w:sz="4"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18"/>
                <w:szCs w:val="18"/>
                <w:lang w:val="en-US" w:eastAsia="en-US"/>
              </w:rPr>
              <w:t>Categorii de personal</w:t>
            </w:r>
          </w:p>
        </w:tc>
        <w:tc>
          <w:tcPr>
            <w:tcW w:w="4111" w:type="dxa"/>
            <w:gridSpan w:val="1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b/>
                <w:bCs/>
                <w:sz w:val="18"/>
                <w:szCs w:val="18"/>
                <w:lang w:val="en-US" w:eastAsia="en-US"/>
              </w:rPr>
              <w:t xml:space="preserve">Salariul mediu lunar calculat </w:t>
            </w:r>
            <w:r>
              <w:rPr/>
              <w:br/>
            </w:r>
            <w:r>
              <w:rPr>
                <w:rFonts w:cs="Times New Roman CE" w:ascii="Times New Roman CE" w:hAnsi="Times New Roman CE"/>
                <w:b/>
                <w:bCs/>
                <w:sz w:val="18"/>
                <w:szCs w:val="18"/>
                <w:lang w:val="en-US" w:eastAsia="en-US"/>
              </w:rPr>
              <w:t xml:space="preserve">(cu sporuri şi premii) </w:t>
            </w:r>
            <w:r>
              <w:rPr>
                <w:b/>
                <w:bCs/>
                <w:color w:val="FF0000"/>
                <w:sz w:val="18"/>
                <w:szCs w:val="18"/>
                <w:lang w:val="en-US" w:eastAsia="en-US"/>
              </w:rPr>
              <w:t xml:space="preserve"> per unitate</w:t>
            </w:r>
            <w:r>
              <w:rPr>
                <w:b/>
                <w:bCs/>
                <w:sz w:val="18"/>
                <w:szCs w:val="18"/>
                <w:lang w:val="en-US" w:eastAsia="en-US"/>
              </w:rPr>
              <w:t>, lei</w:t>
            </w:r>
          </w:p>
        </w:tc>
        <w:tc>
          <w:tcPr>
            <w:tcW w:w="3654" w:type="dxa"/>
            <w:gridSpan w:val="10"/>
            <w:tcBorders>
              <w:left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667"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786" w:type="dxa"/>
            <w:gridSpan w:val="2"/>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378" w:type="dxa"/>
            <w:vMerge w:val="restart"/>
            <w:tcBorders>
              <w:top w:val="single" w:sz="8" w:space="0" w:color="000001"/>
              <w:left w:val="single" w:sz="8" w:space="0" w:color="000001"/>
              <w:bottom w:val="single" w:sz="8" w:space="0" w:color="000001"/>
              <w:right w:val="single" w:sz="4" w:space="0" w:color="000001"/>
              <w:insideH w:val="single" w:sz="8" w:space="0" w:color="000001"/>
              <w:insideV w:val="single" w:sz="4" w:space="0" w:color="000001"/>
            </w:tcBorders>
            <w:shd w:fill="auto" w:val="clear"/>
            <w:tcMar>
              <w:left w:w="98" w:type="dxa"/>
            </w:tcMar>
            <w:vAlign w:val="bottom"/>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114" w:hRule="atLeast"/>
        </w:trPr>
        <w:tc>
          <w:tcPr>
            <w:tcW w:w="3118" w:type="dxa"/>
            <w:gridSpan w:val="5"/>
            <w:vMerge w:val="continue"/>
            <w:tcBorders>
              <w:top w:val="single" w:sz="8" w:space="0" w:color="000001"/>
              <w:left w:val="single" w:sz="8" w:space="0" w:color="000001"/>
              <w:bottom w:val="single" w:sz="8" w:space="0" w:color="000001"/>
              <w:right w:val="single" w:sz="4" w:space="0" w:color="000001"/>
              <w:insideH w:val="single" w:sz="8" w:space="0" w:color="000001"/>
              <w:insideV w:val="single" w:sz="4" w:space="0" w:color="000001"/>
            </w:tcBorders>
            <w:shd w:fill="auto" w:val="clear"/>
            <w:tcMar>
              <w:left w:w="98" w:type="dxa"/>
            </w:tcMar>
            <w:vAlign w:val="center"/>
          </w:tcPr>
          <w:p>
            <w:pPr>
              <w:pStyle w:val="Normal"/>
              <w:widowControl/>
              <w:bidi w:val="0"/>
              <w:ind w:left="957" w:right="0" w:hanging="0"/>
              <w:jc w:val="left"/>
              <w:textAlignment w:val="auto"/>
              <w:rPr>
                <w:rFonts w:ascii="Times New Roman" w:hAnsi="Times New Roman"/>
                <w:sz w:val="18"/>
                <w:szCs w:val="18"/>
                <w:lang w:val="en-US" w:eastAsia="en-US"/>
              </w:rPr>
            </w:pPr>
            <w:r>
              <w:rPr>
                <w:sz w:val="18"/>
                <w:szCs w:val="18"/>
                <w:lang w:val="en-US" w:eastAsia="en-US"/>
              </w:rPr>
            </w:r>
          </w:p>
        </w:tc>
        <w:tc>
          <w:tcPr>
            <w:tcW w:w="2977" w:type="dxa"/>
            <w:gridSpan w:val="10"/>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957" w:right="0" w:hanging="0"/>
              <w:jc w:val="center"/>
              <w:textAlignment w:val="auto"/>
              <w:rPr>
                <w:lang w:val="en-US"/>
              </w:rPr>
            </w:pPr>
            <w:r>
              <w:rPr>
                <w:sz w:val="18"/>
                <w:szCs w:val="18"/>
                <w:lang w:val="en-US" w:eastAsia="en-US"/>
              </w:rPr>
              <w:t>Tipul de angajare</w:t>
            </w:r>
          </w:p>
        </w:tc>
        <w:tc>
          <w:tcPr>
            <w:tcW w:w="1134"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3654" w:type="dxa"/>
            <w:gridSpan w:val="10"/>
            <w:tcBorders>
              <w:left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667"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786" w:type="dxa"/>
            <w:gridSpan w:val="2"/>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378" w:type="dxa"/>
            <w:vMerge w:val="continue"/>
            <w:tcBorders>
              <w:top w:val="single" w:sz="8" w:space="0" w:color="000001"/>
              <w:left w:val="single" w:sz="8" w:space="0" w:color="000001"/>
              <w:bottom w:val="single" w:sz="8" w:space="0" w:color="000001"/>
              <w:right w:val="single" w:sz="4" w:space="0" w:color="000001"/>
              <w:insideH w:val="single" w:sz="8" w:space="0" w:color="000001"/>
              <w:insideV w:val="single" w:sz="4"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478" w:hRule="atLeast"/>
        </w:trPr>
        <w:tc>
          <w:tcPr>
            <w:tcW w:w="3118" w:type="dxa"/>
            <w:gridSpan w:val="5"/>
            <w:vMerge w:val="continue"/>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957" w:right="0" w:hanging="0"/>
              <w:jc w:val="left"/>
              <w:textAlignment w:val="auto"/>
              <w:rPr>
                <w:rFonts w:ascii="Times New Roman" w:hAnsi="Times New Roman"/>
                <w:sz w:val="18"/>
                <w:szCs w:val="18"/>
                <w:lang w:val="en-US" w:eastAsia="en-US"/>
              </w:rPr>
            </w:pPr>
            <w:r>
              <w:rPr>
                <w:sz w:val="18"/>
                <w:szCs w:val="18"/>
                <w:lang w:val="en-US" w:eastAsia="en-US"/>
              </w:rPr>
            </w:r>
          </w:p>
        </w:tc>
        <w:tc>
          <w:tcPr>
            <w:tcW w:w="850" w:type="dxa"/>
            <w:gridSpan w:val="4"/>
            <w:tcBorders>
              <w:top w:val="single" w:sz="4"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eastAsia="en-US"/>
              </w:rPr>
              <w:t>De bază</w:t>
            </w:r>
          </w:p>
        </w:tc>
        <w:tc>
          <w:tcPr>
            <w:tcW w:w="1134" w:type="dxa"/>
            <w:gridSpan w:val="3"/>
            <w:tcBorders>
              <w:top w:val="single" w:sz="4"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18"/>
                <w:szCs w:val="18"/>
                <w:lang w:val="en-US" w:eastAsia="en-US"/>
              </w:rPr>
              <w:t>Cumul intern</w:t>
            </w:r>
          </w:p>
        </w:tc>
        <w:tc>
          <w:tcPr>
            <w:tcW w:w="993" w:type="dxa"/>
            <w:gridSpan w:val="3"/>
            <w:tcBorders>
              <w:top w:val="single" w:sz="4"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18"/>
                <w:szCs w:val="18"/>
                <w:lang w:val="en-US" w:eastAsia="en-US"/>
              </w:rPr>
              <w:t>Cumul extern</w:t>
            </w:r>
          </w:p>
        </w:tc>
        <w:tc>
          <w:tcPr>
            <w:tcW w:w="1134" w:type="dxa"/>
            <w:gridSpan w:val="5"/>
            <w:tcBorders>
              <w:top w:val="single" w:sz="4"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eastAsia="en-US"/>
              </w:rPr>
              <w:t>Acord de muncă</w:t>
            </w:r>
          </w:p>
        </w:tc>
        <w:tc>
          <w:tcPr>
            <w:tcW w:w="3364" w:type="dxa"/>
            <w:gridSpan w:val="8"/>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667"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668"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786" w:type="dxa"/>
            <w:gridSpan w:val="2"/>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r>
      <w:tr>
        <w:trPr>
          <w:trHeight w:val="177" w:hRule="atLeast"/>
        </w:trPr>
        <w:tc>
          <w:tcPr>
            <w:tcW w:w="3118" w:type="dxa"/>
            <w:gridSpan w:val="5"/>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18"/>
                <w:szCs w:val="18"/>
                <w:lang w:val="en-US" w:eastAsia="en-US"/>
              </w:rPr>
              <w:t>Director</w:t>
            </w:r>
          </w:p>
        </w:tc>
        <w:tc>
          <w:tcPr>
            <w:tcW w:w="850"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18"/>
                <w:szCs w:val="18"/>
                <w:lang w:val="en-US" w:eastAsia="en-US"/>
              </w:rPr>
              <w:t>12356,3</w:t>
            </w:r>
          </w:p>
        </w:tc>
        <w:tc>
          <w:tcPr>
            <w:tcW w:w="1134"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18"/>
                <w:szCs w:val="18"/>
                <w:lang w:val="en-US" w:eastAsia="en-US"/>
              </w:rPr>
              <w:t>2074,1</w:t>
            </w:r>
          </w:p>
        </w:tc>
        <w:tc>
          <w:tcPr>
            <w:tcW w:w="993"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18"/>
                <w:szCs w:val="18"/>
                <w:lang w:val="en-US" w:eastAsia="en-US"/>
              </w:rPr>
              <w:t> </w:t>
            </w:r>
          </w:p>
        </w:tc>
        <w:tc>
          <w:tcPr>
            <w:tcW w:w="1134"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3364" w:type="dxa"/>
            <w:gridSpan w:val="8"/>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667"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668"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786" w:type="dxa"/>
            <w:gridSpan w:val="2"/>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r>
      <w:tr>
        <w:trPr>
          <w:trHeight w:val="237" w:hRule="atLeast"/>
        </w:trPr>
        <w:tc>
          <w:tcPr>
            <w:tcW w:w="3118" w:type="dxa"/>
            <w:gridSpan w:val="5"/>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eastAsia="en-US"/>
              </w:rPr>
              <w:t>Vicedirector pentru ştiinţa</w:t>
            </w:r>
          </w:p>
        </w:tc>
        <w:tc>
          <w:tcPr>
            <w:tcW w:w="850"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18"/>
                <w:szCs w:val="18"/>
                <w:lang w:val="en-US" w:eastAsia="en-US"/>
              </w:rPr>
              <w:t>9590,39</w:t>
            </w:r>
          </w:p>
        </w:tc>
        <w:tc>
          <w:tcPr>
            <w:tcW w:w="1134"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18"/>
                <w:szCs w:val="18"/>
                <w:lang w:val="en-US" w:eastAsia="en-US"/>
              </w:rPr>
              <w:t>1473,9</w:t>
            </w:r>
          </w:p>
        </w:tc>
        <w:tc>
          <w:tcPr>
            <w:tcW w:w="993"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18"/>
                <w:szCs w:val="18"/>
                <w:lang w:val="en-US" w:eastAsia="en-US"/>
              </w:rPr>
              <w:t> </w:t>
            </w:r>
          </w:p>
        </w:tc>
        <w:tc>
          <w:tcPr>
            <w:tcW w:w="1134"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3364" w:type="dxa"/>
            <w:gridSpan w:val="8"/>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667"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668"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786" w:type="dxa"/>
            <w:gridSpan w:val="2"/>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r>
      <w:tr>
        <w:trPr>
          <w:trHeight w:val="127" w:hRule="atLeast"/>
        </w:trPr>
        <w:tc>
          <w:tcPr>
            <w:tcW w:w="3118" w:type="dxa"/>
            <w:gridSpan w:val="5"/>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eastAsia="en-US"/>
              </w:rPr>
              <w:t>Secretar ştiinţific</w:t>
            </w:r>
          </w:p>
        </w:tc>
        <w:tc>
          <w:tcPr>
            <w:tcW w:w="850"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18"/>
                <w:szCs w:val="18"/>
                <w:lang w:val="en-US" w:eastAsia="en-US"/>
              </w:rPr>
              <w:t>8907,16</w:t>
            </w:r>
          </w:p>
        </w:tc>
        <w:tc>
          <w:tcPr>
            <w:tcW w:w="1134"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18"/>
                <w:szCs w:val="18"/>
                <w:lang w:val="en-US" w:eastAsia="en-US"/>
              </w:rPr>
              <w:t>1616,88</w:t>
            </w:r>
          </w:p>
        </w:tc>
        <w:tc>
          <w:tcPr>
            <w:tcW w:w="993"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18"/>
                <w:szCs w:val="18"/>
                <w:lang w:val="en-US" w:eastAsia="en-US"/>
              </w:rPr>
              <w:t> </w:t>
            </w:r>
          </w:p>
        </w:tc>
        <w:tc>
          <w:tcPr>
            <w:tcW w:w="1134"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3364" w:type="dxa"/>
            <w:gridSpan w:val="8"/>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667"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668"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786" w:type="dxa"/>
            <w:gridSpan w:val="2"/>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r>
      <w:tr>
        <w:trPr>
          <w:trHeight w:val="159" w:hRule="atLeast"/>
        </w:trPr>
        <w:tc>
          <w:tcPr>
            <w:tcW w:w="2952"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eastAsia="en-US"/>
              </w:rPr>
              <w:t>Contabil-şef</w:t>
            </w:r>
          </w:p>
        </w:tc>
        <w:tc>
          <w:tcPr>
            <w:tcW w:w="804"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18"/>
                <w:szCs w:val="18"/>
                <w:lang w:val="en-US" w:eastAsia="en-US"/>
              </w:rPr>
              <w:t>6403,58</w:t>
            </w:r>
          </w:p>
        </w:tc>
        <w:tc>
          <w:tcPr>
            <w:tcW w:w="1074"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18"/>
                <w:szCs w:val="18"/>
                <w:lang w:val="en-US" w:eastAsia="en-US"/>
              </w:rPr>
              <w:t>1611,36</w:t>
            </w:r>
          </w:p>
        </w:tc>
        <w:tc>
          <w:tcPr>
            <w:tcW w:w="939" w:type="dxa"/>
            <w:gridSpan w:val="2"/>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18"/>
                <w:szCs w:val="18"/>
                <w:lang w:val="en-US" w:eastAsia="en-US"/>
              </w:rPr>
              <w:t> </w:t>
            </w:r>
          </w:p>
        </w:tc>
        <w:tc>
          <w:tcPr>
            <w:tcW w:w="1073"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18"/>
                <w:szCs w:val="18"/>
                <w:lang w:val="en-US" w:eastAsia="en-US"/>
              </w:rPr>
              <w:t> </w:t>
            </w:r>
          </w:p>
        </w:tc>
        <w:tc>
          <w:tcPr>
            <w:tcW w:w="2504" w:type="dxa"/>
            <w:gridSpan w:val="6"/>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631"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632" w:type="dxa"/>
            <w:gridSpan w:val="2"/>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743"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1362"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123" w:hRule="atLeast"/>
        </w:trPr>
        <w:tc>
          <w:tcPr>
            <w:tcW w:w="2952"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eastAsia="en-US"/>
              </w:rPr>
              <w:t>Şef de</w:t>
            </w:r>
            <w:r>
              <w:rPr>
                <w:sz w:val="18"/>
                <w:szCs w:val="18"/>
                <w:lang w:val="en-US" w:eastAsia="en-US"/>
              </w:rPr>
              <w:t xml:space="preserve"> subdiviziune</w:t>
            </w:r>
          </w:p>
        </w:tc>
        <w:tc>
          <w:tcPr>
            <w:tcW w:w="804"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en-US"/>
              </w:rPr>
            </w:pPr>
            <w:r>
              <w:rPr>
                <w:sz w:val="18"/>
                <w:szCs w:val="18"/>
                <w:lang w:val="en-US" w:eastAsia="en-US"/>
              </w:rPr>
              <w:t>7236,4</w:t>
            </w:r>
          </w:p>
        </w:tc>
        <w:tc>
          <w:tcPr>
            <w:tcW w:w="1074"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en-US"/>
              </w:rPr>
            </w:pPr>
            <w:r>
              <w:rPr>
                <w:sz w:val="18"/>
                <w:szCs w:val="18"/>
                <w:lang w:val="en-US" w:eastAsia="en-US"/>
              </w:rPr>
              <w:t>808</w:t>
            </w:r>
          </w:p>
        </w:tc>
        <w:tc>
          <w:tcPr>
            <w:tcW w:w="939" w:type="dxa"/>
            <w:gridSpan w:val="2"/>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18"/>
                <w:szCs w:val="18"/>
                <w:lang w:val="en-US" w:eastAsia="en-US"/>
              </w:rPr>
              <w:t> </w:t>
            </w:r>
          </w:p>
        </w:tc>
        <w:tc>
          <w:tcPr>
            <w:tcW w:w="1073"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en-US"/>
              </w:rPr>
            </w:pPr>
            <w:r>
              <w:rPr>
                <w:sz w:val="18"/>
                <w:szCs w:val="18"/>
                <w:lang w:val="en-US" w:eastAsia="en-US"/>
              </w:rPr>
              <w:t> </w:t>
            </w:r>
          </w:p>
        </w:tc>
        <w:tc>
          <w:tcPr>
            <w:tcW w:w="2504" w:type="dxa"/>
            <w:gridSpan w:val="6"/>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631"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632" w:type="dxa"/>
            <w:gridSpan w:val="2"/>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743"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1362"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183" w:hRule="atLeast"/>
        </w:trPr>
        <w:tc>
          <w:tcPr>
            <w:tcW w:w="2952"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eastAsia="en-US"/>
              </w:rPr>
              <w:t>Consultanţi ştiinţifici principali</w:t>
            </w:r>
          </w:p>
        </w:tc>
        <w:tc>
          <w:tcPr>
            <w:tcW w:w="804"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en-US"/>
              </w:rPr>
            </w:pPr>
            <w:r>
              <w:rPr>
                <w:sz w:val="18"/>
                <w:szCs w:val="18"/>
                <w:lang w:val="en-US" w:eastAsia="en-US"/>
              </w:rPr>
              <w:t>5015,67</w:t>
            </w:r>
          </w:p>
        </w:tc>
        <w:tc>
          <w:tcPr>
            <w:tcW w:w="1074"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en-US"/>
              </w:rPr>
            </w:pPr>
            <w:r>
              <w:rPr>
                <w:sz w:val="18"/>
                <w:szCs w:val="18"/>
                <w:lang w:val="en-US" w:eastAsia="en-US"/>
              </w:rPr>
              <w:t> </w:t>
            </w:r>
          </w:p>
        </w:tc>
        <w:tc>
          <w:tcPr>
            <w:tcW w:w="939" w:type="dxa"/>
            <w:gridSpan w:val="2"/>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18"/>
                <w:szCs w:val="18"/>
                <w:lang w:val="en-US" w:eastAsia="en-US"/>
              </w:rPr>
              <w:t> </w:t>
            </w:r>
          </w:p>
        </w:tc>
        <w:tc>
          <w:tcPr>
            <w:tcW w:w="1073"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en-US"/>
              </w:rPr>
            </w:pPr>
            <w:r>
              <w:rPr>
                <w:sz w:val="18"/>
                <w:szCs w:val="18"/>
                <w:lang w:val="en-US" w:eastAsia="en-US"/>
              </w:rPr>
              <w:t> </w:t>
            </w:r>
          </w:p>
        </w:tc>
        <w:tc>
          <w:tcPr>
            <w:tcW w:w="2504" w:type="dxa"/>
            <w:gridSpan w:val="6"/>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631"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632" w:type="dxa"/>
            <w:gridSpan w:val="2"/>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743"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1362"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243" w:hRule="atLeast"/>
        </w:trPr>
        <w:tc>
          <w:tcPr>
            <w:tcW w:w="2952"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eastAsia="en-US"/>
              </w:rPr>
              <w:t>Cercetători ştiinţifici principali</w:t>
            </w:r>
          </w:p>
        </w:tc>
        <w:tc>
          <w:tcPr>
            <w:tcW w:w="804"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en-US"/>
              </w:rPr>
            </w:pPr>
            <w:r>
              <w:rPr>
                <w:sz w:val="18"/>
                <w:szCs w:val="18"/>
                <w:lang w:val="en-US" w:eastAsia="en-US"/>
              </w:rPr>
              <w:t>7937,33</w:t>
            </w:r>
          </w:p>
        </w:tc>
        <w:tc>
          <w:tcPr>
            <w:tcW w:w="1074"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en-US"/>
              </w:rPr>
            </w:pPr>
            <w:r>
              <w:rPr>
                <w:sz w:val="18"/>
                <w:szCs w:val="18"/>
                <w:lang w:val="en-US" w:eastAsia="en-US"/>
              </w:rPr>
              <w:t> </w:t>
            </w:r>
          </w:p>
        </w:tc>
        <w:tc>
          <w:tcPr>
            <w:tcW w:w="939" w:type="dxa"/>
            <w:gridSpan w:val="2"/>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18"/>
                <w:szCs w:val="18"/>
                <w:lang w:val="en-US" w:eastAsia="en-US"/>
              </w:rPr>
              <w:t>2300,89</w:t>
            </w:r>
          </w:p>
        </w:tc>
        <w:tc>
          <w:tcPr>
            <w:tcW w:w="1073"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en-US"/>
              </w:rPr>
            </w:pPr>
            <w:r>
              <w:rPr>
                <w:sz w:val="18"/>
                <w:szCs w:val="18"/>
                <w:lang w:val="en-US" w:eastAsia="en-US"/>
              </w:rPr>
              <w:t> </w:t>
            </w:r>
          </w:p>
        </w:tc>
        <w:tc>
          <w:tcPr>
            <w:tcW w:w="2504" w:type="dxa"/>
            <w:gridSpan w:val="6"/>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631"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632" w:type="dxa"/>
            <w:gridSpan w:val="2"/>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743"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1362"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133" w:hRule="atLeast"/>
        </w:trPr>
        <w:tc>
          <w:tcPr>
            <w:tcW w:w="2952"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eastAsia="en-US"/>
              </w:rPr>
              <w:t>Cercetător i ştiinţific coordonatori</w:t>
            </w:r>
          </w:p>
        </w:tc>
        <w:tc>
          <w:tcPr>
            <w:tcW w:w="804"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en-US"/>
              </w:rPr>
            </w:pPr>
            <w:r>
              <w:rPr>
                <w:sz w:val="18"/>
                <w:szCs w:val="18"/>
                <w:lang w:val="en-US" w:eastAsia="en-US"/>
              </w:rPr>
              <w:t>5941,17</w:t>
            </w:r>
          </w:p>
        </w:tc>
        <w:tc>
          <w:tcPr>
            <w:tcW w:w="1074"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18"/>
                <w:szCs w:val="18"/>
                <w:lang w:val="en-US" w:eastAsia="en-US"/>
              </w:rPr>
              <w:t> </w:t>
            </w:r>
          </w:p>
        </w:tc>
        <w:tc>
          <w:tcPr>
            <w:tcW w:w="939" w:type="dxa"/>
            <w:gridSpan w:val="2"/>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18"/>
                <w:szCs w:val="18"/>
                <w:lang w:val="en-US" w:eastAsia="en-US"/>
              </w:rPr>
              <w:t>1669,39</w:t>
            </w:r>
          </w:p>
        </w:tc>
        <w:tc>
          <w:tcPr>
            <w:tcW w:w="1073"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18"/>
                <w:szCs w:val="18"/>
                <w:lang w:val="en-US" w:eastAsia="en-US"/>
              </w:rPr>
              <w:t> </w:t>
            </w:r>
          </w:p>
        </w:tc>
        <w:tc>
          <w:tcPr>
            <w:tcW w:w="2504" w:type="dxa"/>
            <w:gridSpan w:val="6"/>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631"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632" w:type="dxa"/>
            <w:gridSpan w:val="2"/>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743"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1362"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251" w:hRule="atLeast"/>
        </w:trPr>
        <w:tc>
          <w:tcPr>
            <w:tcW w:w="2952"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eastAsia="en-US"/>
              </w:rPr>
              <w:t>Cercetători ştiinţifici superiori</w:t>
            </w:r>
          </w:p>
        </w:tc>
        <w:tc>
          <w:tcPr>
            <w:tcW w:w="804"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en-US"/>
              </w:rPr>
            </w:pPr>
            <w:r>
              <w:rPr>
                <w:sz w:val="18"/>
                <w:szCs w:val="18"/>
                <w:lang w:val="en-US" w:eastAsia="en-US"/>
              </w:rPr>
              <w:t>4328,78</w:t>
            </w:r>
          </w:p>
        </w:tc>
        <w:tc>
          <w:tcPr>
            <w:tcW w:w="1074"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18"/>
                <w:szCs w:val="18"/>
                <w:lang w:val="en-US" w:eastAsia="en-US"/>
              </w:rPr>
              <w:t> </w:t>
            </w:r>
          </w:p>
        </w:tc>
        <w:tc>
          <w:tcPr>
            <w:tcW w:w="939" w:type="dxa"/>
            <w:gridSpan w:val="2"/>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18"/>
                <w:szCs w:val="18"/>
                <w:lang w:val="en-US" w:eastAsia="en-US"/>
              </w:rPr>
              <w:t>1587,6</w:t>
            </w:r>
          </w:p>
        </w:tc>
        <w:tc>
          <w:tcPr>
            <w:tcW w:w="1073"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en-US"/>
              </w:rPr>
            </w:pPr>
            <w:r>
              <w:rPr>
                <w:sz w:val="18"/>
                <w:szCs w:val="18"/>
                <w:lang w:val="en-US" w:eastAsia="en-US"/>
              </w:rPr>
              <w:t>700</w:t>
            </w:r>
          </w:p>
        </w:tc>
        <w:tc>
          <w:tcPr>
            <w:tcW w:w="2504" w:type="dxa"/>
            <w:gridSpan w:val="6"/>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631"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632" w:type="dxa"/>
            <w:gridSpan w:val="2"/>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743"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1362"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184" w:hRule="atLeast"/>
        </w:trPr>
        <w:tc>
          <w:tcPr>
            <w:tcW w:w="2952"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eastAsia="en-US"/>
              </w:rPr>
              <w:t>Cercetători ştiinţifici</w:t>
            </w:r>
          </w:p>
        </w:tc>
        <w:tc>
          <w:tcPr>
            <w:tcW w:w="804"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en-US"/>
              </w:rPr>
            </w:pPr>
            <w:r>
              <w:rPr>
                <w:sz w:val="18"/>
                <w:szCs w:val="18"/>
                <w:lang w:val="en-US" w:eastAsia="en-US"/>
              </w:rPr>
              <w:t>3301,47</w:t>
            </w:r>
          </w:p>
        </w:tc>
        <w:tc>
          <w:tcPr>
            <w:tcW w:w="1074"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en-US"/>
              </w:rPr>
            </w:pPr>
            <w:r>
              <w:rPr>
                <w:sz w:val="18"/>
                <w:szCs w:val="18"/>
                <w:lang w:val="en-US" w:eastAsia="en-US"/>
              </w:rPr>
              <w:t>808</w:t>
            </w:r>
          </w:p>
        </w:tc>
        <w:tc>
          <w:tcPr>
            <w:tcW w:w="939" w:type="dxa"/>
            <w:gridSpan w:val="2"/>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18"/>
                <w:szCs w:val="18"/>
                <w:lang w:val="en-US" w:eastAsia="en-US"/>
              </w:rPr>
              <w:t>1801,07</w:t>
            </w:r>
          </w:p>
        </w:tc>
        <w:tc>
          <w:tcPr>
            <w:tcW w:w="1073"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en-US"/>
              </w:rPr>
            </w:pPr>
            <w:r>
              <w:rPr>
                <w:sz w:val="18"/>
                <w:szCs w:val="18"/>
                <w:lang w:val="en-US" w:eastAsia="en-US"/>
              </w:rPr>
              <w:t>565</w:t>
            </w:r>
          </w:p>
        </w:tc>
        <w:tc>
          <w:tcPr>
            <w:tcW w:w="2504" w:type="dxa"/>
            <w:gridSpan w:val="6"/>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631"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632" w:type="dxa"/>
            <w:gridSpan w:val="2"/>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743"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1362"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243" w:hRule="atLeast"/>
        </w:trPr>
        <w:tc>
          <w:tcPr>
            <w:tcW w:w="2952"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eastAsia="en-US"/>
              </w:rPr>
              <w:t>Cercetători ştiinţifici stagiari</w:t>
            </w:r>
          </w:p>
        </w:tc>
        <w:tc>
          <w:tcPr>
            <w:tcW w:w="804"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en-US"/>
              </w:rPr>
            </w:pPr>
            <w:r>
              <w:rPr>
                <w:sz w:val="18"/>
                <w:szCs w:val="18"/>
                <w:lang w:val="en-US" w:eastAsia="en-US"/>
              </w:rPr>
              <w:t>3023,96</w:t>
            </w:r>
          </w:p>
        </w:tc>
        <w:tc>
          <w:tcPr>
            <w:tcW w:w="1074"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18"/>
                <w:szCs w:val="18"/>
                <w:lang w:val="en-US" w:eastAsia="en-US"/>
              </w:rPr>
              <w:t> </w:t>
            </w:r>
          </w:p>
        </w:tc>
        <w:tc>
          <w:tcPr>
            <w:tcW w:w="939" w:type="dxa"/>
            <w:gridSpan w:val="2"/>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18"/>
                <w:szCs w:val="18"/>
                <w:lang w:val="en-US" w:eastAsia="en-US"/>
              </w:rPr>
              <w:t>1266,25</w:t>
            </w:r>
          </w:p>
        </w:tc>
        <w:tc>
          <w:tcPr>
            <w:tcW w:w="1073"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en-US"/>
              </w:rPr>
            </w:pPr>
            <w:r>
              <w:rPr>
                <w:sz w:val="18"/>
                <w:szCs w:val="18"/>
                <w:lang w:val="en-US" w:eastAsia="en-US"/>
              </w:rPr>
              <w:t>400</w:t>
            </w:r>
          </w:p>
        </w:tc>
        <w:tc>
          <w:tcPr>
            <w:tcW w:w="2504" w:type="dxa"/>
            <w:gridSpan w:val="6"/>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631"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632" w:type="dxa"/>
            <w:gridSpan w:val="2"/>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743"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1362"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241" w:hRule="atLeast"/>
        </w:trPr>
        <w:tc>
          <w:tcPr>
            <w:tcW w:w="2952"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eastAsia="en-US"/>
              </w:rPr>
              <w:t>Ingineri şi specialişti cu studii superioare</w:t>
            </w:r>
          </w:p>
        </w:tc>
        <w:tc>
          <w:tcPr>
            <w:tcW w:w="804"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en-US"/>
              </w:rPr>
            </w:pPr>
            <w:r>
              <w:rPr>
                <w:sz w:val="18"/>
                <w:szCs w:val="18"/>
                <w:lang w:val="en-US" w:eastAsia="en-US"/>
              </w:rPr>
              <w:t>1207,43</w:t>
            </w:r>
          </w:p>
        </w:tc>
        <w:tc>
          <w:tcPr>
            <w:tcW w:w="1074"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18"/>
                <w:szCs w:val="18"/>
                <w:lang w:val="en-US" w:eastAsia="en-US"/>
              </w:rPr>
              <w:t> </w:t>
            </w:r>
          </w:p>
        </w:tc>
        <w:tc>
          <w:tcPr>
            <w:tcW w:w="939" w:type="dxa"/>
            <w:gridSpan w:val="2"/>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18"/>
                <w:szCs w:val="18"/>
                <w:lang w:val="en-US" w:eastAsia="en-US"/>
              </w:rPr>
              <w:t>872,74</w:t>
            </w:r>
          </w:p>
        </w:tc>
        <w:tc>
          <w:tcPr>
            <w:tcW w:w="1073"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18"/>
                <w:szCs w:val="18"/>
                <w:lang w:val="en-US" w:eastAsia="en-US"/>
              </w:rPr>
              <w:t> </w:t>
            </w:r>
          </w:p>
        </w:tc>
        <w:tc>
          <w:tcPr>
            <w:tcW w:w="2504" w:type="dxa"/>
            <w:gridSpan w:val="6"/>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631"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632" w:type="dxa"/>
            <w:gridSpan w:val="2"/>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743"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1362"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118" w:hRule="atLeast"/>
        </w:trPr>
        <w:tc>
          <w:tcPr>
            <w:tcW w:w="2952"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sz w:val="18"/>
                <w:szCs w:val="18"/>
                <w:lang w:val="en-US" w:eastAsia="en-US"/>
              </w:rPr>
              <w:t>Personal auxiliar</w:t>
            </w:r>
          </w:p>
        </w:tc>
        <w:tc>
          <w:tcPr>
            <w:tcW w:w="804"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18"/>
                <w:szCs w:val="18"/>
                <w:lang w:val="en-US" w:eastAsia="en-US"/>
              </w:rPr>
              <w:t>3219,99</w:t>
            </w:r>
          </w:p>
        </w:tc>
        <w:tc>
          <w:tcPr>
            <w:tcW w:w="1074"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en-US"/>
              </w:rPr>
            </w:pPr>
            <w:r>
              <w:rPr>
                <w:sz w:val="18"/>
                <w:szCs w:val="18"/>
                <w:lang w:val="en-US" w:eastAsia="en-US"/>
              </w:rPr>
              <w:t>784,58</w:t>
            </w:r>
          </w:p>
        </w:tc>
        <w:tc>
          <w:tcPr>
            <w:tcW w:w="939" w:type="dxa"/>
            <w:gridSpan w:val="2"/>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1073"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18"/>
                <w:szCs w:val="18"/>
                <w:lang w:val="en-US" w:eastAsia="en-US"/>
              </w:rPr>
              <w:t> </w:t>
            </w:r>
          </w:p>
        </w:tc>
        <w:tc>
          <w:tcPr>
            <w:tcW w:w="2504" w:type="dxa"/>
            <w:gridSpan w:val="6"/>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631"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632" w:type="dxa"/>
            <w:gridSpan w:val="2"/>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743"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1362"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177" w:hRule="atLeast"/>
        </w:trPr>
        <w:tc>
          <w:tcPr>
            <w:tcW w:w="2952"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sz w:val="18"/>
                <w:szCs w:val="18"/>
                <w:lang w:val="en-US" w:eastAsia="en-US"/>
              </w:rPr>
              <w:t xml:space="preserve">Alte categorii de </w:t>
            </w:r>
            <w:r>
              <w:rPr>
                <w:rFonts w:cs="Times New Roman CE" w:ascii="Times New Roman CE" w:hAnsi="Times New Roman CE"/>
                <w:sz w:val="18"/>
                <w:szCs w:val="18"/>
                <w:lang w:val="en-US" w:eastAsia="en-US"/>
              </w:rPr>
              <w:t>salariaţi</w:t>
            </w:r>
          </w:p>
        </w:tc>
        <w:tc>
          <w:tcPr>
            <w:tcW w:w="804"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en-US"/>
              </w:rPr>
            </w:pPr>
            <w:r>
              <w:rPr>
                <w:sz w:val="18"/>
                <w:szCs w:val="18"/>
                <w:lang w:val="en-US" w:eastAsia="en-US"/>
              </w:rPr>
              <w:t>1639,91</w:t>
            </w:r>
          </w:p>
        </w:tc>
        <w:tc>
          <w:tcPr>
            <w:tcW w:w="1074"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18"/>
                <w:szCs w:val="18"/>
                <w:lang w:val="en-US" w:eastAsia="en-US"/>
              </w:rPr>
              <w:t> </w:t>
            </w:r>
          </w:p>
        </w:tc>
        <w:tc>
          <w:tcPr>
            <w:tcW w:w="939" w:type="dxa"/>
            <w:gridSpan w:val="2"/>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 </w:t>
            </w:r>
          </w:p>
        </w:tc>
        <w:tc>
          <w:tcPr>
            <w:tcW w:w="1073"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18"/>
                <w:szCs w:val="18"/>
                <w:lang w:val="en-US" w:eastAsia="en-US"/>
              </w:rPr>
              <w:t> </w:t>
            </w:r>
          </w:p>
        </w:tc>
        <w:tc>
          <w:tcPr>
            <w:tcW w:w="2504" w:type="dxa"/>
            <w:gridSpan w:val="6"/>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631"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632" w:type="dxa"/>
            <w:gridSpan w:val="2"/>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743"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1362"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bl>
    <w:p>
      <w:pPr>
        <w:pStyle w:val="Normal"/>
        <w:widowControl/>
        <w:bidi w:val="0"/>
        <w:ind w:left="0" w:right="0" w:hanging="0"/>
        <w:jc w:val="left"/>
        <w:textAlignment w:val="auto"/>
        <w:rPr>
          <w:rFonts w:ascii="Times New Roman" w:hAnsi="Times New Roman"/>
          <w:sz w:val="18"/>
          <w:szCs w:val="18"/>
          <w:lang w:val="en-US"/>
        </w:rPr>
      </w:pPr>
      <w:r>
        <w:rPr>
          <w:sz w:val="18"/>
          <w:szCs w:val="18"/>
          <w:lang w:val="en-US"/>
        </w:rPr>
      </w:r>
    </w:p>
    <w:p>
      <w:pPr>
        <w:pStyle w:val="Normal"/>
        <w:widowControl/>
        <w:bidi w:val="0"/>
        <w:ind w:left="0" w:right="0" w:hanging="0"/>
        <w:jc w:val="left"/>
        <w:textAlignment w:val="auto"/>
        <w:rPr>
          <w:rFonts w:ascii="Times New Roman" w:hAnsi="Times New Roman"/>
          <w:sz w:val="18"/>
          <w:szCs w:val="18"/>
          <w:lang w:val="en-US"/>
        </w:rPr>
      </w:pPr>
      <w:r>
        <w:rPr>
          <w:sz w:val="18"/>
          <w:szCs w:val="18"/>
          <w:lang w:val="en-US"/>
        </w:rPr>
      </w:r>
    </w:p>
    <w:p>
      <w:pPr>
        <w:pStyle w:val="Normal"/>
        <w:widowControl/>
        <w:bidi w:val="0"/>
        <w:ind w:left="0" w:right="0" w:hanging="0"/>
        <w:jc w:val="left"/>
        <w:textAlignment w:val="auto"/>
        <w:rPr>
          <w:rFonts w:ascii="Times New Roman" w:hAnsi="Times New Roman"/>
          <w:sz w:val="18"/>
          <w:szCs w:val="18"/>
          <w:lang w:val="en-US"/>
        </w:rPr>
      </w:pPr>
      <w:r>
        <w:rPr>
          <w:sz w:val="18"/>
          <w:szCs w:val="18"/>
          <w:lang w:val="en-US"/>
        </w:rPr>
      </w:r>
    </w:p>
    <w:p>
      <w:pPr>
        <w:pStyle w:val="Normal"/>
        <w:widowControl/>
        <w:bidi w:val="0"/>
        <w:ind w:left="0" w:right="0" w:hanging="0"/>
        <w:jc w:val="left"/>
        <w:textAlignment w:val="auto"/>
        <w:rPr>
          <w:rFonts w:ascii="Times New Roman" w:hAnsi="Times New Roman"/>
          <w:sz w:val="18"/>
          <w:szCs w:val="18"/>
          <w:lang w:val="en-US"/>
        </w:rPr>
      </w:pPr>
      <w:r>
        <w:rPr>
          <w:sz w:val="18"/>
          <w:szCs w:val="18"/>
          <w:lang w:val="en-US"/>
        </w:rPr>
      </w:r>
    </w:p>
    <w:tbl>
      <w:tblPr>
        <w:tblW w:w="9866" w:type="dxa"/>
        <w:jc w:val="left"/>
        <w:tblInd w:w="-109" w:type="dxa"/>
        <w:tblBorders/>
        <w:tblCellMar>
          <w:top w:w="0" w:type="dxa"/>
          <w:left w:w="108" w:type="dxa"/>
          <w:bottom w:w="0" w:type="dxa"/>
          <w:right w:w="108" w:type="dxa"/>
        </w:tblCellMar>
      </w:tblPr>
      <w:tblGrid>
        <w:gridCol w:w="1301"/>
        <w:gridCol w:w="433"/>
        <w:gridCol w:w="1642"/>
        <w:gridCol w:w="1027"/>
        <w:gridCol w:w="132"/>
        <w:gridCol w:w="178"/>
        <w:gridCol w:w="763"/>
        <w:gridCol w:w="477"/>
        <w:gridCol w:w="336"/>
        <w:gridCol w:w="1"/>
        <w:gridCol w:w="139"/>
        <w:gridCol w:w="1"/>
        <w:gridCol w:w="1770"/>
        <w:gridCol w:w="1"/>
        <w:gridCol w:w="727"/>
        <w:gridCol w:w="937"/>
      </w:tblGrid>
      <w:tr>
        <w:trPr>
          <w:trHeight w:val="139" w:hRule="atLeast"/>
        </w:trPr>
        <w:tc>
          <w:tcPr>
            <w:tcW w:w="9865" w:type="dxa"/>
            <w:gridSpan w:val="16"/>
            <w:tcBorders/>
            <w:shd w:fill="auto" w:val="clear"/>
            <w:vAlign w:val="bottom"/>
          </w:tcPr>
          <w:p>
            <w:pPr>
              <w:pStyle w:val="Normal"/>
              <w:widowControl/>
              <w:bidi w:val="0"/>
              <w:ind w:left="0" w:right="0" w:hanging="0"/>
              <w:jc w:val="center"/>
              <w:textAlignment w:val="auto"/>
              <w:rPr/>
            </w:pPr>
            <w:bookmarkStart w:id="426" w:name="RANGE!A1:F36"/>
            <w:bookmarkEnd w:id="426"/>
            <w:r>
              <w:rPr>
                <w:rFonts w:cs="Times New Roman CE" w:ascii="Times New Roman CE" w:hAnsi="Times New Roman CE"/>
                <w:b/>
                <w:bCs/>
                <w:sz w:val="18"/>
                <w:szCs w:val="18"/>
              </w:rPr>
              <w:t xml:space="preserve">4. POTENŢIAL LOGISTIC </w:t>
            </w:r>
            <w:r>
              <w:rPr>
                <w:b/>
                <w:bCs/>
                <w:sz w:val="18"/>
                <w:szCs w:val="18"/>
                <w:lang w:val="ro-RO"/>
              </w:rPr>
              <w:t>2016</w:t>
            </w:r>
          </w:p>
        </w:tc>
      </w:tr>
      <w:tr>
        <w:trPr>
          <w:trHeight w:val="139" w:hRule="atLeast"/>
        </w:trPr>
        <w:tc>
          <w:tcPr>
            <w:tcW w:w="9865" w:type="dxa"/>
            <w:gridSpan w:val="16"/>
            <w:tcBorders/>
            <w:shd w:fill="auto" w:val="clear"/>
            <w:vAlign w:val="bottom"/>
          </w:tcPr>
          <w:p>
            <w:pPr>
              <w:pStyle w:val="Normal"/>
              <w:widowControl/>
              <w:bidi w:val="0"/>
              <w:ind w:left="0" w:right="0" w:hanging="0"/>
              <w:jc w:val="center"/>
              <w:textAlignment w:val="auto"/>
              <w:rPr/>
            </w:pPr>
            <w:r>
              <w:rPr>
                <w:rFonts w:cs="Times New Roman CE" w:ascii="Times New Roman CE" w:hAnsi="Times New Roman CE"/>
                <w:b/>
                <w:bCs/>
                <w:sz w:val="18"/>
                <w:szCs w:val="18"/>
              </w:rPr>
              <w:t>4.1.  Spaţii destinate cercetărilor ştiinţifice</w:t>
            </w:r>
            <w:r>
              <w:rPr>
                <w:b/>
                <w:bCs/>
                <w:sz w:val="18"/>
                <w:szCs w:val="18"/>
                <w:lang w:val="ro-RO"/>
              </w:rPr>
              <w:t xml:space="preserve"> 2016</w:t>
            </w:r>
          </w:p>
        </w:tc>
      </w:tr>
      <w:tr>
        <w:trPr>
          <w:trHeight w:val="147" w:hRule="atLeast"/>
        </w:trPr>
        <w:tc>
          <w:tcPr>
            <w:tcW w:w="9865" w:type="dxa"/>
            <w:gridSpan w:val="16"/>
            <w:tcBorders>
              <w:bottom w:val="single" w:sz="8" w:space="0" w:color="000001"/>
              <w:insideH w:val="single" w:sz="8" w:space="0" w:color="000001"/>
            </w:tcBorders>
            <w:shd w:fill="auto" w:val="clear"/>
            <w:vAlign w:val="bottom"/>
          </w:tcPr>
          <w:p>
            <w:pPr>
              <w:pStyle w:val="Normal"/>
              <w:widowControl/>
              <w:bidi w:val="0"/>
              <w:ind w:left="0" w:right="0" w:hanging="0"/>
              <w:jc w:val="center"/>
              <w:textAlignment w:val="auto"/>
              <w:rPr/>
            </w:pPr>
            <w:r>
              <w:rPr>
                <w:rFonts w:cs="Times New Roman CE" w:ascii="Times New Roman CE" w:hAnsi="Times New Roman CE"/>
                <w:b/>
                <w:bCs/>
                <w:sz w:val="18"/>
                <w:szCs w:val="18"/>
              </w:rPr>
              <w:t>Clădiri</w:t>
            </w:r>
          </w:p>
        </w:tc>
      </w:tr>
      <w:tr>
        <w:trPr>
          <w:trHeight w:val="147" w:hRule="atLeast"/>
        </w:trPr>
        <w:tc>
          <w:tcPr>
            <w:tcW w:w="1301" w:type="dxa"/>
            <w:vMerge w:val="restart"/>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rFonts w:cs="Times New Roman CE" w:ascii="Times New Roman CE" w:hAnsi="Times New Roman CE"/>
                <w:sz w:val="18"/>
                <w:szCs w:val="18"/>
              </w:rPr>
              <w:t>Spaţii, total  (m</w:t>
            </w:r>
            <w:r>
              <w:rPr>
                <w:sz w:val="18"/>
                <w:szCs w:val="18"/>
                <w:vertAlign w:val="superscript"/>
              </w:rPr>
              <w:t>2</w:t>
            </w:r>
            <w:r>
              <w:rPr>
                <w:sz w:val="18"/>
                <w:szCs w:val="18"/>
              </w:rPr>
              <w:t>)</w:t>
            </w:r>
          </w:p>
        </w:tc>
        <w:tc>
          <w:tcPr>
            <w:tcW w:w="2075" w:type="dxa"/>
            <w:gridSpan w:val="2"/>
            <w:vMerge w:val="restart"/>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rFonts w:cs="Times New Roman CE" w:ascii="Times New Roman CE" w:hAnsi="Times New Roman CE"/>
                <w:sz w:val="18"/>
                <w:szCs w:val="18"/>
                <w:lang w:val="fr-FR"/>
              </w:rPr>
              <w:t>Spaţii destinate cercetărilor ştiinţifice, total (m</w:t>
            </w:r>
            <w:r>
              <w:rPr>
                <w:sz w:val="18"/>
                <w:szCs w:val="18"/>
                <w:vertAlign w:val="superscript"/>
                <w:lang w:val="fr-FR"/>
              </w:rPr>
              <w:t>2</w:t>
            </w:r>
            <w:r>
              <w:rPr>
                <w:sz w:val="18"/>
                <w:szCs w:val="18"/>
                <w:lang w:val="fr-FR"/>
              </w:rPr>
              <w:t>)</w:t>
            </w:r>
          </w:p>
        </w:tc>
        <w:tc>
          <w:tcPr>
            <w:tcW w:w="3053" w:type="dxa"/>
            <w:gridSpan w:val="8"/>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inclusiv</w:t>
            </w:r>
          </w:p>
        </w:tc>
        <w:tc>
          <w:tcPr>
            <w:tcW w:w="3436" w:type="dxa"/>
            <w:gridSpan w:val="5"/>
            <w:vMerge w:val="restart"/>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rFonts w:cs="Times New Roman CE" w:ascii="Times New Roman CE" w:hAnsi="Times New Roman CE"/>
                <w:sz w:val="18"/>
                <w:szCs w:val="18"/>
                <w:lang w:val="fr-FR"/>
              </w:rPr>
              <w:t xml:space="preserve">Spaţii destinate cercetărilor ştiinţifice, total </w:t>
            </w:r>
            <w:r>
              <w:rPr>
                <w:sz w:val="18"/>
                <w:szCs w:val="18"/>
                <w:lang w:val="fr-FR"/>
              </w:rPr>
              <w:t>(m</w:t>
            </w:r>
            <w:r>
              <w:rPr>
                <w:sz w:val="18"/>
                <w:szCs w:val="18"/>
                <w:vertAlign w:val="superscript"/>
                <w:lang w:val="fr-FR"/>
              </w:rPr>
              <w:t>2</w:t>
            </w:r>
            <w:r>
              <w:rPr>
                <w:rFonts w:cs="Times New Roman CE" w:ascii="Times New Roman CE" w:hAnsi="Times New Roman CE"/>
                <w:sz w:val="18"/>
                <w:szCs w:val="18"/>
                <w:lang w:val="fr-FR"/>
              </w:rPr>
              <w:t>) per cercetător de bază</w:t>
            </w:r>
          </w:p>
        </w:tc>
      </w:tr>
      <w:tr>
        <w:trPr>
          <w:trHeight w:val="442" w:hRule="atLeast"/>
        </w:trPr>
        <w:tc>
          <w:tcPr>
            <w:tcW w:w="1301" w:type="dxa"/>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18"/>
                <w:szCs w:val="18"/>
                <w:lang w:val="fr-FR"/>
              </w:rPr>
            </w:pPr>
            <w:r>
              <w:rPr>
                <w:sz w:val="18"/>
                <w:szCs w:val="18"/>
                <w:lang w:val="fr-FR"/>
              </w:rPr>
            </w:r>
          </w:p>
        </w:tc>
        <w:tc>
          <w:tcPr>
            <w:tcW w:w="2075" w:type="dxa"/>
            <w:gridSpan w:val="2"/>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18"/>
                <w:szCs w:val="18"/>
                <w:lang w:val="fr-FR"/>
              </w:rPr>
            </w:pPr>
            <w:r>
              <w:rPr>
                <w:sz w:val="18"/>
                <w:szCs w:val="18"/>
                <w:lang w:val="fr-FR"/>
              </w:rPr>
            </w:r>
          </w:p>
        </w:tc>
        <w:tc>
          <w:tcPr>
            <w:tcW w:w="102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proprii</w:t>
            </w:r>
          </w:p>
        </w:tc>
        <w:tc>
          <w:tcPr>
            <w:tcW w:w="107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rFonts w:cs="Times New Roman CE" w:ascii="Times New Roman CE" w:hAnsi="Times New Roman CE"/>
                <w:sz w:val="18"/>
                <w:szCs w:val="18"/>
              </w:rPr>
              <w:t>primite în folosinţă</w:t>
            </w:r>
          </w:p>
        </w:tc>
        <w:tc>
          <w:tcPr>
            <w:tcW w:w="954" w:type="dxa"/>
            <w:gridSpan w:val="5"/>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rFonts w:cs="Times New Roman CE" w:ascii="Times New Roman CE" w:hAnsi="Times New Roman CE"/>
                <w:sz w:val="18"/>
                <w:szCs w:val="18"/>
              </w:rPr>
              <w:t>luate în arendă</w:t>
            </w:r>
          </w:p>
        </w:tc>
        <w:tc>
          <w:tcPr>
            <w:tcW w:w="3435" w:type="dxa"/>
            <w:gridSpan w:val="4"/>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18"/>
                <w:szCs w:val="18"/>
              </w:rPr>
            </w:pPr>
            <w:r>
              <w:rPr>
                <w:sz w:val="18"/>
                <w:szCs w:val="18"/>
              </w:rPr>
            </w:r>
          </w:p>
        </w:tc>
      </w:tr>
      <w:tr>
        <w:trPr>
          <w:trHeight w:val="147" w:hRule="atLeast"/>
        </w:trPr>
        <w:tc>
          <w:tcPr>
            <w:tcW w:w="130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center"/>
              <w:textAlignment w:val="auto"/>
              <w:rPr/>
            </w:pPr>
            <w:r>
              <w:rPr>
                <w:sz w:val="18"/>
                <w:szCs w:val="18"/>
              </w:rPr>
              <w:t>1187</w:t>
            </w:r>
            <w:r>
              <w:rPr>
                <w:sz w:val="18"/>
                <w:szCs w:val="18"/>
                <w:lang w:val="ro-RO"/>
              </w:rPr>
              <w:t>,</w:t>
            </w:r>
            <w:r>
              <w:rPr>
                <w:sz w:val="18"/>
                <w:szCs w:val="18"/>
              </w:rPr>
              <w:t>.5</w:t>
            </w:r>
          </w:p>
        </w:tc>
        <w:tc>
          <w:tcPr>
            <w:tcW w:w="2075"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18"/>
                <w:szCs w:val="18"/>
              </w:rPr>
              <w:t>914</w:t>
            </w:r>
            <w:r>
              <w:rPr>
                <w:sz w:val="18"/>
                <w:szCs w:val="18"/>
                <w:lang w:val="ro-RO"/>
              </w:rPr>
              <w:t>,</w:t>
            </w:r>
            <w:r>
              <w:rPr>
                <w:sz w:val="18"/>
                <w:szCs w:val="18"/>
              </w:rPr>
              <w:t>5</w:t>
            </w:r>
          </w:p>
        </w:tc>
        <w:tc>
          <w:tcPr>
            <w:tcW w:w="102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18"/>
                <w:szCs w:val="18"/>
              </w:rPr>
            </w:pPr>
            <w:r>
              <w:rPr>
                <w:sz w:val="18"/>
                <w:szCs w:val="18"/>
              </w:rPr>
            </w:r>
          </w:p>
        </w:tc>
        <w:tc>
          <w:tcPr>
            <w:tcW w:w="107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954" w:type="dxa"/>
            <w:gridSpan w:val="5"/>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1187</w:t>
            </w:r>
            <w:r>
              <w:rPr>
                <w:sz w:val="18"/>
                <w:szCs w:val="18"/>
                <w:lang w:val="ro-RO"/>
              </w:rPr>
              <w:t>,</w:t>
            </w:r>
            <w:r>
              <w:rPr>
                <w:sz w:val="18"/>
                <w:szCs w:val="18"/>
              </w:rPr>
              <w:t>5</w:t>
            </w:r>
          </w:p>
        </w:tc>
        <w:tc>
          <w:tcPr>
            <w:tcW w:w="3435" w:type="dxa"/>
            <w:gridSpan w:val="4"/>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18"/>
                <w:szCs w:val="18"/>
              </w:rPr>
              <w:t>2</w:t>
            </w:r>
            <w:r>
              <w:rPr>
                <w:sz w:val="18"/>
                <w:szCs w:val="18"/>
                <w:lang w:val="ro-RO"/>
              </w:rPr>
              <w:t>0,</w:t>
            </w:r>
            <w:r>
              <w:rPr>
                <w:sz w:val="18"/>
                <w:szCs w:val="18"/>
              </w:rPr>
              <w:t>8</w:t>
            </w:r>
          </w:p>
        </w:tc>
      </w:tr>
      <w:tr>
        <w:trPr>
          <w:trHeight w:val="197" w:hRule="atLeast"/>
        </w:trPr>
        <w:tc>
          <w:tcPr>
            <w:tcW w:w="9865" w:type="dxa"/>
            <w:gridSpan w:val="16"/>
            <w:tcBorders>
              <w:top w:val="single" w:sz="8" w:space="0" w:color="000001"/>
            </w:tcBorders>
            <w:shd w:fill="auto" w:val="clear"/>
            <w:vAlign w:val="bottom"/>
          </w:tcPr>
          <w:p>
            <w:pPr>
              <w:pStyle w:val="Normal"/>
              <w:widowControl/>
              <w:bidi w:val="0"/>
              <w:ind w:left="0" w:right="0" w:hanging="0"/>
              <w:jc w:val="center"/>
              <w:textAlignment w:val="auto"/>
              <w:rPr/>
            </w:pPr>
            <w:r>
              <w:rPr>
                <w:b/>
                <w:bCs/>
                <w:sz w:val="18"/>
                <w:szCs w:val="18"/>
              </w:rPr>
              <w:t>Terenuri experimentale</w:t>
            </w:r>
          </w:p>
        </w:tc>
      </w:tr>
      <w:tr>
        <w:trPr>
          <w:trHeight w:val="147" w:hRule="atLeast"/>
        </w:trPr>
        <w:tc>
          <w:tcPr>
            <w:tcW w:w="1734" w:type="dxa"/>
            <w:gridSpan w:val="2"/>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1642" w:type="dxa"/>
            <w:vMerge w:val="restart"/>
            <w:tcBorders>
              <w:top w:val="single" w:sz="8" w:space="0" w:color="000001"/>
              <w:left w:val="single" w:sz="8" w:space="0" w:color="000001"/>
              <w:right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Terenuri, total (ha)</w:t>
            </w:r>
          </w:p>
        </w:tc>
        <w:tc>
          <w:tcPr>
            <w:tcW w:w="4825" w:type="dxa"/>
            <w:gridSpan w:val="11"/>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inclusiv</w:t>
            </w:r>
          </w:p>
        </w:tc>
        <w:tc>
          <w:tcPr>
            <w:tcW w:w="1664" w:type="dxa"/>
            <w:gridSpan w:val="2"/>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r>
      <w:tr>
        <w:trPr>
          <w:trHeight w:val="147" w:hRule="atLeast"/>
        </w:trPr>
        <w:tc>
          <w:tcPr>
            <w:tcW w:w="1734" w:type="dxa"/>
            <w:gridSpan w:val="2"/>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1642" w:type="dxa"/>
            <w:vMerge w:val="continue"/>
            <w:tcBorders>
              <w:top w:val="single" w:sz="8" w:space="0" w:color="000001"/>
              <w:left w:val="single" w:sz="8" w:space="0" w:color="000001"/>
              <w:right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1337" w:type="dxa"/>
            <w:gridSpan w:val="3"/>
            <w:tcBorders>
              <w:right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proprii</w:t>
            </w:r>
          </w:p>
        </w:tc>
        <w:tc>
          <w:tcPr>
            <w:tcW w:w="1576" w:type="dxa"/>
            <w:gridSpan w:val="3"/>
            <w:tcBorders>
              <w:right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rFonts w:cs="Times New Roman CE" w:ascii="Times New Roman CE" w:hAnsi="Times New Roman CE"/>
                <w:sz w:val="18"/>
                <w:szCs w:val="18"/>
              </w:rPr>
              <w:t>primite în folosinţă</w:t>
            </w:r>
          </w:p>
        </w:tc>
        <w:tc>
          <w:tcPr>
            <w:tcW w:w="1911" w:type="dxa"/>
            <w:gridSpan w:val="4"/>
            <w:tcBorders>
              <w:right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rFonts w:cs="Times New Roman CE" w:ascii="Times New Roman CE" w:hAnsi="Times New Roman CE"/>
                <w:sz w:val="18"/>
                <w:szCs w:val="18"/>
              </w:rPr>
              <w:t>luate în arendă</w:t>
            </w:r>
          </w:p>
        </w:tc>
        <w:tc>
          <w:tcPr>
            <w:tcW w:w="1665"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r>
      <w:tr>
        <w:trPr>
          <w:trHeight w:val="147" w:hRule="atLeast"/>
        </w:trPr>
        <w:tc>
          <w:tcPr>
            <w:tcW w:w="1734" w:type="dxa"/>
            <w:gridSpan w:val="2"/>
            <w:tcBorders/>
            <w:shd w:fill="auto" w:val="clear"/>
            <w:vAlign w:val="bottom"/>
          </w:tcPr>
          <w:p>
            <w:pPr>
              <w:pStyle w:val="Normal"/>
              <w:widowControl/>
              <w:bidi w:val="0"/>
              <w:ind w:left="0" w:right="0" w:hanging="0"/>
              <w:jc w:val="both"/>
              <w:textAlignment w:val="auto"/>
              <w:rPr>
                <w:rFonts w:ascii="Times New Roman" w:hAnsi="Times New Roman"/>
                <w:b/>
                <w:b/>
                <w:bCs/>
                <w:sz w:val="18"/>
                <w:szCs w:val="18"/>
              </w:rPr>
            </w:pPr>
            <w:r>
              <w:rPr>
                <w:b/>
                <w:bCs/>
                <w:sz w:val="18"/>
                <w:szCs w:val="18"/>
              </w:rPr>
            </w:r>
          </w:p>
        </w:tc>
        <w:tc>
          <w:tcPr>
            <w:tcW w:w="1642" w:type="dxa"/>
            <w:tcBorders>
              <w:top w:val="single" w:sz="8" w:space="0" w:color="000001"/>
              <w:left w:val="single" w:sz="8" w:space="0" w:color="000001"/>
              <w:bottom w:val="single" w:sz="8" w:space="0" w:color="000001"/>
              <w:right w:val="single" w:sz="4" w:space="0" w:color="000001"/>
              <w:insideH w:val="single" w:sz="8" w:space="0" w:color="000001"/>
              <w:insideV w:val="single" w:sz="4" w:space="0" w:color="000001"/>
            </w:tcBorders>
            <w:shd w:color="auto" w:fill="CCFFCC"/>
            <w:tcMar>
              <w:left w:w="98" w:type="dxa"/>
            </w:tcMar>
            <w:vAlign w:val="bottom"/>
          </w:tcPr>
          <w:p>
            <w:pPr>
              <w:pStyle w:val="Normal"/>
              <w:widowControl/>
              <w:bidi w:val="0"/>
              <w:ind w:left="0" w:right="0" w:hanging="0"/>
              <w:jc w:val="center"/>
              <w:textAlignment w:val="auto"/>
              <w:rPr/>
            </w:pPr>
            <w:r>
              <w:rPr>
                <w:sz w:val="18"/>
                <w:szCs w:val="18"/>
              </w:rPr>
              <w:t>0</w:t>
            </w:r>
          </w:p>
        </w:tc>
        <w:tc>
          <w:tcPr>
            <w:tcW w:w="1337" w:type="dxa"/>
            <w:gridSpan w:val="3"/>
            <w:tcBorders>
              <w:top w:val="single" w:sz="8" w:space="0" w:color="000001"/>
              <w:bottom w:val="single" w:sz="8" w:space="0" w:color="000001"/>
              <w:insideH w:val="single" w:sz="8" w:space="0" w:color="000001"/>
            </w:tcBorders>
            <w:shd w:fill="auto" w:val="clear"/>
            <w:vAlign w:val="bottom"/>
          </w:tcPr>
          <w:p>
            <w:pPr>
              <w:pStyle w:val="Normal"/>
              <w:widowControl/>
              <w:bidi w:val="0"/>
              <w:ind w:left="0" w:right="0" w:hanging="0"/>
              <w:jc w:val="left"/>
              <w:textAlignment w:val="auto"/>
              <w:rPr/>
            </w:pPr>
            <w:r>
              <w:rPr>
                <w:sz w:val="18"/>
                <w:szCs w:val="18"/>
              </w:rPr>
              <w:t> </w:t>
            </w:r>
          </w:p>
        </w:tc>
        <w:tc>
          <w:tcPr>
            <w:tcW w:w="1576"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pPr>
            <w:r>
              <w:rPr>
                <w:sz w:val="18"/>
                <w:szCs w:val="18"/>
              </w:rPr>
              <w:t> </w:t>
            </w:r>
          </w:p>
        </w:tc>
        <w:tc>
          <w:tcPr>
            <w:tcW w:w="1911"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sz w:val="18"/>
                <w:szCs w:val="18"/>
              </w:rPr>
              <w:t> </w:t>
            </w:r>
          </w:p>
        </w:tc>
        <w:tc>
          <w:tcPr>
            <w:tcW w:w="1665"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r>
      <w:tr>
        <w:trPr>
          <w:trHeight w:val="147" w:hRule="atLeast"/>
        </w:trPr>
        <w:tc>
          <w:tcPr>
            <w:tcW w:w="9865" w:type="dxa"/>
            <w:gridSpan w:val="16"/>
            <w:tcBorders/>
            <w:shd w:fill="auto" w:val="clear"/>
            <w:vAlign w:val="bottom"/>
          </w:tcPr>
          <w:p>
            <w:pPr>
              <w:pStyle w:val="Normal"/>
              <w:widowControl/>
              <w:bidi w:val="0"/>
              <w:ind w:left="0" w:right="0" w:hanging="0"/>
              <w:jc w:val="center"/>
              <w:textAlignment w:val="auto"/>
              <w:rPr>
                <w:lang w:val="fr-FR"/>
              </w:rPr>
            </w:pPr>
            <w:r>
              <w:rPr>
                <w:b/>
                <w:bCs/>
                <w:sz w:val="18"/>
                <w:szCs w:val="18"/>
                <w:lang w:val="fr-FR"/>
              </w:rPr>
              <w:t>4.2. Nivelul de dotare cu echip</w:t>
            </w:r>
            <w:r>
              <w:rPr>
                <w:rFonts w:cs="Times New Roman CE" w:ascii="Times New Roman CE" w:hAnsi="Times New Roman CE"/>
                <w:b/>
                <w:bCs/>
                <w:sz w:val="18"/>
                <w:szCs w:val="18"/>
                <w:lang w:val="fr-FR"/>
              </w:rPr>
              <w:t>ament ştiinţific (fără calculatoare personale)</w:t>
            </w:r>
            <w:r>
              <w:rPr>
                <w:b/>
                <w:bCs/>
                <w:sz w:val="18"/>
                <w:szCs w:val="18"/>
                <w:lang w:val="fr-FR"/>
              </w:rPr>
              <w:t xml:space="preserve"> 2016</w:t>
            </w:r>
          </w:p>
        </w:tc>
      </w:tr>
      <w:tr>
        <w:trPr>
          <w:trHeight w:val="254" w:hRule="atLeast"/>
        </w:trPr>
        <w:tc>
          <w:tcPr>
            <w:tcW w:w="1301" w:type="dxa"/>
            <w:vMerge w:val="restart"/>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both"/>
              <w:textAlignment w:val="auto"/>
              <w:rPr>
                <w:lang w:val="en-US"/>
              </w:rPr>
            </w:pPr>
            <w:r>
              <w:rPr>
                <w:rFonts w:cs="Times New Roman CE" w:ascii="Times New Roman CE" w:hAnsi="Times New Roman CE"/>
                <w:sz w:val="18"/>
                <w:szCs w:val="18"/>
                <w:lang w:val="en-US"/>
              </w:rPr>
              <w:t>Echipament ştiinţific, total, conform datelor prezentate in bilanţ (mii lei)</w:t>
            </w:r>
          </w:p>
        </w:tc>
        <w:tc>
          <w:tcPr>
            <w:tcW w:w="4989" w:type="dxa"/>
            <w:gridSpan w:val="9"/>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rFonts w:cs="Times New Roman CE" w:ascii="Times New Roman CE" w:hAnsi="Times New Roman CE"/>
                <w:sz w:val="18"/>
                <w:szCs w:val="18"/>
                <w:lang w:val="fr-FR"/>
              </w:rPr>
              <w:t>Caracteristicile de vîrstă ale echipamentului ştiinţific, (mii lei)</w:t>
            </w:r>
          </w:p>
        </w:tc>
        <w:tc>
          <w:tcPr>
            <w:tcW w:w="1911" w:type="dxa"/>
            <w:gridSpan w:val="4"/>
            <w:vMerge w:val="restart"/>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both"/>
              <w:textAlignment w:val="auto"/>
              <w:rPr>
                <w:lang w:val="en-US"/>
              </w:rPr>
            </w:pPr>
            <w:r>
              <w:rPr>
                <w:rFonts w:cs="Times New Roman CE" w:ascii="Times New Roman CE" w:hAnsi="Times New Roman CE"/>
                <w:sz w:val="18"/>
                <w:szCs w:val="18"/>
                <w:lang w:val="en-US"/>
              </w:rPr>
              <w:t>Echipament ştiinţific, total (mii lei) per cercetător de bază</w:t>
            </w:r>
          </w:p>
        </w:tc>
        <w:tc>
          <w:tcPr>
            <w:tcW w:w="1664" w:type="dxa"/>
            <w:gridSpan w:val="2"/>
            <w:tcBorders/>
            <w:shd w:fill="auto" w:val="clear"/>
            <w:vAlign w:val="bottom"/>
          </w:tcPr>
          <w:p>
            <w:pPr>
              <w:pStyle w:val="Normal"/>
              <w:widowControl/>
              <w:bidi w:val="0"/>
              <w:ind w:left="0" w:right="0" w:hanging="0"/>
              <w:jc w:val="left"/>
              <w:textAlignment w:val="auto"/>
              <w:rPr>
                <w:rFonts w:ascii="Times New Roman" w:hAnsi="Times New Roman"/>
                <w:sz w:val="18"/>
                <w:szCs w:val="18"/>
                <w:lang w:val="en-US"/>
              </w:rPr>
            </w:pPr>
            <w:r>
              <w:rPr>
                <w:sz w:val="18"/>
                <w:szCs w:val="18"/>
                <w:lang w:val="en-US"/>
              </w:rPr>
            </w:r>
          </w:p>
        </w:tc>
      </w:tr>
      <w:tr>
        <w:trPr>
          <w:trHeight w:val="369" w:hRule="atLeast"/>
        </w:trPr>
        <w:tc>
          <w:tcPr>
            <w:tcW w:w="1301" w:type="dxa"/>
            <w:vMerge w:val="continue"/>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18"/>
                <w:szCs w:val="18"/>
                <w:lang w:val="en-US"/>
              </w:rPr>
            </w:pPr>
            <w:r>
              <w:rPr>
                <w:sz w:val="18"/>
                <w:szCs w:val="18"/>
                <w:lang w:val="en-US"/>
              </w:rPr>
            </w:r>
          </w:p>
        </w:tc>
        <w:tc>
          <w:tcPr>
            <w:tcW w:w="2075"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rFonts w:cs="Times New Roman CE" w:ascii="Times New Roman CE" w:hAnsi="Times New Roman CE"/>
                <w:sz w:val="18"/>
                <w:szCs w:val="18"/>
              </w:rPr>
              <w:t>de pînă la 5 ani</w:t>
            </w:r>
          </w:p>
        </w:tc>
        <w:tc>
          <w:tcPr>
            <w:tcW w:w="133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de 6-10 ani</w:t>
            </w:r>
          </w:p>
        </w:tc>
        <w:tc>
          <w:tcPr>
            <w:tcW w:w="1576"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18"/>
                <w:szCs w:val="18"/>
                <w:lang w:val="fr-FR"/>
              </w:rPr>
              <w:t>de la 10 ani în sus</w:t>
            </w:r>
          </w:p>
        </w:tc>
        <w:tc>
          <w:tcPr>
            <w:tcW w:w="1911" w:type="dxa"/>
            <w:gridSpan w:val="4"/>
            <w:vMerge w:val="continue"/>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18"/>
                <w:szCs w:val="18"/>
                <w:lang w:val="fr-FR"/>
              </w:rPr>
            </w:pPr>
            <w:r>
              <w:rPr>
                <w:sz w:val="18"/>
                <w:szCs w:val="18"/>
                <w:lang w:val="fr-FR"/>
              </w:rPr>
            </w:r>
          </w:p>
        </w:tc>
        <w:tc>
          <w:tcPr>
            <w:tcW w:w="1665"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lang w:val="fr-FR"/>
              </w:rPr>
            </w:pPr>
            <w:r>
              <w:rPr>
                <w:sz w:val="18"/>
                <w:szCs w:val="18"/>
                <w:lang w:val="fr-FR"/>
              </w:rPr>
            </w:r>
          </w:p>
        </w:tc>
      </w:tr>
      <w:tr>
        <w:trPr>
          <w:trHeight w:val="147" w:hRule="atLeast"/>
        </w:trPr>
        <w:tc>
          <w:tcPr>
            <w:tcW w:w="1301" w:type="dxa"/>
            <w:tcBorders>
              <w:left w:val="single" w:sz="8" w:space="0" w:color="000001"/>
              <w:bottom w:val="single" w:sz="8" w:space="0" w:color="000001"/>
              <w:right w:val="single" w:sz="8" w:space="0" w:color="000001"/>
              <w:insideH w:val="single" w:sz="8" w:space="0" w:color="000001"/>
              <w:insideV w:val="single" w:sz="8" w:space="0" w:color="000001"/>
            </w:tcBorders>
            <w:shd w:color="auto" w:fill="CCFFCC"/>
            <w:tcMar>
              <w:left w:w="98" w:type="dxa"/>
            </w:tcMar>
            <w:vAlign w:val="bottom"/>
          </w:tcPr>
          <w:p>
            <w:pPr>
              <w:pStyle w:val="Normal"/>
              <w:widowControl/>
              <w:bidi w:val="0"/>
              <w:ind w:left="0" w:right="0" w:hanging="0"/>
              <w:jc w:val="center"/>
              <w:textAlignment w:val="auto"/>
              <w:rPr>
                <w:rFonts w:ascii="Times New Roman" w:hAnsi="Times New Roman"/>
                <w:sz w:val="18"/>
                <w:szCs w:val="18"/>
                <w:lang w:val="ro-RO"/>
              </w:rPr>
            </w:pPr>
            <w:r>
              <w:rPr>
                <w:sz w:val="18"/>
                <w:szCs w:val="18"/>
                <w:lang w:val="ro-RO"/>
              </w:rPr>
            </w:r>
          </w:p>
        </w:tc>
        <w:tc>
          <w:tcPr>
            <w:tcW w:w="2075"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18"/>
                <w:szCs w:val="18"/>
                <w:lang w:val="ro-RO"/>
              </w:rPr>
            </w:pPr>
            <w:r>
              <w:rPr>
                <w:sz w:val="18"/>
                <w:szCs w:val="18"/>
                <w:lang w:val="ro-RO"/>
              </w:rPr>
            </w:r>
          </w:p>
        </w:tc>
        <w:tc>
          <w:tcPr>
            <w:tcW w:w="133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18"/>
                <w:szCs w:val="18"/>
                <w:lang w:val="ro-RO"/>
              </w:rPr>
            </w:pPr>
            <w:r>
              <w:rPr>
                <w:sz w:val="18"/>
                <w:szCs w:val="18"/>
                <w:lang w:val="ro-RO"/>
              </w:rPr>
            </w:r>
          </w:p>
        </w:tc>
        <w:tc>
          <w:tcPr>
            <w:tcW w:w="1576"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18"/>
                <w:szCs w:val="18"/>
                <w:lang w:val="ro-RO"/>
              </w:rPr>
            </w:pPr>
            <w:r>
              <w:rPr>
                <w:sz w:val="18"/>
                <w:szCs w:val="18"/>
                <w:lang w:val="ro-RO"/>
              </w:rPr>
            </w:r>
          </w:p>
        </w:tc>
        <w:tc>
          <w:tcPr>
            <w:tcW w:w="1911" w:type="dxa"/>
            <w:gridSpan w:val="4"/>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rFonts w:ascii="Times New Roman" w:hAnsi="Times New Roman"/>
                <w:sz w:val="18"/>
                <w:szCs w:val="18"/>
                <w:lang w:val="ro-RO"/>
              </w:rPr>
            </w:pPr>
            <w:r>
              <w:rPr>
                <w:sz w:val="18"/>
                <w:szCs w:val="18"/>
                <w:lang w:val="ro-RO"/>
              </w:rPr>
            </w:r>
          </w:p>
        </w:tc>
        <w:tc>
          <w:tcPr>
            <w:tcW w:w="1665"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lang w:val="fr-FR"/>
              </w:rPr>
            </w:pPr>
            <w:r>
              <w:rPr>
                <w:sz w:val="18"/>
                <w:szCs w:val="18"/>
                <w:lang w:val="fr-FR"/>
              </w:rPr>
            </w:r>
          </w:p>
        </w:tc>
      </w:tr>
      <w:tr>
        <w:trPr>
          <w:trHeight w:val="147" w:hRule="atLeast"/>
        </w:trPr>
        <w:tc>
          <w:tcPr>
            <w:tcW w:w="9865" w:type="dxa"/>
            <w:gridSpan w:val="16"/>
            <w:tcBorders>
              <w:bottom w:val="single" w:sz="8" w:space="0" w:color="000001"/>
              <w:insideH w:val="single" w:sz="8" w:space="0" w:color="000001"/>
            </w:tcBorders>
            <w:shd w:fill="auto" w:val="clear"/>
            <w:vAlign w:val="bottom"/>
          </w:tcPr>
          <w:p>
            <w:pPr>
              <w:pStyle w:val="Normal"/>
              <w:widowControl/>
              <w:bidi w:val="0"/>
              <w:ind w:left="0" w:right="0" w:hanging="0"/>
              <w:jc w:val="center"/>
              <w:textAlignment w:val="auto"/>
              <w:rPr>
                <w:lang w:val="fr-FR"/>
              </w:rPr>
            </w:pPr>
            <w:r>
              <w:rPr>
                <w:b/>
                <w:bCs/>
                <w:sz w:val="18"/>
                <w:szCs w:val="18"/>
                <w:lang w:val="fr-FR"/>
              </w:rPr>
              <w:t>4.3.Nivelul de dotare cu calculatoare personale, utilizate în procesul de cercetare 2016</w:t>
            </w:r>
          </w:p>
        </w:tc>
      </w:tr>
      <w:tr>
        <w:trPr>
          <w:trHeight w:val="147" w:hRule="atLeast"/>
        </w:trPr>
        <w:tc>
          <w:tcPr>
            <w:tcW w:w="1734" w:type="dxa"/>
            <w:gridSpan w:val="2"/>
            <w:vMerge w:val="restart"/>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180"/>
              <w:jc w:val="left"/>
              <w:textAlignment w:val="auto"/>
              <w:rPr>
                <w:lang w:val="fr-FR"/>
              </w:rPr>
            </w:pPr>
            <w:r>
              <w:rPr>
                <w:rFonts w:cs="Times New Roman CE" w:ascii="Times New Roman CE" w:hAnsi="Times New Roman CE"/>
                <w:sz w:val="18"/>
                <w:szCs w:val="18"/>
                <w:lang w:val="fr-FR"/>
              </w:rPr>
              <w:t>Numărul de calculatoare personale, total</w:t>
            </w:r>
          </w:p>
        </w:tc>
        <w:tc>
          <w:tcPr>
            <w:tcW w:w="4555" w:type="dxa"/>
            <w:gridSpan w:val="7"/>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rFonts w:cs="Times New Roman CE" w:ascii="Times New Roman CE" w:hAnsi="Times New Roman CE"/>
                <w:sz w:val="18"/>
                <w:szCs w:val="18"/>
              </w:rPr>
              <w:t>Caracteristicile de vîrstă, (nr.)</w:t>
            </w:r>
          </w:p>
        </w:tc>
        <w:tc>
          <w:tcPr>
            <w:tcW w:w="1911" w:type="dxa"/>
            <w:gridSpan w:val="4"/>
            <w:vMerge w:val="restart"/>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center"/>
              <w:textAlignment w:val="auto"/>
              <w:rPr/>
            </w:pPr>
            <w:r>
              <w:rPr>
                <w:sz w:val="18"/>
                <w:szCs w:val="18"/>
              </w:rPr>
              <w:t>Cu acces la Internet</w:t>
            </w:r>
          </w:p>
        </w:tc>
        <w:tc>
          <w:tcPr>
            <w:tcW w:w="1665" w:type="dxa"/>
            <w:gridSpan w:val="3"/>
            <w:vMerge w:val="restart"/>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rFonts w:cs="Times New Roman CE" w:ascii="Times New Roman CE" w:hAnsi="Times New Roman CE"/>
                <w:sz w:val="18"/>
                <w:szCs w:val="18"/>
                <w:lang w:val="fr-FR"/>
              </w:rPr>
              <w:t>Numărul de calculatoare personale per cercetător de bază</w:t>
            </w:r>
          </w:p>
        </w:tc>
      </w:tr>
      <w:tr>
        <w:trPr>
          <w:trHeight w:val="418" w:hRule="atLeast"/>
        </w:trPr>
        <w:tc>
          <w:tcPr>
            <w:tcW w:w="1734" w:type="dxa"/>
            <w:gridSpan w:val="2"/>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18"/>
                <w:szCs w:val="18"/>
                <w:lang w:val="fr-FR"/>
              </w:rPr>
            </w:pPr>
            <w:r>
              <w:rPr>
                <w:sz w:val="18"/>
                <w:szCs w:val="18"/>
                <w:lang w:val="fr-FR"/>
              </w:rPr>
            </w:r>
          </w:p>
        </w:tc>
        <w:tc>
          <w:tcPr>
            <w:tcW w:w="1642"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rFonts w:cs="Times New Roman CE" w:ascii="Times New Roman CE" w:hAnsi="Times New Roman CE"/>
                <w:sz w:val="18"/>
                <w:szCs w:val="18"/>
              </w:rPr>
              <w:t>de pînă la 3 ani</w:t>
            </w:r>
          </w:p>
        </w:tc>
        <w:tc>
          <w:tcPr>
            <w:tcW w:w="1337"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de 3-5 ani</w:t>
            </w:r>
          </w:p>
        </w:tc>
        <w:tc>
          <w:tcPr>
            <w:tcW w:w="1576"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18"/>
                <w:szCs w:val="18"/>
                <w:lang w:val="fr-FR"/>
              </w:rPr>
              <w:t>de la 5 ani în sus</w:t>
            </w:r>
          </w:p>
        </w:tc>
        <w:tc>
          <w:tcPr>
            <w:tcW w:w="1911" w:type="dxa"/>
            <w:gridSpan w:val="4"/>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18"/>
                <w:szCs w:val="18"/>
                <w:lang w:val="fr-FR"/>
              </w:rPr>
            </w:pPr>
            <w:r>
              <w:rPr>
                <w:sz w:val="18"/>
                <w:szCs w:val="18"/>
                <w:lang w:val="fr-FR"/>
              </w:rPr>
            </w:r>
          </w:p>
        </w:tc>
        <w:tc>
          <w:tcPr>
            <w:tcW w:w="1665" w:type="dxa"/>
            <w:gridSpan w:val="3"/>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18"/>
                <w:szCs w:val="18"/>
                <w:lang w:val="fr-FR"/>
              </w:rPr>
            </w:pPr>
            <w:r>
              <w:rPr>
                <w:sz w:val="18"/>
                <w:szCs w:val="18"/>
                <w:lang w:val="fr-FR"/>
              </w:rPr>
            </w:r>
          </w:p>
        </w:tc>
      </w:tr>
      <w:tr>
        <w:trPr>
          <w:trHeight w:val="147" w:hRule="atLeast"/>
        </w:trPr>
        <w:tc>
          <w:tcPr>
            <w:tcW w:w="1734" w:type="dxa"/>
            <w:gridSpan w:val="2"/>
            <w:tcBorders>
              <w:left w:val="single" w:sz="8" w:space="0" w:color="000001"/>
              <w:bottom w:val="single" w:sz="8" w:space="0" w:color="000001"/>
              <w:right w:val="single" w:sz="8" w:space="0" w:color="000001"/>
              <w:insideH w:val="single" w:sz="8" w:space="0" w:color="000001"/>
              <w:insideV w:val="single" w:sz="8" w:space="0" w:color="000001"/>
            </w:tcBorders>
            <w:shd w:color="auto" w:fill="CCFFCC"/>
            <w:tcMar>
              <w:left w:w="98" w:type="dxa"/>
            </w:tcMar>
          </w:tcPr>
          <w:p>
            <w:pPr>
              <w:pStyle w:val="Normal"/>
              <w:widowControl/>
              <w:bidi w:val="0"/>
              <w:ind w:left="0" w:right="0" w:hanging="0"/>
              <w:jc w:val="center"/>
              <w:textAlignment w:val="auto"/>
              <w:rPr/>
            </w:pPr>
            <w:r>
              <w:rPr>
                <w:sz w:val="18"/>
                <w:szCs w:val="18"/>
              </w:rPr>
              <w:t>1</w:t>
            </w:r>
            <w:r>
              <w:rPr>
                <w:sz w:val="18"/>
                <w:szCs w:val="18"/>
                <w:lang w:val="ro-RO"/>
              </w:rPr>
              <w:t>55</w:t>
            </w:r>
          </w:p>
        </w:tc>
        <w:tc>
          <w:tcPr>
            <w:tcW w:w="1642"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ro-RO"/>
              </w:rPr>
            </w:pPr>
            <w:r>
              <w:rPr>
                <w:sz w:val="18"/>
                <w:szCs w:val="18"/>
                <w:lang w:val="ro-RO"/>
              </w:rPr>
              <w:t>40</w:t>
            </w:r>
          </w:p>
        </w:tc>
        <w:tc>
          <w:tcPr>
            <w:tcW w:w="133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ro-RO"/>
              </w:rPr>
            </w:pPr>
            <w:r>
              <w:rPr>
                <w:sz w:val="18"/>
                <w:szCs w:val="18"/>
                <w:lang w:val="ro-RO"/>
              </w:rPr>
              <w:t>18</w:t>
            </w:r>
          </w:p>
        </w:tc>
        <w:tc>
          <w:tcPr>
            <w:tcW w:w="1576"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ro-RO"/>
              </w:rPr>
            </w:pPr>
            <w:r>
              <w:rPr>
                <w:sz w:val="18"/>
                <w:szCs w:val="18"/>
                <w:lang w:val="ro-RO"/>
              </w:rPr>
              <w:t>97</w:t>
            </w:r>
          </w:p>
        </w:tc>
        <w:tc>
          <w:tcPr>
            <w:tcW w:w="1911"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1</w:t>
            </w:r>
            <w:r>
              <w:rPr>
                <w:sz w:val="18"/>
                <w:szCs w:val="18"/>
                <w:lang w:val="ro-RO"/>
              </w:rPr>
              <w:t>55</w:t>
            </w:r>
          </w:p>
        </w:tc>
        <w:tc>
          <w:tcPr>
            <w:tcW w:w="1665"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ro-RO"/>
              </w:rPr>
            </w:pPr>
            <w:r>
              <w:rPr>
                <w:sz w:val="18"/>
                <w:szCs w:val="18"/>
                <w:lang w:val="ro-RO"/>
              </w:rPr>
              <w:t>3,5</w:t>
            </w:r>
          </w:p>
        </w:tc>
      </w:tr>
      <w:tr>
        <w:trPr>
          <w:trHeight w:val="147" w:hRule="atLeast"/>
        </w:trPr>
        <w:tc>
          <w:tcPr>
            <w:tcW w:w="9865" w:type="dxa"/>
            <w:gridSpan w:val="16"/>
            <w:tcBorders>
              <w:top w:val="single" w:sz="8" w:space="0" w:color="000001"/>
              <w:bottom w:val="single" w:sz="8" w:space="0" w:color="000001"/>
              <w:insideH w:val="single" w:sz="8" w:space="0" w:color="000001"/>
            </w:tcBorders>
            <w:shd w:fill="auto" w:val="clear"/>
            <w:vAlign w:val="bottom"/>
          </w:tcPr>
          <w:p>
            <w:pPr>
              <w:pStyle w:val="Normal"/>
              <w:widowControl/>
              <w:bidi w:val="0"/>
              <w:ind w:left="0" w:right="0" w:hanging="0"/>
              <w:jc w:val="center"/>
              <w:textAlignment w:val="auto"/>
              <w:rPr/>
            </w:pPr>
            <w:r>
              <w:rPr>
                <w:rFonts w:cs="Times New Roman CE" w:ascii="Times New Roman CE" w:hAnsi="Times New Roman CE"/>
                <w:b/>
                <w:bCs/>
                <w:sz w:val="18"/>
                <w:szCs w:val="18"/>
              </w:rPr>
              <w:t>4.4.Achiziţiile din perioada evaluată</w:t>
            </w:r>
          </w:p>
        </w:tc>
      </w:tr>
      <w:tr>
        <w:trPr>
          <w:trHeight w:val="147" w:hRule="atLeast"/>
        </w:trPr>
        <w:tc>
          <w:tcPr>
            <w:tcW w:w="1734" w:type="dxa"/>
            <w:gridSpan w:val="2"/>
            <w:vMerge w:val="restart"/>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center"/>
              <w:textAlignment w:val="auto"/>
              <w:rPr/>
            </w:pPr>
            <w:r>
              <w:rPr>
                <w:sz w:val="18"/>
                <w:szCs w:val="18"/>
              </w:rPr>
              <w:t> </w:t>
            </w:r>
          </w:p>
        </w:tc>
        <w:tc>
          <w:tcPr>
            <w:tcW w:w="1642" w:type="dxa"/>
            <w:vMerge w:val="restart"/>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pPr>
            <w:r>
              <w:rPr>
                <w:rFonts w:cs="Times New Roman CE" w:ascii="Times New Roman CE" w:hAnsi="Times New Roman CE"/>
                <w:sz w:val="18"/>
                <w:szCs w:val="18"/>
              </w:rPr>
              <w:t>Denumirea achiziţiei</w:t>
            </w:r>
          </w:p>
        </w:tc>
        <w:tc>
          <w:tcPr>
            <w:tcW w:w="2914" w:type="dxa"/>
            <w:gridSpan w:val="7"/>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rFonts w:cs="Times New Roman CE" w:ascii="Times New Roman CE" w:hAnsi="Times New Roman CE"/>
                <w:sz w:val="18"/>
                <w:szCs w:val="18"/>
              </w:rPr>
              <w:t>Cheltuieli de achiziţionare</w:t>
            </w:r>
          </w:p>
        </w:tc>
        <w:tc>
          <w:tcPr>
            <w:tcW w:w="3575" w:type="dxa"/>
            <w:gridSpan w:val="6"/>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rFonts w:cs="Times New Roman CE" w:ascii="Times New Roman CE" w:hAnsi="Times New Roman CE"/>
                <w:sz w:val="18"/>
                <w:szCs w:val="18"/>
              </w:rPr>
              <w:t>Unităţi fizice procurate</w:t>
            </w:r>
          </w:p>
        </w:tc>
      </w:tr>
      <w:tr>
        <w:trPr>
          <w:trHeight w:val="427" w:hRule="atLeast"/>
        </w:trPr>
        <w:tc>
          <w:tcPr>
            <w:tcW w:w="1734" w:type="dxa"/>
            <w:gridSpan w:val="2"/>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1642" w:type="dxa"/>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1337"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rFonts w:cs="Times New Roman CE" w:ascii="Times New Roman CE" w:hAnsi="Times New Roman CE"/>
                <w:sz w:val="18"/>
                <w:szCs w:val="18"/>
              </w:rPr>
              <w:t>Suma totală</w:t>
            </w:r>
            <w:r>
              <w:rPr>
                <w:sz w:val="18"/>
                <w:szCs w:val="18"/>
              </w:rPr>
              <w:t>, mii lei</w:t>
            </w:r>
          </w:p>
        </w:tc>
        <w:tc>
          <w:tcPr>
            <w:tcW w:w="1576"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rFonts w:cs="Times New Roman CE" w:ascii="Times New Roman CE" w:hAnsi="Times New Roman CE"/>
                <w:sz w:val="18"/>
                <w:szCs w:val="18"/>
                <w:lang w:val="en-US"/>
              </w:rPr>
              <w:t>Ponderea în totalul cheltuielilor instituţiei, %</w:t>
            </w:r>
          </w:p>
        </w:tc>
        <w:tc>
          <w:tcPr>
            <w:tcW w:w="1911" w:type="dxa"/>
            <w:gridSpan w:val="4"/>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rFonts w:cs="Times New Roman CE" w:ascii="Times New Roman CE" w:hAnsi="Times New Roman CE"/>
                <w:sz w:val="18"/>
                <w:szCs w:val="18"/>
              </w:rPr>
              <w:t>Numărul total</w:t>
            </w:r>
          </w:p>
        </w:tc>
        <w:tc>
          <w:tcPr>
            <w:tcW w:w="1665"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fr-FR"/>
              </w:rPr>
            </w:pPr>
            <w:r>
              <w:rPr>
                <w:rFonts w:cs="Times New Roman CE" w:ascii="Times New Roman CE" w:hAnsi="Times New Roman CE"/>
                <w:sz w:val="18"/>
                <w:szCs w:val="18"/>
                <w:lang w:val="fr-FR"/>
              </w:rPr>
              <w:t>Numărul unităţilor  în sumă de peste 50 mii lei</w:t>
            </w:r>
          </w:p>
        </w:tc>
      </w:tr>
      <w:tr>
        <w:trPr>
          <w:trHeight w:val="147" w:hRule="atLeast"/>
        </w:trPr>
        <w:tc>
          <w:tcPr>
            <w:tcW w:w="1734"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pPr>
            <w:r>
              <w:rPr>
                <w:sz w:val="18"/>
                <w:szCs w:val="18"/>
              </w:rPr>
              <w:t>4.4.1.</w:t>
            </w:r>
          </w:p>
        </w:tc>
        <w:tc>
          <w:tcPr>
            <w:tcW w:w="1642"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rFonts w:cs="Times New Roman CE" w:ascii="Times New Roman CE" w:hAnsi="Times New Roman CE"/>
                <w:sz w:val="18"/>
                <w:szCs w:val="18"/>
              </w:rPr>
              <w:t>Echipament ştiinţific</w:t>
            </w:r>
          </w:p>
        </w:tc>
        <w:tc>
          <w:tcPr>
            <w:tcW w:w="1337"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right"/>
              <w:textAlignment w:val="auto"/>
              <w:rPr>
                <w:lang w:val="ro-RO"/>
              </w:rPr>
            </w:pPr>
            <w:r>
              <w:rPr>
                <w:sz w:val="18"/>
                <w:szCs w:val="18"/>
                <w:lang w:val="ro-RO"/>
              </w:rPr>
              <w:t>198,9</w:t>
            </w:r>
          </w:p>
        </w:tc>
        <w:tc>
          <w:tcPr>
            <w:tcW w:w="1576"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ro-RO"/>
              </w:rPr>
            </w:pPr>
            <w:r>
              <w:rPr>
                <w:sz w:val="18"/>
                <w:szCs w:val="18"/>
                <w:lang w:val="ro-RO"/>
              </w:rPr>
              <w:t>3,0%</w:t>
            </w:r>
          </w:p>
        </w:tc>
        <w:tc>
          <w:tcPr>
            <w:tcW w:w="1911" w:type="dxa"/>
            <w:gridSpan w:val="4"/>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right"/>
              <w:textAlignment w:val="auto"/>
              <w:rPr>
                <w:rFonts w:ascii="Times New Roman" w:hAnsi="Times New Roman"/>
                <w:sz w:val="18"/>
                <w:szCs w:val="18"/>
              </w:rPr>
            </w:pPr>
            <w:r>
              <w:rPr>
                <w:sz w:val="18"/>
                <w:szCs w:val="18"/>
              </w:rPr>
            </w:r>
          </w:p>
        </w:tc>
        <w:tc>
          <w:tcPr>
            <w:tcW w:w="1665"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right"/>
              <w:textAlignment w:val="auto"/>
              <w:rPr/>
            </w:pPr>
            <w:r>
              <w:rPr>
                <w:sz w:val="18"/>
                <w:szCs w:val="18"/>
              </w:rPr>
              <w:t> </w:t>
            </w:r>
            <w:r>
              <w:rPr>
                <w:sz w:val="18"/>
                <w:szCs w:val="18"/>
                <w:lang w:val="ro-RO"/>
              </w:rPr>
              <w:t>1</w:t>
            </w:r>
          </w:p>
        </w:tc>
      </w:tr>
      <w:tr>
        <w:trPr>
          <w:trHeight w:val="287" w:hRule="atLeast"/>
        </w:trPr>
        <w:tc>
          <w:tcPr>
            <w:tcW w:w="1734"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sz w:val="18"/>
                <w:szCs w:val="18"/>
                <w:lang w:val="en-US"/>
              </w:rPr>
              <w:t>4.4.2.</w:t>
            </w:r>
          </w:p>
        </w:tc>
        <w:tc>
          <w:tcPr>
            <w:tcW w:w="1642"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sz w:val="18"/>
                <w:szCs w:val="18"/>
              </w:rPr>
              <w:t>Calculatoare personale</w:t>
            </w:r>
          </w:p>
        </w:tc>
        <w:tc>
          <w:tcPr>
            <w:tcW w:w="1337"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right"/>
              <w:textAlignment w:val="auto"/>
              <w:rPr>
                <w:lang w:val="ro-RO"/>
              </w:rPr>
            </w:pPr>
            <w:r>
              <w:rPr>
                <w:sz w:val="18"/>
                <w:szCs w:val="18"/>
                <w:lang w:val="ro-RO"/>
              </w:rPr>
              <w:t>8,3</w:t>
            </w:r>
          </w:p>
        </w:tc>
        <w:tc>
          <w:tcPr>
            <w:tcW w:w="1576"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ro-RO"/>
              </w:rPr>
            </w:pPr>
            <w:r>
              <w:rPr>
                <w:sz w:val="18"/>
                <w:szCs w:val="18"/>
                <w:lang w:val="ro-RO"/>
              </w:rPr>
              <w:t>0,001</w:t>
            </w:r>
            <w:r>
              <w:rPr>
                <w:sz w:val="18"/>
                <w:szCs w:val="18"/>
              </w:rPr>
              <w:t>%</w:t>
            </w:r>
          </w:p>
        </w:tc>
        <w:tc>
          <w:tcPr>
            <w:tcW w:w="1911" w:type="dxa"/>
            <w:gridSpan w:val="4"/>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right"/>
              <w:textAlignment w:val="auto"/>
              <w:rPr>
                <w:lang w:val="ro-RO"/>
              </w:rPr>
            </w:pPr>
            <w:r>
              <w:rPr>
                <w:sz w:val="18"/>
                <w:szCs w:val="18"/>
                <w:lang w:val="ro-RO"/>
              </w:rPr>
              <w:t>1</w:t>
            </w:r>
          </w:p>
        </w:tc>
        <w:tc>
          <w:tcPr>
            <w:tcW w:w="1665"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sz w:val="18"/>
                <w:szCs w:val="18"/>
              </w:rPr>
              <w:t> </w:t>
            </w:r>
          </w:p>
        </w:tc>
      </w:tr>
      <w:tr>
        <w:trPr>
          <w:trHeight w:val="147" w:hRule="atLeast"/>
        </w:trPr>
        <w:tc>
          <w:tcPr>
            <w:tcW w:w="9865" w:type="dxa"/>
            <w:gridSpan w:val="16"/>
            <w:tcBorders>
              <w:bottom w:val="single" w:sz="8" w:space="0" w:color="000001"/>
              <w:insideH w:val="single" w:sz="8" w:space="0" w:color="000001"/>
            </w:tcBorders>
            <w:shd w:fill="auto" w:val="clear"/>
            <w:vAlign w:val="bottom"/>
          </w:tcPr>
          <w:p>
            <w:pPr>
              <w:pStyle w:val="Normal"/>
              <w:widowControl/>
              <w:bidi w:val="0"/>
              <w:ind w:left="0" w:right="0" w:hanging="0"/>
              <w:jc w:val="center"/>
              <w:textAlignment w:val="auto"/>
              <w:rPr>
                <w:lang w:val="en-US"/>
              </w:rPr>
            </w:pPr>
            <w:r>
              <w:rPr>
                <w:rFonts w:cs="Times New Roman CE" w:ascii="Times New Roman CE" w:hAnsi="Times New Roman CE"/>
                <w:b/>
                <w:bCs/>
                <w:sz w:val="18"/>
                <w:szCs w:val="18"/>
                <w:lang w:val="en-US"/>
              </w:rPr>
              <w:t>4.5. Principale aparate (echipament ştiinţific) procurate în perioada evaluată</w:t>
            </w:r>
            <w:r>
              <w:rPr>
                <w:b/>
                <w:bCs/>
                <w:sz w:val="18"/>
                <w:szCs w:val="18"/>
                <w:lang w:val="en-US"/>
              </w:rPr>
              <w:t xml:space="preserve"> 2016</w:t>
            </w:r>
          </w:p>
        </w:tc>
      </w:tr>
      <w:tr>
        <w:trPr>
          <w:trHeight w:val="147" w:hRule="atLeast"/>
        </w:trPr>
        <w:tc>
          <w:tcPr>
            <w:tcW w:w="3376"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180"/>
              <w:jc w:val="left"/>
              <w:textAlignment w:val="auto"/>
              <w:rPr/>
            </w:pPr>
            <w:r>
              <w:rPr>
                <w:sz w:val="18"/>
                <w:szCs w:val="18"/>
              </w:rPr>
              <w:t>Denumirea aparatului</w:t>
            </w:r>
          </w:p>
        </w:tc>
        <w:tc>
          <w:tcPr>
            <w:tcW w:w="6489" w:type="dxa"/>
            <w:gridSpan w:val="13"/>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rPr>
              <w:t>Echipament pentru videoconferinţe, Printer Canon i-SENSZS LBP-7780CX,Printer Canon LBP-6780CX, Proiector 4200 Lum Repack, Scanner informatic Plustek OptikBook 4800. Server Dell Power Edge C6100</w:t>
            </w:r>
            <w:r>
              <w:rPr>
                <w:sz w:val="18"/>
                <w:szCs w:val="18"/>
                <w:lang w:val="en-US"/>
              </w:rPr>
              <w:t>, UPS APC Smart UPS 3000 VA</w:t>
            </w:r>
          </w:p>
        </w:tc>
      </w:tr>
      <w:tr>
        <w:trPr>
          <w:trHeight w:val="147" w:hRule="atLeast"/>
        </w:trPr>
        <w:tc>
          <w:tcPr>
            <w:tcW w:w="3376"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180"/>
              <w:jc w:val="left"/>
              <w:textAlignment w:val="auto"/>
              <w:rPr/>
            </w:pPr>
            <w:r>
              <w:rPr>
                <w:sz w:val="18"/>
                <w:szCs w:val="18"/>
              </w:rPr>
              <w:t>Costul, mii lei</w:t>
            </w:r>
          </w:p>
        </w:tc>
        <w:tc>
          <w:tcPr>
            <w:tcW w:w="6489" w:type="dxa"/>
            <w:gridSpan w:val="13"/>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18"/>
                <w:szCs w:val="18"/>
                <w:lang w:val="en-US"/>
              </w:rPr>
              <w:t>46,3; 13,23; 10,71; 21,25;17,15; 73,9; 22,5.</w:t>
            </w:r>
          </w:p>
        </w:tc>
      </w:tr>
      <w:tr>
        <w:trPr>
          <w:trHeight w:val="147" w:hRule="atLeast"/>
        </w:trPr>
        <w:tc>
          <w:tcPr>
            <w:tcW w:w="3376"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180"/>
              <w:jc w:val="left"/>
              <w:textAlignment w:val="auto"/>
              <w:rPr/>
            </w:pPr>
            <w:r>
              <w:rPr>
                <w:rFonts w:cs="Times New Roman CE" w:ascii="Times New Roman CE" w:hAnsi="Times New Roman CE"/>
                <w:sz w:val="18"/>
                <w:szCs w:val="18"/>
              </w:rPr>
              <w:t>Destinaţia aparatului</w:t>
            </w:r>
          </w:p>
        </w:tc>
        <w:tc>
          <w:tcPr>
            <w:tcW w:w="6489" w:type="dxa"/>
            <w:gridSpan w:val="13"/>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rPr>
              <w:t>Conferinţe video;apoarte laconferinţe, anuale; Imprimarea şi scanarea materialelor de uz ştiinţific şi administrativ; Echipament pentru reţea locală.</w:t>
            </w:r>
          </w:p>
        </w:tc>
      </w:tr>
      <w:tr>
        <w:trPr>
          <w:trHeight w:val="328" w:hRule="atLeast"/>
        </w:trPr>
        <w:tc>
          <w:tcPr>
            <w:tcW w:w="3376"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180"/>
              <w:jc w:val="left"/>
              <w:textAlignment w:val="auto"/>
              <w:rPr>
                <w:lang w:val="en-US"/>
              </w:rPr>
            </w:pPr>
            <w:r>
              <w:rPr>
                <w:sz w:val="18"/>
                <w:szCs w:val="18"/>
                <w:lang w:val="en-US"/>
              </w:rPr>
              <w:t>Influen</w:t>
            </w:r>
            <w:r>
              <w:rPr>
                <w:rFonts w:cs="Times New Roman CE" w:ascii="Times New Roman CE" w:hAnsi="Times New Roman CE"/>
                <w:sz w:val="18"/>
                <w:szCs w:val="18"/>
              </w:rPr>
              <w:t>ţ</w:t>
            </w:r>
            <w:r>
              <w:rPr>
                <w:sz w:val="18"/>
                <w:szCs w:val="18"/>
                <w:lang w:val="en-US"/>
              </w:rPr>
              <w:t>a</w:t>
            </w:r>
            <w:r>
              <w:rPr>
                <w:sz w:val="18"/>
                <w:szCs w:val="18"/>
              </w:rPr>
              <w:t xml:space="preserve"> </w:t>
            </w:r>
            <w:r>
              <w:rPr>
                <w:sz w:val="18"/>
                <w:szCs w:val="18"/>
                <w:lang w:val="en-US"/>
              </w:rPr>
              <w:t>procur</w:t>
            </w:r>
            <w:r>
              <w:rPr>
                <w:rFonts w:cs="Times New Roman CE" w:ascii="Times New Roman CE" w:hAnsi="Times New Roman CE"/>
                <w:sz w:val="18"/>
                <w:szCs w:val="18"/>
              </w:rPr>
              <w:t>ă</w:t>
            </w:r>
            <w:r>
              <w:rPr>
                <w:sz w:val="18"/>
                <w:szCs w:val="18"/>
                <w:lang w:val="en-US"/>
              </w:rPr>
              <w:t>rii</w:t>
            </w:r>
            <w:r>
              <w:rPr>
                <w:sz w:val="18"/>
                <w:szCs w:val="18"/>
              </w:rPr>
              <w:t xml:space="preserve"> </w:t>
            </w:r>
            <w:r>
              <w:rPr>
                <w:sz w:val="18"/>
                <w:szCs w:val="18"/>
                <w:lang w:val="en-US"/>
              </w:rPr>
              <w:t>aparatului</w:t>
            </w:r>
            <w:r>
              <w:rPr>
                <w:sz w:val="18"/>
                <w:szCs w:val="18"/>
              </w:rPr>
              <w:t xml:space="preserve"> </w:t>
            </w:r>
            <w:r>
              <w:rPr>
                <w:sz w:val="18"/>
                <w:szCs w:val="18"/>
                <w:lang w:val="en-US"/>
              </w:rPr>
              <w:t>asupra</w:t>
            </w:r>
            <w:r>
              <w:rPr>
                <w:sz w:val="18"/>
                <w:szCs w:val="18"/>
              </w:rPr>
              <w:t xml:space="preserve"> </w:t>
            </w:r>
            <w:r>
              <w:rPr>
                <w:sz w:val="18"/>
                <w:szCs w:val="18"/>
                <w:lang w:val="en-US"/>
              </w:rPr>
              <w:t>cre</w:t>
            </w:r>
            <w:r>
              <w:rPr>
                <w:rFonts w:cs="Times New Roman CE" w:ascii="Times New Roman CE" w:hAnsi="Times New Roman CE"/>
                <w:sz w:val="18"/>
                <w:szCs w:val="18"/>
              </w:rPr>
              <w:t>ş</w:t>
            </w:r>
            <w:r>
              <w:rPr>
                <w:sz w:val="18"/>
                <w:szCs w:val="18"/>
                <w:lang w:val="en-US"/>
              </w:rPr>
              <w:t>terii</w:t>
            </w:r>
            <w:r>
              <w:rPr>
                <w:sz w:val="18"/>
                <w:szCs w:val="18"/>
              </w:rPr>
              <w:t xml:space="preserve"> </w:t>
            </w:r>
            <w:r>
              <w:rPr>
                <w:sz w:val="18"/>
                <w:szCs w:val="18"/>
                <w:lang w:val="en-US"/>
              </w:rPr>
              <w:t>calit</w:t>
            </w:r>
            <w:r>
              <w:rPr>
                <w:rFonts w:cs="Times New Roman CE" w:ascii="Times New Roman CE" w:hAnsi="Times New Roman CE"/>
                <w:sz w:val="18"/>
                <w:szCs w:val="18"/>
              </w:rPr>
              <w:t>ăţ</w:t>
            </w:r>
            <w:r>
              <w:rPr>
                <w:sz w:val="18"/>
                <w:szCs w:val="18"/>
                <w:lang w:val="en-US"/>
              </w:rPr>
              <w:t>ilor</w:t>
            </w:r>
            <w:r>
              <w:rPr>
                <w:sz w:val="18"/>
                <w:szCs w:val="18"/>
              </w:rPr>
              <w:t xml:space="preserve"> </w:t>
            </w:r>
            <w:r>
              <w:rPr>
                <w:sz w:val="18"/>
                <w:szCs w:val="18"/>
                <w:lang w:val="en-US"/>
              </w:rPr>
              <w:t>cercet</w:t>
            </w:r>
            <w:r>
              <w:rPr>
                <w:rFonts w:cs="Times New Roman CE" w:ascii="Times New Roman CE" w:hAnsi="Times New Roman CE"/>
                <w:sz w:val="18"/>
                <w:szCs w:val="18"/>
              </w:rPr>
              <w:t>ă</w:t>
            </w:r>
            <w:r>
              <w:rPr>
                <w:sz w:val="18"/>
                <w:szCs w:val="18"/>
                <w:lang w:val="en-US"/>
              </w:rPr>
              <w:t>rilor</w:t>
            </w:r>
            <w:r>
              <w:rPr>
                <w:rFonts w:cs="Times New Roman CE" w:ascii="Times New Roman CE" w:hAnsi="Times New Roman CE"/>
                <w:sz w:val="18"/>
                <w:szCs w:val="18"/>
              </w:rPr>
              <w:t xml:space="preserve"> ş</w:t>
            </w:r>
            <w:r>
              <w:rPr>
                <w:sz w:val="18"/>
                <w:szCs w:val="18"/>
                <w:lang w:val="en-US"/>
              </w:rPr>
              <w:t>tiin</w:t>
            </w:r>
            <w:r>
              <w:rPr>
                <w:rFonts w:cs="Times New Roman CE" w:ascii="Times New Roman CE" w:hAnsi="Times New Roman CE"/>
                <w:sz w:val="18"/>
                <w:szCs w:val="18"/>
              </w:rPr>
              <w:t>ţ</w:t>
            </w:r>
            <w:r>
              <w:rPr>
                <w:sz w:val="18"/>
                <w:szCs w:val="18"/>
                <w:lang w:val="en-US"/>
              </w:rPr>
              <w:t>ifice</w:t>
            </w:r>
          </w:p>
        </w:tc>
        <w:tc>
          <w:tcPr>
            <w:tcW w:w="6489" w:type="dxa"/>
            <w:gridSpan w:val="13"/>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rPr>
              <w:t>Desiminarea rezultatelor ştiinţifice, schimb de rezultate ştiinţifice obţinute, editarea materialelor ştiinţifice</w:t>
            </w:r>
          </w:p>
        </w:tc>
      </w:tr>
      <w:tr>
        <w:trPr>
          <w:trHeight w:val="147" w:hRule="atLeast"/>
        </w:trPr>
        <w:tc>
          <w:tcPr>
            <w:tcW w:w="3376"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180"/>
              <w:jc w:val="left"/>
              <w:textAlignment w:val="auto"/>
              <w:rPr>
                <w:lang w:val="fr-FR"/>
              </w:rPr>
            </w:pPr>
            <w:r>
              <w:rPr>
                <w:rFonts w:cs="Times New Roman CE" w:ascii="Times New Roman CE" w:hAnsi="Times New Roman CE"/>
                <w:sz w:val="18"/>
                <w:szCs w:val="18"/>
                <w:lang w:val="fr-FR"/>
              </w:rPr>
              <w:t>Potenţiali utilizatori (individuali şi instituţ</w:t>
            </w:r>
            <w:r>
              <w:rPr>
                <w:sz w:val="18"/>
                <w:szCs w:val="18"/>
                <w:lang w:val="fr-FR"/>
              </w:rPr>
              <w:t>ii)</w:t>
            </w:r>
          </w:p>
        </w:tc>
        <w:tc>
          <w:tcPr>
            <w:tcW w:w="6489" w:type="dxa"/>
            <w:gridSpan w:val="13"/>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sz w:val="18"/>
                <w:szCs w:val="18"/>
                <w:lang w:val="fr-FR"/>
              </w:rPr>
              <w:t> </w:t>
            </w:r>
            <w:r>
              <w:rPr>
                <w:lang w:val="fr-FR"/>
              </w:rPr>
              <w:t xml:space="preserve"> </w:t>
            </w:r>
            <w:r>
              <w:rPr>
                <w:rFonts w:cs="Times New Roman CE" w:ascii="Times New Roman CE" w:hAnsi="Times New Roman CE"/>
                <w:sz w:val="18"/>
                <w:szCs w:val="18"/>
                <w:lang w:val="fr-FR"/>
              </w:rPr>
              <w:t>Cercetătorii IMI,  savanţii din alte instituţii internaţionale, care activează în domenii de interes comun, instituţiile academice</w:t>
            </w:r>
          </w:p>
        </w:tc>
      </w:tr>
      <w:tr>
        <w:trPr>
          <w:trHeight w:val="139" w:hRule="atLeast"/>
        </w:trPr>
        <w:tc>
          <w:tcPr>
            <w:tcW w:w="1734" w:type="dxa"/>
            <w:gridSpan w:val="2"/>
            <w:tcBorders/>
            <w:shd w:fill="auto" w:val="clear"/>
            <w:vAlign w:val="bottom"/>
          </w:tcPr>
          <w:p>
            <w:pPr>
              <w:pStyle w:val="Normal"/>
              <w:widowControl/>
              <w:bidi w:val="0"/>
              <w:ind w:left="0" w:right="0" w:hanging="0"/>
              <w:jc w:val="left"/>
              <w:textAlignment w:val="auto"/>
              <w:rPr>
                <w:rFonts w:ascii="Times New Roman" w:hAnsi="Times New Roman"/>
                <w:sz w:val="18"/>
                <w:szCs w:val="18"/>
                <w:lang w:val="fr-FR"/>
              </w:rPr>
            </w:pPr>
            <w:r>
              <w:rPr>
                <w:sz w:val="18"/>
                <w:szCs w:val="18"/>
                <w:lang w:val="fr-FR"/>
              </w:rPr>
            </w:r>
          </w:p>
        </w:tc>
        <w:tc>
          <w:tcPr>
            <w:tcW w:w="1642" w:type="dxa"/>
            <w:tcBorders/>
            <w:shd w:fill="auto" w:val="clear"/>
            <w:vAlign w:val="bottom"/>
          </w:tcPr>
          <w:p>
            <w:pPr>
              <w:pStyle w:val="Normal"/>
              <w:widowControl/>
              <w:bidi w:val="0"/>
              <w:ind w:left="0" w:right="0" w:hanging="0"/>
              <w:jc w:val="left"/>
              <w:textAlignment w:val="auto"/>
              <w:rPr>
                <w:rFonts w:ascii="Times New Roman" w:hAnsi="Times New Roman"/>
                <w:sz w:val="18"/>
                <w:szCs w:val="18"/>
                <w:lang w:val="fr-FR"/>
              </w:rPr>
            </w:pPr>
            <w:r>
              <w:rPr>
                <w:sz w:val="18"/>
                <w:szCs w:val="18"/>
                <w:lang w:val="fr-FR"/>
              </w:rPr>
            </w:r>
          </w:p>
        </w:tc>
        <w:tc>
          <w:tcPr>
            <w:tcW w:w="1337"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lang w:val="fr-FR"/>
              </w:rPr>
            </w:pPr>
            <w:r>
              <w:rPr>
                <w:sz w:val="18"/>
                <w:szCs w:val="18"/>
                <w:lang w:val="fr-FR"/>
              </w:rPr>
            </w:r>
          </w:p>
        </w:tc>
        <w:tc>
          <w:tcPr>
            <w:tcW w:w="1576"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lang w:val="fr-FR"/>
              </w:rPr>
            </w:pPr>
            <w:r>
              <w:rPr>
                <w:sz w:val="18"/>
                <w:szCs w:val="18"/>
                <w:lang w:val="fr-FR"/>
              </w:rPr>
            </w:r>
          </w:p>
        </w:tc>
        <w:tc>
          <w:tcPr>
            <w:tcW w:w="1911" w:type="dxa"/>
            <w:gridSpan w:val="4"/>
            <w:tcBorders/>
            <w:shd w:fill="auto" w:val="clear"/>
            <w:vAlign w:val="bottom"/>
          </w:tcPr>
          <w:p>
            <w:pPr>
              <w:pStyle w:val="Normal"/>
              <w:widowControl/>
              <w:bidi w:val="0"/>
              <w:ind w:left="0" w:right="0" w:hanging="0"/>
              <w:jc w:val="left"/>
              <w:textAlignment w:val="auto"/>
              <w:rPr>
                <w:rFonts w:ascii="Times New Roman" w:hAnsi="Times New Roman"/>
                <w:sz w:val="18"/>
                <w:szCs w:val="18"/>
                <w:lang w:val="fr-FR"/>
              </w:rPr>
            </w:pPr>
            <w:r>
              <w:rPr>
                <w:sz w:val="18"/>
                <w:szCs w:val="18"/>
                <w:lang w:val="fr-FR"/>
              </w:rPr>
            </w:r>
          </w:p>
        </w:tc>
        <w:tc>
          <w:tcPr>
            <w:tcW w:w="1665"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lang w:val="fr-FR"/>
              </w:rPr>
            </w:pPr>
            <w:r>
              <w:rPr>
                <w:sz w:val="18"/>
                <w:szCs w:val="18"/>
                <w:lang w:val="fr-FR"/>
              </w:rPr>
            </w:r>
          </w:p>
        </w:tc>
      </w:tr>
      <w:tr>
        <w:trPr>
          <w:trHeight w:val="147" w:hRule="atLeast"/>
        </w:trPr>
        <w:tc>
          <w:tcPr>
            <w:tcW w:w="9865" w:type="dxa"/>
            <w:gridSpan w:val="16"/>
            <w:tcBorders/>
            <w:shd w:fill="auto" w:val="clear"/>
            <w:vAlign w:val="bottom"/>
          </w:tcPr>
          <w:p>
            <w:pPr>
              <w:pStyle w:val="Normal"/>
              <w:widowControl/>
              <w:bidi w:val="0"/>
              <w:ind w:left="0" w:right="0" w:hanging="0"/>
              <w:jc w:val="center"/>
              <w:textAlignment w:val="auto"/>
              <w:rPr>
                <w:lang w:val="fr-FR"/>
              </w:rPr>
            </w:pPr>
            <w:r>
              <w:rPr>
                <w:rFonts w:cs="Times New Roman CE" w:ascii="Times New Roman CE" w:hAnsi="Times New Roman CE"/>
                <w:b/>
                <w:bCs/>
                <w:sz w:val="18"/>
                <w:szCs w:val="18"/>
                <w:lang w:val="fr-FR"/>
              </w:rPr>
              <w:t>4.6. Asigurarea informaţională a procesului de cercetare</w:t>
            </w:r>
            <w:r>
              <w:rPr>
                <w:b/>
                <w:bCs/>
                <w:sz w:val="18"/>
                <w:szCs w:val="18"/>
                <w:lang w:val="fr-FR"/>
              </w:rPr>
              <w:t xml:space="preserve"> 2016</w:t>
            </w:r>
          </w:p>
        </w:tc>
      </w:tr>
      <w:tr>
        <w:trPr>
          <w:trHeight w:val="147" w:hRule="atLeast"/>
        </w:trPr>
        <w:tc>
          <w:tcPr>
            <w:tcW w:w="1734"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180"/>
              <w:jc w:val="left"/>
              <w:textAlignment w:val="auto"/>
              <w:rPr>
                <w:lang w:val="fr-FR"/>
              </w:rPr>
            </w:pPr>
            <w:r>
              <w:rPr>
                <w:sz w:val="18"/>
                <w:szCs w:val="18"/>
                <w:lang w:val="fr-FR"/>
              </w:rPr>
              <w:t> </w:t>
            </w:r>
          </w:p>
        </w:tc>
        <w:tc>
          <w:tcPr>
            <w:tcW w:w="2801"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180"/>
              <w:jc w:val="left"/>
              <w:textAlignment w:val="auto"/>
              <w:rPr>
                <w:lang w:val="fr-FR"/>
              </w:rPr>
            </w:pPr>
            <w:r>
              <w:rPr>
                <w:sz w:val="18"/>
                <w:szCs w:val="18"/>
                <w:lang w:val="fr-FR"/>
              </w:rPr>
              <w:t> </w:t>
            </w:r>
          </w:p>
        </w:tc>
        <w:tc>
          <w:tcPr>
            <w:tcW w:w="1418"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rFonts w:cs="Times New Roman CE" w:ascii="Times New Roman CE" w:hAnsi="Times New Roman CE"/>
                <w:sz w:val="18"/>
                <w:szCs w:val="18"/>
              </w:rPr>
              <w:t>Numărul</w:t>
            </w:r>
          </w:p>
        </w:tc>
        <w:tc>
          <w:tcPr>
            <w:tcW w:w="3912" w:type="dxa"/>
            <w:gridSpan w:val="8"/>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rFonts w:cs="Times New Roman CE" w:ascii="Times New Roman CE" w:hAnsi="Times New Roman CE"/>
                <w:sz w:val="18"/>
                <w:szCs w:val="18"/>
              </w:rPr>
              <w:t>Notă</w:t>
            </w:r>
          </w:p>
        </w:tc>
      </w:tr>
      <w:tr>
        <w:trPr>
          <w:trHeight w:val="147" w:hRule="atLeast"/>
        </w:trPr>
        <w:tc>
          <w:tcPr>
            <w:tcW w:w="1734"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180"/>
              <w:jc w:val="left"/>
              <w:textAlignment w:val="auto"/>
              <w:rPr/>
            </w:pPr>
            <w:r>
              <w:rPr>
                <w:sz w:val="18"/>
                <w:szCs w:val="18"/>
              </w:rPr>
              <w:t>4.6.1.</w:t>
            </w:r>
          </w:p>
        </w:tc>
        <w:tc>
          <w:tcPr>
            <w:tcW w:w="2801"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180"/>
              <w:jc w:val="left"/>
              <w:textAlignment w:val="auto"/>
              <w:rPr/>
            </w:pPr>
            <w:r>
              <w:rPr>
                <w:rFonts w:cs="Times New Roman CE" w:ascii="Times New Roman CE" w:hAnsi="Times New Roman CE"/>
                <w:sz w:val="18"/>
                <w:szCs w:val="18"/>
              </w:rPr>
              <w:t>Instalaţii de cercetare</w:t>
            </w:r>
            <w:r>
              <w:rPr>
                <w:sz w:val="18"/>
                <w:szCs w:val="18"/>
              </w:rPr>
              <w:t xml:space="preserve"> computerizate </w:t>
            </w:r>
          </w:p>
        </w:tc>
        <w:tc>
          <w:tcPr>
            <w:tcW w:w="1418"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180"/>
              <w:jc w:val="left"/>
              <w:textAlignment w:val="auto"/>
              <w:rPr/>
            </w:pPr>
            <w:r>
              <w:rPr>
                <w:sz w:val="18"/>
                <w:szCs w:val="18"/>
              </w:rPr>
              <w:t>1</w:t>
            </w:r>
          </w:p>
        </w:tc>
        <w:tc>
          <w:tcPr>
            <w:tcW w:w="3912" w:type="dxa"/>
            <w:gridSpan w:val="8"/>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180"/>
              <w:jc w:val="left"/>
              <w:textAlignment w:val="auto"/>
              <w:rPr/>
            </w:pPr>
            <w:r>
              <w:rPr>
                <w:sz w:val="18"/>
                <w:szCs w:val="18"/>
              </w:rPr>
              <w:t>Cluster cu 48 nuclee</w:t>
            </w:r>
          </w:p>
          <w:p>
            <w:pPr>
              <w:pStyle w:val="Normal"/>
              <w:widowControl/>
              <w:bidi w:val="0"/>
              <w:ind w:left="0" w:right="0" w:firstLine="180"/>
              <w:jc w:val="left"/>
              <w:textAlignment w:val="auto"/>
              <w:rPr/>
            </w:pPr>
            <w:r>
              <w:rPr>
                <w:sz w:val="18"/>
                <w:szCs w:val="18"/>
              </w:rPr>
              <w:t> </w:t>
            </w:r>
          </w:p>
        </w:tc>
      </w:tr>
      <w:tr>
        <w:trPr>
          <w:trHeight w:val="1250" w:hRule="atLeast"/>
        </w:trPr>
        <w:tc>
          <w:tcPr>
            <w:tcW w:w="1734"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180"/>
              <w:jc w:val="left"/>
              <w:textAlignment w:val="auto"/>
              <w:rPr/>
            </w:pPr>
            <w:r>
              <w:rPr>
                <w:sz w:val="18"/>
                <w:szCs w:val="18"/>
              </w:rPr>
              <w:t>4.6.2.</w:t>
            </w:r>
          </w:p>
        </w:tc>
        <w:tc>
          <w:tcPr>
            <w:tcW w:w="2801"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180"/>
              <w:jc w:val="left"/>
              <w:textAlignment w:val="auto"/>
              <w:rPr/>
            </w:pPr>
            <w:r>
              <w:rPr>
                <w:sz w:val="18"/>
                <w:szCs w:val="18"/>
              </w:rPr>
              <w:t>Softuri utilizate în cercetare</w:t>
            </w:r>
          </w:p>
        </w:tc>
        <w:tc>
          <w:tcPr>
            <w:tcW w:w="1418"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180"/>
              <w:jc w:val="left"/>
              <w:textAlignment w:val="auto"/>
              <w:rPr/>
            </w:pPr>
            <w:r>
              <w:rPr>
                <w:sz w:val="18"/>
                <w:szCs w:val="18"/>
              </w:rPr>
              <w:t>14</w:t>
            </w:r>
          </w:p>
        </w:tc>
        <w:tc>
          <w:tcPr>
            <w:tcW w:w="3912" w:type="dxa"/>
            <w:gridSpan w:val="8"/>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en-US"/>
              </w:rPr>
            </w:pPr>
            <w:r>
              <w:rPr>
                <w:sz w:val="18"/>
                <w:szCs w:val="18"/>
                <w:lang w:val="en-US"/>
              </w:rPr>
              <w:t xml:space="preserve">MS Computer Cluster Server 2003, Maple 12, Eviews, WinEdit,Sisteme de procesare a imaginilor, MS Office, NetBeans IDE pentru elaborarea aplicatiilor in Java,  Matematica 6; </w:t>
            </w:r>
            <w:r>
              <w:rPr>
                <w:rFonts w:cs="Times New Roman CE" w:ascii="Times New Roman CE" w:hAnsi="Times New Roman CE"/>
                <w:sz w:val="18"/>
                <w:szCs w:val="18"/>
                <w:lang w:val="en-US"/>
              </w:rPr>
              <w:t>Reduce 3.8; Maple 9.5, OpenMP şi MPI  ect.</w:t>
            </w:r>
          </w:p>
          <w:p>
            <w:pPr>
              <w:pStyle w:val="Normal"/>
              <w:widowControl/>
              <w:bidi w:val="0"/>
              <w:ind w:left="0" w:right="0" w:firstLine="180"/>
              <w:jc w:val="left"/>
              <w:textAlignment w:val="auto"/>
              <w:rPr>
                <w:lang w:val="en-US"/>
              </w:rPr>
            </w:pPr>
            <w:r>
              <w:rPr>
                <w:sz w:val="18"/>
                <w:szCs w:val="18"/>
                <w:lang w:val="en-US"/>
              </w:rPr>
              <w:t> </w:t>
            </w:r>
          </w:p>
        </w:tc>
      </w:tr>
      <w:tr>
        <w:trPr>
          <w:trHeight w:val="288" w:hRule="atLeast"/>
        </w:trPr>
        <w:tc>
          <w:tcPr>
            <w:tcW w:w="1734"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180"/>
              <w:jc w:val="left"/>
              <w:textAlignment w:val="auto"/>
              <w:rPr/>
            </w:pPr>
            <w:r>
              <w:rPr>
                <w:sz w:val="18"/>
                <w:szCs w:val="18"/>
              </w:rPr>
              <w:t>4.6.3.</w:t>
            </w:r>
          </w:p>
        </w:tc>
        <w:tc>
          <w:tcPr>
            <w:tcW w:w="2801"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180"/>
              <w:jc w:val="left"/>
              <w:textAlignment w:val="auto"/>
              <w:rPr/>
            </w:pPr>
            <w:r>
              <w:rPr>
                <w:rFonts w:cs="Times New Roman CE" w:ascii="Times New Roman CE" w:hAnsi="Times New Roman CE"/>
                <w:sz w:val="18"/>
                <w:szCs w:val="18"/>
              </w:rPr>
              <w:t xml:space="preserve">Reţele interne </w:t>
            </w:r>
          </w:p>
        </w:tc>
        <w:tc>
          <w:tcPr>
            <w:tcW w:w="1418"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180"/>
              <w:jc w:val="left"/>
              <w:textAlignment w:val="auto"/>
              <w:rPr/>
            </w:pPr>
            <w:r>
              <w:rPr>
                <w:sz w:val="18"/>
                <w:szCs w:val="18"/>
              </w:rPr>
              <w:t>2</w:t>
            </w:r>
          </w:p>
        </w:tc>
        <w:tc>
          <w:tcPr>
            <w:tcW w:w="3912" w:type="dxa"/>
            <w:gridSpan w:val="8"/>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18"/>
                <w:szCs w:val="18"/>
                <w:lang w:val="fr-FR"/>
              </w:rPr>
              <w:t>Reţea IMI conectată la Internet+reţea AŞM</w:t>
            </w:r>
          </w:p>
          <w:p>
            <w:pPr>
              <w:pStyle w:val="Normal"/>
              <w:widowControl/>
              <w:bidi w:val="0"/>
              <w:ind w:left="0" w:right="0" w:firstLine="180"/>
              <w:jc w:val="left"/>
              <w:textAlignment w:val="auto"/>
              <w:rPr>
                <w:lang w:val="fr-FR"/>
              </w:rPr>
            </w:pPr>
            <w:r>
              <w:rPr>
                <w:sz w:val="18"/>
                <w:szCs w:val="18"/>
                <w:lang w:val="fr-FR"/>
              </w:rPr>
              <w:t> </w:t>
            </w:r>
          </w:p>
        </w:tc>
      </w:tr>
      <w:tr>
        <w:trPr>
          <w:trHeight w:val="659" w:hRule="atLeast"/>
        </w:trPr>
        <w:tc>
          <w:tcPr>
            <w:tcW w:w="1734"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180"/>
              <w:jc w:val="left"/>
              <w:textAlignment w:val="auto"/>
              <w:rPr/>
            </w:pPr>
            <w:r>
              <w:rPr>
                <w:sz w:val="18"/>
                <w:szCs w:val="18"/>
              </w:rPr>
              <w:t>4.6.4.</w:t>
            </w:r>
          </w:p>
        </w:tc>
        <w:tc>
          <w:tcPr>
            <w:tcW w:w="2801"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180"/>
              <w:jc w:val="left"/>
              <w:textAlignment w:val="auto"/>
              <w:rPr>
                <w:lang w:val="fr-FR"/>
              </w:rPr>
            </w:pPr>
            <w:r>
              <w:rPr>
                <w:rFonts w:cs="Times New Roman CE" w:ascii="Times New Roman CE" w:hAnsi="Times New Roman CE"/>
                <w:sz w:val="18"/>
                <w:szCs w:val="18"/>
                <w:lang w:val="fr-FR"/>
              </w:rPr>
              <w:t xml:space="preserve">Baze de date ştiinţifice accesibile </w:t>
            </w:r>
          </w:p>
        </w:tc>
        <w:tc>
          <w:tcPr>
            <w:tcW w:w="1418"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180"/>
              <w:jc w:val="left"/>
              <w:textAlignment w:val="auto"/>
              <w:rPr/>
            </w:pPr>
            <w:r>
              <w:rPr>
                <w:sz w:val="18"/>
                <w:szCs w:val="18"/>
              </w:rPr>
              <w:t>4</w:t>
            </w:r>
          </w:p>
        </w:tc>
        <w:tc>
          <w:tcPr>
            <w:tcW w:w="3912" w:type="dxa"/>
            <w:gridSpan w:val="8"/>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en-US"/>
              </w:rPr>
            </w:pPr>
            <w:r>
              <w:rPr>
                <w:sz w:val="18"/>
                <w:szCs w:val="18"/>
                <w:lang w:val="en-US"/>
              </w:rPr>
              <w:t>MathSciNet, Firebird, Sistemul de gestiune a BD Firebird, FlameRobin pentru administrarea BD Firebird </w:t>
            </w:r>
          </w:p>
        </w:tc>
      </w:tr>
      <w:tr>
        <w:trPr>
          <w:trHeight w:val="296" w:hRule="atLeast"/>
        </w:trPr>
        <w:tc>
          <w:tcPr>
            <w:tcW w:w="1734"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180"/>
              <w:jc w:val="left"/>
              <w:textAlignment w:val="auto"/>
              <w:rPr/>
            </w:pPr>
            <w:r>
              <w:rPr>
                <w:sz w:val="18"/>
                <w:szCs w:val="18"/>
              </w:rPr>
              <w:t>4.6.5.</w:t>
            </w:r>
          </w:p>
        </w:tc>
        <w:tc>
          <w:tcPr>
            <w:tcW w:w="2801"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rPr>
              <w:t>Site al instituţiei actualizat la data completării</w:t>
            </w:r>
          </w:p>
        </w:tc>
        <w:tc>
          <w:tcPr>
            <w:tcW w:w="1418"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180"/>
              <w:jc w:val="left"/>
              <w:textAlignment w:val="auto"/>
              <w:rPr/>
            </w:pPr>
            <w:r>
              <w:rPr>
                <w:sz w:val="18"/>
                <w:szCs w:val="18"/>
              </w:rPr>
              <w:t>1</w:t>
            </w:r>
          </w:p>
        </w:tc>
        <w:tc>
          <w:tcPr>
            <w:tcW w:w="2975" w:type="dxa"/>
            <w:gridSpan w:val="7"/>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180"/>
              <w:jc w:val="left"/>
              <w:textAlignment w:val="auto"/>
              <w:rPr/>
            </w:pPr>
            <w:r>
              <w:rPr>
                <w:sz w:val="18"/>
                <w:szCs w:val="18"/>
              </w:rPr>
              <w:t> </w:t>
            </w:r>
            <w:r>
              <w:rPr>
                <w:sz w:val="18"/>
                <w:szCs w:val="18"/>
                <w:lang w:val="ro-RO"/>
              </w:rPr>
              <w:t>www.math.md</w:t>
            </w:r>
          </w:p>
        </w:tc>
        <w:tc>
          <w:tcPr>
            <w:tcW w:w="937"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180"/>
              <w:jc w:val="left"/>
              <w:textAlignment w:val="auto"/>
              <w:rPr/>
            </w:pPr>
            <w:r>
              <w:rPr>
                <w:sz w:val="18"/>
                <w:szCs w:val="18"/>
              </w:rPr>
              <w:t> </w:t>
            </w:r>
          </w:p>
        </w:tc>
      </w:tr>
    </w:tbl>
    <w:p>
      <w:pPr>
        <w:pStyle w:val="Normal"/>
        <w:widowControl/>
        <w:bidi w:val="0"/>
        <w:ind w:left="0" w:right="0" w:hanging="0"/>
        <w:jc w:val="left"/>
        <w:textAlignment w:val="auto"/>
        <w:rPr>
          <w:rFonts w:ascii="Times New Roman" w:hAnsi="Times New Roman"/>
          <w:sz w:val="18"/>
          <w:szCs w:val="18"/>
          <w:lang w:val="en-US"/>
        </w:rPr>
      </w:pPr>
      <w:r>
        <w:rPr>
          <w:sz w:val="18"/>
          <w:szCs w:val="18"/>
          <w:lang w:val="en-US"/>
        </w:rPr>
      </w:r>
    </w:p>
    <w:tbl>
      <w:tblPr>
        <w:tblW w:w="8941" w:type="dxa"/>
        <w:jc w:val="left"/>
        <w:tblInd w:w="671" w:type="dxa"/>
        <w:tblBorders>
          <w:top w:val="single" w:sz="4" w:space="0" w:color="000001"/>
        </w:tblBorders>
        <w:tblCellMar>
          <w:top w:w="0" w:type="dxa"/>
          <w:left w:w="108" w:type="dxa"/>
          <w:bottom w:w="0" w:type="dxa"/>
          <w:right w:w="108" w:type="dxa"/>
        </w:tblCellMar>
      </w:tblPr>
      <w:tblGrid>
        <w:gridCol w:w="660"/>
        <w:gridCol w:w="3221"/>
        <w:gridCol w:w="1"/>
        <w:gridCol w:w="1091"/>
        <w:gridCol w:w="3623"/>
        <w:gridCol w:w="345"/>
      </w:tblGrid>
      <w:tr>
        <w:trPr>
          <w:trHeight w:val="15016" w:hRule="atLeast"/>
        </w:trPr>
        <w:tc>
          <w:tcPr>
            <w:tcW w:w="4973" w:type="dxa"/>
            <w:gridSpan w:val="4"/>
            <w:tcBorders>
              <w:top w:val="single" w:sz="4" w:space="0" w:color="000001"/>
            </w:tcBorders>
            <w:shd w:fill="auto" w:val="clear"/>
            <w:vAlign w:val="bottom"/>
          </w:tcPr>
          <w:p>
            <w:pPr>
              <w:pStyle w:val="Normal"/>
              <w:widowControl/>
              <w:bidi w:val="0"/>
              <w:ind w:left="0" w:right="0" w:hanging="0"/>
              <w:jc w:val="center"/>
              <w:textAlignment w:val="auto"/>
              <w:rPr>
                <w:rFonts w:ascii="Times New Roman" w:hAnsi="Times New Roman"/>
                <w:sz w:val="18"/>
                <w:szCs w:val="18"/>
                <w:lang w:val="en-US"/>
              </w:rPr>
            </w:pPr>
            <w:r>
              <w:rPr>
                <w:sz w:val="18"/>
                <w:szCs w:val="18"/>
                <w:lang w:val="en-US"/>
              </w:rPr>
            </w:r>
          </w:p>
          <w:p>
            <w:pPr>
              <w:pStyle w:val="Normal"/>
              <w:widowControl/>
              <w:bidi w:val="0"/>
              <w:ind w:left="0" w:right="0" w:hanging="0"/>
              <w:jc w:val="center"/>
              <w:textAlignment w:val="auto"/>
              <w:rPr>
                <w:rFonts w:ascii="Times New Roman" w:hAnsi="Times New Roman"/>
                <w:sz w:val="18"/>
                <w:szCs w:val="18"/>
                <w:lang w:val="en-US"/>
              </w:rPr>
            </w:pPr>
            <w:r>
              <w:rPr>
                <w:sz w:val="18"/>
                <w:szCs w:val="18"/>
                <w:lang w:val="en-US"/>
              </w:rPr>
            </w:r>
          </w:p>
          <w:p>
            <w:pPr>
              <w:pStyle w:val="Normal"/>
              <w:widowControl/>
              <w:bidi w:val="0"/>
              <w:ind w:left="0" w:right="0" w:hanging="0"/>
              <w:jc w:val="center"/>
              <w:textAlignment w:val="auto"/>
              <w:rPr>
                <w:rFonts w:ascii="Times New Roman" w:hAnsi="Times New Roman"/>
                <w:sz w:val="18"/>
                <w:szCs w:val="18"/>
                <w:lang w:val="en-US"/>
              </w:rPr>
            </w:pPr>
            <w:r>
              <w:rPr>
                <w:sz w:val="18"/>
                <w:szCs w:val="18"/>
                <w:lang w:val="en-US"/>
              </w:rPr>
            </w:r>
          </w:p>
          <w:p>
            <w:pPr>
              <w:pStyle w:val="Normal"/>
              <w:widowControl/>
              <w:bidi w:val="0"/>
              <w:ind w:left="0" w:right="0" w:hanging="0"/>
              <w:jc w:val="center"/>
              <w:textAlignment w:val="auto"/>
              <w:rPr>
                <w:rFonts w:ascii="Times New Roman" w:hAnsi="Times New Roman"/>
                <w:sz w:val="18"/>
                <w:szCs w:val="18"/>
                <w:lang w:val="en-US"/>
              </w:rPr>
            </w:pPr>
            <w:r>
              <w:rPr>
                <w:sz w:val="18"/>
                <w:szCs w:val="18"/>
                <w:lang w:val="en-US"/>
              </w:rPr>
            </w:r>
          </w:p>
          <w:tbl>
            <w:tblPr>
              <w:tblW w:w="8982" w:type="dxa"/>
              <w:jc w:val="left"/>
              <w:tblInd w:w="597"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0" w:type="dxa"/>
                <w:left w:w="98" w:type="dxa"/>
                <w:bottom w:w="0" w:type="dxa"/>
                <w:right w:w="108" w:type="dxa"/>
              </w:tblCellMar>
            </w:tblPr>
            <w:tblGrid>
              <w:gridCol w:w="1278"/>
              <w:gridCol w:w="1"/>
              <w:gridCol w:w="7113"/>
              <w:gridCol w:w="11"/>
              <w:gridCol w:w="579"/>
            </w:tblGrid>
            <w:tr>
              <w:trPr>
                <w:trHeight w:val="300" w:hRule="atLeast"/>
              </w:trPr>
              <w:tc>
                <w:tcPr>
                  <w:tcW w:w="8403"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center"/>
                    <w:textAlignment w:val="auto"/>
                    <w:rPr>
                      <w:lang w:val="fr-FR"/>
                    </w:rPr>
                  </w:pPr>
                  <w:r>
                    <w:rPr>
                      <w:rFonts w:cs="Times New Roman CE" w:ascii="Times New Roman CE" w:hAnsi="Times New Roman CE"/>
                      <w:b/>
                      <w:bCs/>
                      <w:color w:val="000000"/>
                      <w:sz w:val="20"/>
                      <w:szCs w:val="20"/>
                      <w:lang w:val="fr-FR" w:eastAsia="en-US"/>
                    </w:rPr>
                    <w:t>5. PERFORMANŢĂ ŞI VIZIBILITATE LA NIVEL INTERNAŢIONAL</w:t>
                  </w:r>
                </w:p>
              </w:tc>
              <w:tc>
                <w:tcPr>
                  <w:tcW w:w="579" w:type="dxa"/>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b/>
                      <w:bCs/>
                      <w:sz w:val="20"/>
                      <w:szCs w:val="20"/>
                      <w:lang w:val="en-US" w:eastAsia="en-US"/>
                    </w:rPr>
                    <w:t>2016</w:t>
                  </w:r>
                </w:p>
              </w:tc>
            </w:tr>
            <w:tr>
              <w:trPr>
                <w:trHeight w:val="270" w:hRule="atLeast"/>
              </w:trPr>
              <w:tc>
                <w:tcPr>
                  <w:tcW w:w="1279" w:type="dxa"/>
                  <w:gridSpan w:val="2"/>
                  <w:tcBorders>
                    <w:left w:val="single" w:sz="8" w:space="0" w:color="000001"/>
                    <w:bottom w:val="single" w:sz="8" w:space="0" w:color="000001"/>
                    <w:right w:val="single" w:sz="4" w:space="0" w:color="000001"/>
                    <w:insideH w:val="single" w:sz="8" w:space="0" w:color="000001"/>
                    <w:insideV w:val="single" w:sz="4"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 </w:t>
                  </w:r>
                </w:p>
              </w:tc>
              <w:tc>
                <w:tcPr>
                  <w:tcW w:w="712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CCFFCC"/>
                  <w:tcMar>
                    <w:left w:w="103" w:type="dxa"/>
                  </w:tcMar>
                  <w:vAlign w:val="bottom"/>
                </w:tcPr>
                <w:p>
                  <w:pPr>
                    <w:pStyle w:val="Normal"/>
                    <w:widowControl/>
                    <w:tabs>
                      <w:tab w:val="left" w:pos="9544" w:leader="none"/>
                      <w:tab w:val="left" w:pos="10111" w:leader="none"/>
                    </w:tabs>
                    <w:bidi w:val="0"/>
                    <w:ind w:left="0" w:right="0" w:hanging="0"/>
                    <w:jc w:val="left"/>
                    <w:textAlignment w:val="auto"/>
                    <w:rPr>
                      <w:lang w:val="en-US"/>
                    </w:rPr>
                  </w:pPr>
                  <w:r>
                    <w:rPr>
                      <w:rFonts w:cs="Times New Roman CE" w:ascii="Times New Roman CE" w:hAnsi="Times New Roman CE"/>
                      <w:b/>
                      <w:bCs/>
                      <w:sz w:val="20"/>
                      <w:szCs w:val="20"/>
                      <w:lang w:val="en-US" w:eastAsia="en-US"/>
                    </w:rPr>
                    <w:t>5.1. Publicaţii în străinătate</w:t>
                  </w:r>
                </w:p>
              </w:tc>
              <w:tc>
                <w:tcPr>
                  <w:tcW w:w="57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CCFFCC"/>
                  <w:tcMar>
                    <w:left w:w="103" w:type="dxa"/>
                  </w:tcMar>
                  <w:vAlign w:val="bottom"/>
                </w:tcPr>
                <w:p>
                  <w:pPr>
                    <w:pStyle w:val="Normal"/>
                    <w:widowControl/>
                    <w:tabs>
                      <w:tab w:val="left" w:pos="9544" w:leader="none"/>
                      <w:tab w:val="left" w:pos="10111" w:leader="none"/>
                    </w:tabs>
                    <w:bidi w:val="0"/>
                    <w:ind w:left="0" w:right="0" w:hanging="0"/>
                    <w:jc w:val="left"/>
                    <w:textAlignment w:val="auto"/>
                    <w:rPr>
                      <w:rFonts w:ascii="Times New Roman" w:hAnsi="Times New Roman"/>
                      <w:b/>
                      <w:b/>
                      <w:bCs/>
                      <w:sz w:val="20"/>
                      <w:szCs w:val="20"/>
                      <w:lang w:val="en-US" w:eastAsia="en-US"/>
                    </w:rPr>
                  </w:pPr>
                  <w:r>
                    <w:rPr>
                      <w:b/>
                      <w:bCs/>
                      <w:sz w:val="20"/>
                      <w:szCs w:val="20"/>
                      <w:lang w:val="en-US" w:eastAsia="en-US"/>
                    </w:rPr>
                  </w:r>
                </w:p>
              </w:tc>
            </w:tr>
            <w:tr>
              <w:trPr>
                <w:trHeight w:val="216" w:hRule="atLeast"/>
              </w:trPr>
              <w:tc>
                <w:tcPr>
                  <w:tcW w:w="1278" w:type="dxa"/>
                  <w:vMerge w:val="restart"/>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5.1.1.</w:t>
                  </w:r>
                </w:p>
              </w:tc>
              <w:tc>
                <w:tcPr>
                  <w:tcW w:w="7114"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Monografii în ediţii internaţionale, incluse în una din trei si</w:t>
                  </w:r>
                  <w:r>
                    <w:rPr>
                      <w:sz w:val="20"/>
                      <w:szCs w:val="20"/>
                      <w:lang w:val="en-US" w:eastAsia="en-US"/>
                    </w:rPr>
                    <w:t>steme de citare  Web of Science:</w:t>
                  </w:r>
                </w:p>
              </w:tc>
              <w:tc>
                <w:tcPr>
                  <w:tcW w:w="590"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rFonts w:cs="Arial" w:ascii="Arial" w:hAnsi="Arial"/>
                      <w:sz w:val="20"/>
                      <w:szCs w:val="20"/>
                      <w:lang w:val="en-US"/>
                    </w:rPr>
                    <w:t> </w:t>
                  </w:r>
                </w:p>
              </w:tc>
            </w:tr>
            <w:tr>
              <w:trPr>
                <w:trHeight w:val="270" w:hRule="atLeast"/>
              </w:trPr>
              <w:tc>
                <w:tcPr>
                  <w:tcW w:w="1278" w:type="dxa"/>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c>
                <w:tcPr>
                  <w:tcW w:w="7114" w:type="dxa"/>
                  <w:gridSpan w:val="2"/>
                  <w:tcBorders>
                    <w:right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Science Citation Index Expanded (baza de date pentru ştiinţele naturale şi exacte)</w:t>
                  </w:r>
                </w:p>
              </w:tc>
              <w:tc>
                <w:tcPr>
                  <w:tcW w:w="590" w:type="dxa"/>
                  <w:gridSpan w:val="2"/>
                  <w:vMerge w:val="restart"/>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fr-FR"/>
                    </w:rPr>
                  </w:pPr>
                  <w:r>
                    <w:rPr>
                      <w:rFonts w:cs="Arial" w:ascii="Arial" w:hAnsi="Arial"/>
                      <w:sz w:val="20"/>
                      <w:szCs w:val="20"/>
                      <w:lang w:val="fr-FR"/>
                    </w:rPr>
                    <w:t> </w:t>
                  </w:r>
                </w:p>
              </w:tc>
            </w:tr>
            <w:tr>
              <w:trPr>
                <w:trHeight w:val="60" w:hRule="atLeast"/>
              </w:trPr>
              <w:tc>
                <w:tcPr>
                  <w:tcW w:w="1278" w:type="dxa"/>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fr-FR" w:eastAsia="en-US"/>
                    </w:rPr>
                  </w:pPr>
                  <w:r>
                    <w:rPr>
                      <w:sz w:val="20"/>
                      <w:szCs w:val="20"/>
                      <w:lang w:val="fr-FR" w:eastAsia="en-US"/>
                    </w:rPr>
                  </w:r>
                </w:p>
              </w:tc>
              <w:tc>
                <w:tcPr>
                  <w:tcW w:w="7114"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hyperlink r:id="rId107">
                    <w:r>
                      <w:rPr>
                        <w:webHidden/>
                        <w:rStyle w:val="Style5"/>
                        <w:sz w:val="20"/>
                        <w:szCs w:val="20"/>
                        <w:u w:val="single"/>
                        <w:lang w:val="fr-FR" w:eastAsia="en-US"/>
                      </w:rPr>
                      <w:t>http://science.thomsonreuters.com/cgi-bin/jrnlst/jloptions.cgi?PC=D</w:t>
                    </w:r>
                  </w:hyperlink>
                </w:p>
              </w:tc>
              <w:tc>
                <w:tcPr>
                  <w:tcW w:w="590" w:type="dxa"/>
                  <w:gridSpan w:val="2"/>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fr-FR" w:eastAsia="en-US"/>
                    </w:rPr>
                  </w:pPr>
                  <w:r>
                    <w:rPr>
                      <w:sz w:val="20"/>
                      <w:szCs w:val="20"/>
                      <w:lang w:val="fr-FR" w:eastAsia="en-US"/>
                    </w:rPr>
                  </w:r>
                </w:p>
              </w:tc>
            </w:tr>
            <w:tr>
              <w:trPr>
                <w:trHeight w:val="270" w:hRule="atLeast"/>
              </w:trPr>
              <w:tc>
                <w:tcPr>
                  <w:tcW w:w="1278" w:type="dxa"/>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fr-FR" w:eastAsia="en-US"/>
                    </w:rPr>
                  </w:pPr>
                  <w:r>
                    <w:rPr>
                      <w:sz w:val="20"/>
                      <w:szCs w:val="20"/>
                      <w:lang w:val="fr-FR" w:eastAsia="en-US"/>
                    </w:rPr>
                  </w:r>
                </w:p>
              </w:tc>
              <w:tc>
                <w:tcPr>
                  <w:tcW w:w="7114" w:type="dxa"/>
                  <w:gridSpan w:val="2"/>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Social Sciences Citation Index (baza de date pentru ştiinţele sociale)</w:t>
                  </w:r>
                </w:p>
              </w:tc>
              <w:tc>
                <w:tcPr>
                  <w:tcW w:w="590" w:type="dxa"/>
                  <w:gridSpan w:val="2"/>
                  <w:vMerge w:val="restart"/>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fr-FR"/>
                    </w:rPr>
                  </w:pPr>
                  <w:r>
                    <w:rPr>
                      <w:rFonts w:cs="Arial" w:ascii="Arial" w:hAnsi="Arial"/>
                      <w:sz w:val="20"/>
                      <w:szCs w:val="20"/>
                      <w:lang w:val="fr-FR"/>
                    </w:rPr>
                    <w:t> </w:t>
                  </w:r>
                </w:p>
              </w:tc>
            </w:tr>
            <w:tr>
              <w:trPr>
                <w:trHeight w:val="60" w:hRule="atLeast"/>
              </w:trPr>
              <w:tc>
                <w:tcPr>
                  <w:tcW w:w="1278" w:type="dxa"/>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fr-FR" w:eastAsia="en-US"/>
                    </w:rPr>
                  </w:pPr>
                  <w:r>
                    <w:rPr>
                      <w:sz w:val="20"/>
                      <w:szCs w:val="20"/>
                      <w:lang w:val="fr-FR" w:eastAsia="en-US"/>
                    </w:rPr>
                  </w:r>
                </w:p>
              </w:tc>
              <w:tc>
                <w:tcPr>
                  <w:tcW w:w="7114" w:type="dxa"/>
                  <w:gridSpan w:val="2"/>
                  <w:tcBorders>
                    <w:bottom w:val="single" w:sz="4" w:space="0" w:color="000001"/>
                    <w:insideH w:val="single" w:sz="4" w:space="0" w:color="000001"/>
                  </w:tcBorders>
                  <w:shd w:fill="auto" w:val="clear"/>
                  <w:vAlign w:val="bottom"/>
                </w:tcPr>
                <w:p>
                  <w:pPr>
                    <w:pStyle w:val="Normal"/>
                    <w:widowControl/>
                    <w:bidi w:val="0"/>
                    <w:ind w:left="0" w:right="0" w:hanging="0"/>
                    <w:jc w:val="left"/>
                    <w:textAlignment w:val="auto"/>
                    <w:rPr/>
                  </w:pPr>
                  <w:hyperlink r:id="rId108">
                    <w:r>
                      <w:rPr>
                        <w:webHidden/>
                        <w:rStyle w:val="Style5"/>
                        <w:sz w:val="20"/>
                        <w:szCs w:val="20"/>
                        <w:u w:val="single"/>
                        <w:lang w:val="fr-FR" w:eastAsia="en-US"/>
                      </w:rPr>
                      <w:t>http://science.thomsonreuters.com/cgi-bin/jrnlst/jloptions.cgi?PC=SS</w:t>
                    </w:r>
                  </w:hyperlink>
                </w:p>
              </w:tc>
              <w:tc>
                <w:tcPr>
                  <w:tcW w:w="590" w:type="dxa"/>
                  <w:gridSpan w:val="2"/>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fr-FR" w:eastAsia="en-US"/>
                    </w:rPr>
                  </w:pPr>
                  <w:r>
                    <w:rPr>
                      <w:sz w:val="20"/>
                      <w:szCs w:val="20"/>
                      <w:lang w:val="fr-FR" w:eastAsia="en-US"/>
                    </w:rPr>
                  </w:r>
                </w:p>
              </w:tc>
            </w:tr>
            <w:tr>
              <w:trPr>
                <w:trHeight w:val="270" w:hRule="atLeast"/>
              </w:trPr>
              <w:tc>
                <w:tcPr>
                  <w:tcW w:w="1278" w:type="dxa"/>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fr-FR" w:eastAsia="en-US"/>
                    </w:rPr>
                  </w:pPr>
                  <w:r>
                    <w:rPr>
                      <w:sz w:val="20"/>
                      <w:szCs w:val="20"/>
                      <w:lang w:val="fr-FR" w:eastAsia="en-US"/>
                    </w:rPr>
                  </w:r>
                </w:p>
              </w:tc>
              <w:tc>
                <w:tcPr>
                  <w:tcW w:w="7114" w:type="dxa"/>
                  <w:gridSpan w:val="2"/>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Arts and Humanities Citation Index (baza de date pentru ştiinţele artei şi umaniste)</w:t>
                  </w:r>
                </w:p>
              </w:tc>
              <w:tc>
                <w:tcPr>
                  <w:tcW w:w="590" w:type="dxa"/>
                  <w:gridSpan w:val="2"/>
                  <w:vMerge w:val="restart"/>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rFonts w:cs="Arial" w:ascii="Arial" w:hAnsi="Arial"/>
                      <w:sz w:val="20"/>
                      <w:szCs w:val="20"/>
                      <w:lang w:val="en-US"/>
                    </w:rPr>
                    <w:t> </w:t>
                  </w:r>
                </w:p>
              </w:tc>
            </w:tr>
            <w:tr>
              <w:trPr>
                <w:trHeight w:val="60" w:hRule="atLeast"/>
              </w:trPr>
              <w:tc>
                <w:tcPr>
                  <w:tcW w:w="1278" w:type="dxa"/>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c>
                <w:tcPr>
                  <w:tcW w:w="7114" w:type="dxa"/>
                  <w:gridSpan w:val="2"/>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u w:val="single"/>
                      <w:lang w:val="en-US" w:eastAsia="en-US"/>
                    </w:rPr>
                    <w:t>http://science.thomsonreuters.com/cgi-bin/jrnlst/jloptions.cgi?PC=H</w:t>
                  </w:r>
                </w:p>
              </w:tc>
              <w:tc>
                <w:tcPr>
                  <w:tcW w:w="590" w:type="dxa"/>
                  <w:gridSpan w:val="2"/>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211" w:hRule="atLeast"/>
              </w:trPr>
              <w:tc>
                <w:tcPr>
                  <w:tcW w:w="127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5.1.2.</w:t>
                  </w:r>
                </w:p>
              </w:tc>
              <w:tc>
                <w:tcPr>
                  <w:tcW w:w="7114"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Monografii în alte ediţii din străinătate </w:t>
                  </w:r>
                </w:p>
              </w:tc>
              <w:tc>
                <w:tcPr>
                  <w:tcW w:w="590"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r>
            <w:tr>
              <w:trPr>
                <w:trHeight w:val="400" w:hRule="atLeast"/>
              </w:trPr>
              <w:tc>
                <w:tcPr>
                  <w:tcW w:w="127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5.1.3.</w:t>
                  </w:r>
                </w:p>
              </w:tc>
              <w:tc>
                <w:tcPr>
                  <w:tcW w:w="7114" w:type="dxa"/>
                  <w:gridSpan w:val="2"/>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Capitole în monografii şi rapoarte la invitaţie în culegeri de lucrări la conferinţe internaţionale</w:t>
                  </w:r>
                </w:p>
              </w:tc>
              <w:tc>
                <w:tcPr>
                  <w:tcW w:w="590"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ro-RO"/>
                    </w:rPr>
                  </w:pPr>
                  <w:r>
                    <w:rPr>
                      <w:sz w:val="20"/>
                      <w:szCs w:val="20"/>
                      <w:lang w:val="ro-RO"/>
                    </w:rPr>
                    <w:t>1</w:t>
                  </w:r>
                </w:p>
              </w:tc>
            </w:tr>
            <w:tr>
              <w:trPr>
                <w:trHeight w:val="194" w:hRule="atLeast"/>
              </w:trPr>
              <w:tc>
                <w:tcPr>
                  <w:tcW w:w="127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5.1.4.</w:t>
                  </w:r>
                </w:p>
              </w:tc>
              <w:tc>
                <w:tcPr>
                  <w:tcW w:w="7114" w:type="dxa"/>
                  <w:gridSpan w:val="2"/>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Cărţi de specialitate pentru învăţământul universitar, editate în stăinătate</w:t>
                  </w:r>
                </w:p>
              </w:tc>
              <w:tc>
                <w:tcPr>
                  <w:tcW w:w="590"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r>
            <w:tr>
              <w:trPr>
                <w:trHeight w:val="84" w:hRule="atLeast"/>
              </w:trPr>
              <w:tc>
                <w:tcPr>
                  <w:tcW w:w="127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5.1.5.</w:t>
                  </w:r>
                </w:p>
              </w:tc>
              <w:tc>
                <w:tcPr>
                  <w:tcW w:w="7114" w:type="dxa"/>
                  <w:gridSpan w:val="2"/>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Articole în reviste cu factor de impact mai mare de 3</w:t>
                  </w:r>
                </w:p>
              </w:tc>
              <w:tc>
                <w:tcPr>
                  <w:tcW w:w="590"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rPr>
                    <w:t> </w:t>
                  </w:r>
                </w:p>
              </w:tc>
            </w:tr>
            <w:tr>
              <w:trPr>
                <w:trHeight w:val="116" w:hRule="atLeast"/>
              </w:trPr>
              <w:tc>
                <w:tcPr>
                  <w:tcW w:w="127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5.1.6.</w:t>
                  </w:r>
                </w:p>
              </w:tc>
              <w:tc>
                <w:tcPr>
                  <w:tcW w:w="7114" w:type="dxa"/>
                  <w:gridSpan w:val="2"/>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Articole în reviste cu factor de impact 1,0-2,9</w:t>
                  </w:r>
                </w:p>
              </w:tc>
              <w:tc>
                <w:tcPr>
                  <w:tcW w:w="590"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ro-RO"/>
                    </w:rPr>
                  </w:pPr>
                  <w:r>
                    <w:rPr>
                      <w:sz w:val="20"/>
                      <w:szCs w:val="20"/>
                      <w:lang w:val="ro-RO"/>
                    </w:rPr>
                    <w:t>5</w:t>
                  </w:r>
                </w:p>
              </w:tc>
            </w:tr>
            <w:tr>
              <w:trPr>
                <w:trHeight w:val="162" w:hRule="atLeast"/>
              </w:trPr>
              <w:tc>
                <w:tcPr>
                  <w:tcW w:w="127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5.1.7.</w:t>
                  </w:r>
                </w:p>
              </w:tc>
              <w:tc>
                <w:tcPr>
                  <w:tcW w:w="7114" w:type="dxa"/>
                  <w:gridSpan w:val="2"/>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Articole în reviste cu factor de impact 0,1-0.9</w:t>
                  </w:r>
                </w:p>
              </w:tc>
              <w:tc>
                <w:tcPr>
                  <w:tcW w:w="590"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ro-RO"/>
                    </w:rPr>
                  </w:pPr>
                  <w:r>
                    <w:rPr>
                      <w:sz w:val="20"/>
                      <w:szCs w:val="20"/>
                      <w:lang w:val="ro-RO"/>
                    </w:rPr>
                    <w:t>12</w:t>
                  </w:r>
                </w:p>
              </w:tc>
            </w:tr>
            <w:tr>
              <w:trPr>
                <w:trHeight w:val="179" w:hRule="atLeast"/>
              </w:trPr>
              <w:tc>
                <w:tcPr>
                  <w:tcW w:w="127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5.1.8.</w:t>
                  </w:r>
                </w:p>
              </w:tc>
              <w:tc>
                <w:tcPr>
                  <w:tcW w:w="7114" w:type="dxa"/>
                  <w:gridSpan w:val="2"/>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Articole în reviste cu factor de impact 0,01- 0,09</w:t>
                  </w:r>
                </w:p>
              </w:tc>
              <w:tc>
                <w:tcPr>
                  <w:tcW w:w="590"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rPr>
                    <w:t> </w:t>
                  </w:r>
                </w:p>
              </w:tc>
            </w:tr>
            <w:tr>
              <w:trPr>
                <w:trHeight w:val="212" w:hRule="atLeast"/>
              </w:trPr>
              <w:tc>
                <w:tcPr>
                  <w:tcW w:w="127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fr-FR"/>
                    </w:rPr>
                  </w:pPr>
                  <w:r>
                    <w:rPr>
                      <w:sz w:val="20"/>
                      <w:szCs w:val="20"/>
                      <w:lang w:val="fr-FR" w:eastAsia="en-US"/>
                    </w:rPr>
                    <w:t> </w:t>
                  </w:r>
                </w:p>
              </w:tc>
              <w:tc>
                <w:tcPr>
                  <w:tcW w:w="7114" w:type="dxa"/>
                  <w:gridSpan w:val="2"/>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 xml:space="preserve">      </w:t>
                  </w:r>
                  <w:r>
                    <w:rPr>
                      <w:sz w:val="20"/>
                      <w:szCs w:val="20"/>
                      <w:lang w:val="fr-FR" w:eastAsia="en-US"/>
                    </w:rPr>
                    <w:t>Inclusiv articole numai cu autori autohtoni, publicate în reviste cu factor de impact</w:t>
                  </w:r>
                </w:p>
              </w:tc>
              <w:tc>
                <w:tcPr>
                  <w:tcW w:w="590"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ro-RO"/>
                    </w:rPr>
                  </w:pPr>
                  <w:r>
                    <w:rPr>
                      <w:sz w:val="20"/>
                      <w:szCs w:val="20"/>
                      <w:lang w:val="ro-RO"/>
                    </w:rPr>
                    <w:t>6</w:t>
                  </w:r>
                </w:p>
              </w:tc>
            </w:tr>
            <w:tr>
              <w:trPr>
                <w:trHeight w:val="115" w:hRule="atLeast"/>
              </w:trPr>
              <w:tc>
                <w:tcPr>
                  <w:tcW w:w="127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5.1.9.</w:t>
                  </w:r>
                </w:p>
              </w:tc>
              <w:tc>
                <w:tcPr>
                  <w:tcW w:w="7114" w:type="dxa"/>
                  <w:gridSpan w:val="2"/>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Articole în al</w:t>
                  </w:r>
                  <w:r>
                    <w:rPr>
                      <w:rFonts w:cs="Times New Roman CE" w:ascii="Times New Roman CE" w:hAnsi="Times New Roman CE"/>
                      <w:sz w:val="20"/>
                      <w:szCs w:val="20"/>
                      <w:lang w:val="en-US" w:eastAsia="en-US"/>
                    </w:rPr>
                    <w:t xml:space="preserve">te reviste editate în străinătate </w:t>
                  </w:r>
                </w:p>
              </w:tc>
              <w:tc>
                <w:tcPr>
                  <w:tcW w:w="590"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ro-RO"/>
                    </w:rPr>
                  </w:pPr>
                  <w:r>
                    <w:rPr>
                      <w:sz w:val="20"/>
                      <w:szCs w:val="20"/>
                      <w:lang w:val="ro-RO"/>
                    </w:rPr>
                    <w:t>12</w:t>
                  </w:r>
                </w:p>
              </w:tc>
            </w:tr>
            <w:tr>
              <w:trPr>
                <w:trHeight w:val="148" w:hRule="atLeast"/>
              </w:trPr>
              <w:tc>
                <w:tcPr>
                  <w:tcW w:w="127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5.1.10.</w:t>
                  </w:r>
                </w:p>
              </w:tc>
              <w:tc>
                <w:tcPr>
                  <w:tcW w:w="7114" w:type="dxa"/>
                  <w:gridSpan w:val="2"/>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Articole în culegeri internationale</w:t>
                  </w:r>
                </w:p>
              </w:tc>
              <w:tc>
                <w:tcPr>
                  <w:tcW w:w="590"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ro-RO"/>
                    </w:rPr>
                  </w:pPr>
                  <w:r>
                    <w:rPr>
                      <w:sz w:val="20"/>
                      <w:szCs w:val="20"/>
                      <w:lang w:val="ro-RO"/>
                    </w:rPr>
                    <w:t>73</w:t>
                  </w:r>
                </w:p>
              </w:tc>
            </w:tr>
            <w:tr>
              <w:trPr>
                <w:trHeight w:val="166" w:hRule="atLeast"/>
              </w:trPr>
              <w:tc>
                <w:tcPr>
                  <w:tcW w:w="127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5.1.11.</w:t>
                  </w:r>
                </w:p>
              </w:tc>
              <w:tc>
                <w:tcPr>
                  <w:tcW w:w="7114" w:type="dxa"/>
                  <w:gridSpan w:val="2"/>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Publicaţii ştiinţifice electronice internationale</w:t>
                  </w:r>
                </w:p>
              </w:tc>
              <w:tc>
                <w:tcPr>
                  <w:tcW w:w="590"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ro-RO"/>
                    </w:rPr>
                  </w:pPr>
                  <w:r>
                    <w:rPr>
                      <w:sz w:val="20"/>
                      <w:szCs w:val="20"/>
                      <w:lang w:val="ro-RO"/>
                    </w:rPr>
                    <w:t>4</w:t>
                  </w:r>
                </w:p>
              </w:tc>
            </w:tr>
            <w:tr>
              <w:trPr>
                <w:trHeight w:val="212" w:hRule="atLeast"/>
              </w:trPr>
              <w:tc>
                <w:tcPr>
                  <w:tcW w:w="127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5.1.12.</w:t>
                  </w:r>
                </w:p>
              </w:tc>
              <w:tc>
                <w:tcPr>
                  <w:tcW w:w="7114" w:type="dxa"/>
                  <w:gridSpan w:val="2"/>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Rezumate (teze) la conferinţe ştiinţifice internaţionale</w:t>
                  </w:r>
                </w:p>
              </w:tc>
              <w:tc>
                <w:tcPr>
                  <w:tcW w:w="590"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ro-RO"/>
                    </w:rPr>
                  </w:pPr>
                  <w:r>
                    <w:rPr>
                      <w:sz w:val="20"/>
                      <w:szCs w:val="20"/>
                      <w:lang w:val="ro-RO"/>
                    </w:rPr>
                    <w:t>37</w:t>
                  </w:r>
                </w:p>
              </w:tc>
            </w:tr>
            <w:tr>
              <w:trPr>
                <w:trHeight w:val="102" w:hRule="atLeast"/>
              </w:trPr>
              <w:tc>
                <w:tcPr>
                  <w:tcW w:w="127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5.1.13.</w:t>
                  </w:r>
                </w:p>
              </w:tc>
              <w:tc>
                <w:tcPr>
                  <w:tcW w:w="7114"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Preprinturi internaţionale</w:t>
                  </w:r>
                </w:p>
              </w:tc>
              <w:tc>
                <w:tcPr>
                  <w:tcW w:w="590"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ro-RO"/>
                    </w:rPr>
                  </w:pPr>
                  <w:r>
                    <w:rPr>
                      <w:sz w:val="20"/>
                      <w:szCs w:val="20"/>
                      <w:lang w:val="ro-RO"/>
                    </w:rPr>
                    <w:t>1</w:t>
                  </w:r>
                </w:p>
              </w:tc>
            </w:tr>
            <w:tr>
              <w:trPr>
                <w:trHeight w:val="145" w:hRule="atLeast"/>
              </w:trPr>
              <w:tc>
                <w:tcPr>
                  <w:tcW w:w="1279"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 </w:t>
                  </w:r>
                </w:p>
              </w:tc>
              <w:tc>
                <w:tcPr>
                  <w:tcW w:w="7124" w:type="dxa"/>
                  <w:gridSpan w:val="2"/>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5.2. Impactul internaţional al cercetărilor şi elaborărilor</w:t>
                  </w:r>
                </w:p>
              </w:tc>
              <w:tc>
                <w:tcPr>
                  <w:tcW w:w="579" w:type="dxa"/>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180" w:hRule="atLeast"/>
              </w:trPr>
              <w:tc>
                <w:tcPr>
                  <w:tcW w:w="127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5.2.1.</w:t>
                  </w:r>
                </w:p>
              </w:tc>
              <w:tc>
                <w:tcPr>
                  <w:tcW w:w="7114" w:type="dxa"/>
                  <w:gridSpan w:val="2"/>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Contracte de licenţă în baza invenţiilor şi know-how </w:t>
                  </w:r>
                </w:p>
              </w:tc>
              <w:tc>
                <w:tcPr>
                  <w:tcW w:w="590"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rPr>
                    <w:t> </w:t>
                  </w:r>
                </w:p>
              </w:tc>
            </w:tr>
            <w:tr>
              <w:trPr>
                <w:trHeight w:val="525" w:hRule="atLeast"/>
              </w:trPr>
              <w:tc>
                <w:tcPr>
                  <w:tcW w:w="127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5.2.2.</w:t>
                  </w:r>
                </w:p>
              </w:tc>
              <w:tc>
                <w:tcPr>
                  <w:tcW w:w="7114"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Proiecte de cercetare obţinute prin competiţie de la organizaţiile din străinătate, cu un volum de finanţare &gt;100 mii EU</w:t>
                  </w:r>
                </w:p>
              </w:tc>
              <w:tc>
                <w:tcPr>
                  <w:tcW w:w="590"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rPr>
                    <w:t> </w:t>
                  </w:r>
                  <w:r>
                    <w:rPr>
                      <w:sz w:val="20"/>
                      <w:szCs w:val="20"/>
                      <w:lang w:val="fr-FR"/>
                    </w:rPr>
                    <w:t>2</w:t>
                  </w:r>
                </w:p>
              </w:tc>
            </w:tr>
            <w:tr>
              <w:trPr>
                <w:trHeight w:val="525" w:hRule="atLeast"/>
              </w:trPr>
              <w:tc>
                <w:tcPr>
                  <w:tcW w:w="127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5.2.3.</w:t>
                  </w:r>
                </w:p>
              </w:tc>
              <w:tc>
                <w:tcPr>
                  <w:tcW w:w="7114"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Proiecte de cercetare obţinute prin competiţie de la organizaţiile din străinătate, cu un volum de finanţare &lt;100 mii EU</w:t>
                  </w:r>
                </w:p>
              </w:tc>
              <w:tc>
                <w:tcPr>
                  <w:tcW w:w="590"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rPr>
                    <w:t> </w:t>
                  </w:r>
                  <w:r>
                    <w:rPr>
                      <w:sz w:val="20"/>
                      <w:szCs w:val="20"/>
                      <w:lang w:val="fr-FR"/>
                    </w:rPr>
                    <w:t>2</w:t>
                  </w:r>
                </w:p>
              </w:tc>
            </w:tr>
            <w:tr>
              <w:trPr>
                <w:trHeight w:val="270" w:hRule="atLeast"/>
              </w:trPr>
              <w:tc>
                <w:tcPr>
                  <w:tcW w:w="127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5.2.4.</w:t>
                  </w:r>
                </w:p>
              </w:tc>
              <w:tc>
                <w:tcPr>
                  <w:tcW w:w="7114" w:type="dxa"/>
                  <w:gridSpan w:val="2"/>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Premii din străinătate pentru  rezultatele cercetării</w:t>
                  </w:r>
                </w:p>
              </w:tc>
              <w:tc>
                <w:tcPr>
                  <w:tcW w:w="590"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rPr>
                    <w:t> </w:t>
                  </w:r>
                </w:p>
              </w:tc>
            </w:tr>
            <w:tr>
              <w:trPr>
                <w:trHeight w:val="270" w:hRule="atLeast"/>
              </w:trPr>
              <w:tc>
                <w:tcPr>
                  <w:tcW w:w="127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5.2.5.</w:t>
                  </w:r>
                </w:p>
              </w:tc>
              <w:tc>
                <w:tcPr>
                  <w:tcW w:w="7114" w:type="dxa"/>
                  <w:gridSpan w:val="2"/>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Brevete obţinute</w:t>
                  </w:r>
                </w:p>
              </w:tc>
              <w:tc>
                <w:tcPr>
                  <w:tcW w:w="590"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20"/>
                      <w:szCs w:val="20"/>
                    </w:rPr>
                    <w:t> </w:t>
                  </w:r>
                </w:p>
              </w:tc>
            </w:tr>
            <w:tr>
              <w:trPr>
                <w:trHeight w:val="270" w:hRule="atLeast"/>
              </w:trPr>
              <w:tc>
                <w:tcPr>
                  <w:tcW w:w="127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5.2.6.</w:t>
                  </w:r>
                </w:p>
              </w:tc>
              <w:tc>
                <w:tcPr>
                  <w:tcW w:w="7114" w:type="dxa"/>
                  <w:gridSpan w:val="2"/>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Rapoarte (comunicări orale) la invitaţie la conferinţe internaţionale</w:t>
                  </w:r>
                </w:p>
              </w:tc>
              <w:tc>
                <w:tcPr>
                  <w:tcW w:w="590"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ro-RO"/>
                    </w:rPr>
                  </w:pPr>
                  <w:r>
                    <w:rPr>
                      <w:sz w:val="20"/>
                      <w:szCs w:val="20"/>
                      <w:lang w:val="ro-RO"/>
                    </w:rPr>
                    <w:t>6</w:t>
                  </w:r>
                </w:p>
              </w:tc>
            </w:tr>
            <w:tr>
              <w:trPr>
                <w:trHeight w:val="270" w:hRule="atLeast"/>
              </w:trPr>
              <w:tc>
                <w:tcPr>
                  <w:tcW w:w="127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5.2.7.</w:t>
                  </w:r>
                </w:p>
              </w:tc>
              <w:tc>
                <w:tcPr>
                  <w:tcW w:w="7114" w:type="dxa"/>
                  <w:gridSpan w:val="2"/>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Menţiuni ale publicaţiilor şi rezultatelor cercetării în ediţii electronice internaţionale</w:t>
                  </w:r>
                </w:p>
              </w:tc>
              <w:tc>
                <w:tcPr>
                  <w:tcW w:w="590"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rPr>
                    <w:t> </w:t>
                  </w:r>
                </w:p>
              </w:tc>
            </w:tr>
            <w:tr>
              <w:trPr>
                <w:trHeight w:val="270" w:hRule="atLeast"/>
              </w:trPr>
              <w:tc>
                <w:tcPr>
                  <w:tcW w:w="127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5.2.8.</w:t>
                  </w:r>
                </w:p>
              </w:tc>
              <w:tc>
                <w:tcPr>
                  <w:tcW w:w="7114" w:type="dxa"/>
                  <w:gridSpan w:val="2"/>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 xml:space="preserve">Medalii </w:t>
                  </w:r>
                  <w:r>
                    <w:rPr>
                      <w:b/>
                      <w:bCs/>
                      <w:sz w:val="20"/>
                      <w:szCs w:val="20"/>
                      <w:lang w:val="fr-FR" w:eastAsia="en-US"/>
                    </w:rPr>
                    <w:t>de aur</w:t>
                  </w:r>
                  <w:r>
                    <w:rPr>
                      <w:rFonts w:cs="Times New Roman CE" w:ascii="Times New Roman CE" w:hAnsi="Times New Roman CE"/>
                      <w:sz w:val="20"/>
                      <w:szCs w:val="20"/>
                      <w:lang w:val="fr-FR" w:eastAsia="en-US"/>
                    </w:rPr>
                    <w:t xml:space="preserve"> obţinute la expoziţii şi saloane internaţionale </w:t>
                  </w:r>
                </w:p>
              </w:tc>
              <w:tc>
                <w:tcPr>
                  <w:tcW w:w="590"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rPr>
                    <w:t> </w:t>
                  </w:r>
                </w:p>
              </w:tc>
            </w:tr>
            <w:tr>
              <w:trPr>
                <w:trHeight w:val="270" w:hRule="atLeast"/>
              </w:trPr>
              <w:tc>
                <w:tcPr>
                  <w:tcW w:w="127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5.2.9.</w:t>
                  </w:r>
                </w:p>
              </w:tc>
              <w:tc>
                <w:tcPr>
                  <w:tcW w:w="7114" w:type="dxa"/>
                  <w:gridSpan w:val="2"/>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 xml:space="preserve">Medalii </w:t>
                  </w:r>
                  <w:r>
                    <w:rPr>
                      <w:b/>
                      <w:bCs/>
                      <w:sz w:val="20"/>
                      <w:szCs w:val="20"/>
                      <w:lang w:val="fr-FR" w:eastAsia="en-US"/>
                    </w:rPr>
                    <w:t>de argint</w:t>
                  </w:r>
                  <w:r>
                    <w:rPr>
                      <w:rFonts w:cs="Times New Roman CE" w:ascii="Times New Roman CE" w:hAnsi="Times New Roman CE"/>
                      <w:sz w:val="20"/>
                      <w:szCs w:val="20"/>
                      <w:lang w:val="fr-FR" w:eastAsia="en-US"/>
                    </w:rPr>
                    <w:t xml:space="preserve"> obţinute la expoziţii şi saloane internaţionale </w:t>
                  </w:r>
                </w:p>
              </w:tc>
              <w:tc>
                <w:tcPr>
                  <w:tcW w:w="590"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rPr>
                    <w:t> </w:t>
                  </w:r>
                </w:p>
              </w:tc>
            </w:tr>
            <w:tr>
              <w:trPr>
                <w:trHeight w:val="270" w:hRule="atLeast"/>
              </w:trPr>
              <w:tc>
                <w:tcPr>
                  <w:tcW w:w="127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5.2.10.</w:t>
                  </w:r>
                </w:p>
              </w:tc>
              <w:tc>
                <w:tcPr>
                  <w:tcW w:w="7114" w:type="dxa"/>
                  <w:gridSpan w:val="2"/>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 xml:space="preserve">Medalii </w:t>
                  </w:r>
                  <w:r>
                    <w:rPr>
                      <w:b/>
                      <w:bCs/>
                      <w:sz w:val="20"/>
                      <w:szCs w:val="20"/>
                      <w:lang w:val="fr-FR" w:eastAsia="en-US"/>
                    </w:rPr>
                    <w:t>de bronz</w:t>
                  </w:r>
                  <w:r>
                    <w:rPr>
                      <w:rFonts w:cs="Times New Roman CE" w:ascii="Times New Roman CE" w:hAnsi="Times New Roman CE"/>
                      <w:sz w:val="20"/>
                      <w:szCs w:val="20"/>
                      <w:lang w:val="fr-FR" w:eastAsia="en-US"/>
                    </w:rPr>
                    <w:t xml:space="preserve"> obţinute la expoziţii şi saloane internaţionale </w:t>
                  </w:r>
                </w:p>
              </w:tc>
              <w:tc>
                <w:tcPr>
                  <w:tcW w:w="590"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rPr>
                    <w:t> </w:t>
                  </w:r>
                </w:p>
              </w:tc>
            </w:tr>
            <w:tr>
              <w:trPr>
                <w:trHeight w:val="270" w:hRule="atLeast"/>
              </w:trPr>
              <w:tc>
                <w:tcPr>
                  <w:tcW w:w="127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5.2.11.</w:t>
                  </w:r>
                </w:p>
              </w:tc>
              <w:tc>
                <w:tcPr>
                  <w:tcW w:w="7114" w:type="dxa"/>
                  <w:gridSpan w:val="2"/>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Diplome obţinute la expoziţii internaţionale</w:t>
                  </w:r>
                </w:p>
              </w:tc>
              <w:tc>
                <w:tcPr>
                  <w:tcW w:w="590"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rPr>
                    <w:t>3 </w:t>
                  </w:r>
                </w:p>
              </w:tc>
            </w:tr>
            <w:tr>
              <w:trPr>
                <w:trHeight w:val="270" w:hRule="atLeast"/>
              </w:trPr>
              <w:tc>
                <w:tcPr>
                  <w:tcW w:w="1278" w:type="dxa"/>
                  <w:tcBorders>
                    <w:left w:val="single" w:sz="8" w:space="0" w:color="000001"/>
                    <w:bottom w:val="single" w:sz="4" w:space="0" w:color="000001"/>
                    <w:right w:val="single" w:sz="8" w:space="0" w:color="000001"/>
                    <w:insideH w:val="single" w:sz="4"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5.2.12.</w:t>
                  </w:r>
                </w:p>
              </w:tc>
              <w:tc>
                <w:tcPr>
                  <w:tcW w:w="7114" w:type="dxa"/>
                  <w:gridSpan w:val="2"/>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Alte distincţii de apreciere a rezultatelor cercetării şi elaborăril</w:t>
                  </w:r>
                  <w:r>
                    <w:rPr>
                      <w:sz w:val="20"/>
                      <w:szCs w:val="20"/>
                      <w:lang w:val="en-US" w:eastAsia="en-US"/>
                    </w:rPr>
                    <w:t>or</w:t>
                  </w:r>
                </w:p>
              </w:tc>
              <w:tc>
                <w:tcPr>
                  <w:tcW w:w="590"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rPr>
                    <w:t> </w:t>
                  </w:r>
                  <w:r>
                    <w:rPr>
                      <w:sz w:val="20"/>
                      <w:szCs w:val="20"/>
                      <w:lang w:val="en-US"/>
                    </w:rPr>
                    <w:t>1</w:t>
                  </w:r>
                </w:p>
              </w:tc>
            </w:tr>
            <w:tr>
              <w:trPr>
                <w:trHeight w:val="270" w:hRule="atLeast"/>
              </w:trPr>
              <w:tc>
                <w:tcPr>
                  <w:tcW w:w="127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c>
                <w:tcPr>
                  <w:tcW w:w="7124" w:type="dxa"/>
                  <w:gridSpan w:val="2"/>
                  <w:tcBorders>
                    <w:top w:val="single" w:sz="8" w:space="0" w:color="000001"/>
                    <w:left w:val="single" w:sz="4" w:space="0" w:color="000001"/>
                    <w:bottom w:val="single" w:sz="8" w:space="0" w:color="000001"/>
                    <w:right w:val="single" w:sz="8" w:space="0" w:color="000001"/>
                    <w:insideH w:val="single" w:sz="8" w:space="0" w:color="000001"/>
                    <w:insideV w:val="single" w:sz="8" w:space="0" w:color="000001"/>
                  </w:tcBorders>
                  <w:shd w:color="auto" w:fill="CCFFCC"/>
                  <w:tcMar>
                    <w:left w:w="103" w:type="dxa"/>
                  </w:tcMar>
                  <w:vAlign w:val="bottom"/>
                </w:tcPr>
                <w:p>
                  <w:pPr>
                    <w:pStyle w:val="Normal"/>
                    <w:widowControl/>
                    <w:bidi w:val="0"/>
                    <w:ind w:left="0" w:right="0" w:hanging="0"/>
                    <w:jc w:val="left"/>
                    <w:textAlignment w:val="auto"/>
                    <w:rPr>
                      <w:lang w:val="en-US"/>
                    </w:rPr>
                  </w:pPr>
                  <w:bookmarkStart w:id="427" w:name="RANGE!B36"/>
                  <w:bookmarkEnd w:id="427"/>
                  <w:r>
                    <w:rPr>
                      <w:rFonts w:cs="Times New Roman CE" w:ascii="Times New Roman CE" w:hAnsi="Times New Roman CE"/>
                      <w:b/>
                      <w:bCs/>
                      <w:sz w:val="20"/>
                      <w:szCs w:val="20"/>
                      <w:lang w:val="en-US" w:eastAsia="en-US"/>
                    </w:rPr>
                    <w:t>5.3. Apreciere internaţională şi antrenare în expertiza internaţională</w:t>
                  </w:r>
                </w:p>
              </w:tc>
              <w:tc>
                <w:tcPr>
                  <w:tcW w:w="579" w:type="dxa"/>
                  <w:tcBorders>
                    <w:top w:val="single" w:sz="8" w:space="0" w:color="000001"/>
                    <w:left w:val="single" w:sz="4" w:space="0" w:color="000001"/>
                    <w:bottom w:val="single" w:sz="8" w:space="0" w:color="000001"/>
                    <w:right w:val="single" w:sz="8" w:space="0" w:color="000001"/>
                    <w:insideH w:val="single" w:sz="8" w:space="0" w:color="000001"/>
                    <w:insideV w:val="single" w:sz="8" w:space="0" w:color="000001"/>
                  </w:tcBorders>
                  <w:shd w:color="auto" w:fill="CCFFCC"/>
                  <w:tcMar>
                    <w:left w:w="103" w:type="dxa"/>
                  </w:tcMar>
                  <w:vAlign w:val="bottom"/>
                </w:tcPr>
                <w:p>
                  <w:pPr>
                    <w:pStyle w:val="Normal"/>
                    <w:widowControl/>
                    <w:bidi w:val="0"/>
                    <w:ind w:left="0" w:right="0" w:hanging="0"/>
                    <w:jc w:val="left"/>
                    <w:textAlignment w:val="auto"/>
                    <w:rPr>
                      <w:rFonts w:ascii="Times New Roman" w:hAnsi="Times New Roman"/>
                      <w:b/>
                      <w:b/>
                      <w:bCs/>
                      <w:sz w:val="20"/>
                      <w:szCs w:val="20"/>
                      <w:lang w:val="en-US" w:eastAsia="en-US"/>
                    </w:rPr>
                  </w:pPr>
                  <w:r>
                    <w:rPr>
                      <w:b/>
                      <w:bCs/>
                      <w:sz w:val="20"/>
                      <w:szCs w:val="20"/>
                      <w:lang w:val="en-US" w:eastAsia="en-US"/>
                    </w:rPr>
                  </w:r>
                </w:p>
              </w:tc>
            </w:tr>
            <w:tr>
              <w:trPr>
                <w:trHeight w:val="270" w:hRule="atLeast"/>
              </w:trPr>
              <w:tc>
                <w:tcPr>
                  <w:tcW w:w="1278" w:type="dxa"/>
                  <w:tcBorders>
                    <w:top w:val="single" w:sz="4"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5.3.1.</w:t>
                  </w:r>
                </w:p>
              </w:tc>
              <w:tc>
                <w:tcPr>
                  <w:tcW w:w="7114"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Membru de onoare al academiilor de ştiinţe din străinătate ales în perioada evaluată</w:t>
                  </w:r>
                </w:p>
              </w:tc>
              <w:tc>
                <w:tcPr>
                  <w:tcW w:w="590"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rPr>
                    <w:t> </w:t>
                  </w:r>
                </w:p>
              </w:tc>
            </w:tr>
            <w:tr>
              <w:trPr>
                <w:trHeight w:val="270" w:hRule="atLeast"/>
              </w:trPr>
              <w:tc>
                <w:tcPr>
                  <w:tcW w:w="127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5.3.2.</w:t>
                  </w:r>
                </w:p>
              </w:tc>
              <w:tc>
                <w:tcPr>
                  <w:tcW w:w="7114"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Membru de onoare al societăţilor ştiinţifice din străinătate ales în perioada evaluată</w:t>
                  </w:r>
                </w:p>
              </w:tc>
              <w:tc>
                <w:tcPr>
                  <w:tcW w:w="590"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rPr>
                    <w:t> </w:t>
                  </w:r>
                </w:p>
              </w:tc>
            </w:tr>
            <w:tr>
              <w:trPr>
                <w:trHeight w:val="270" w:hRule="atLeast"/>
              </w:trPr>
              <w:tc>
                <w:tcPr>
                  <w:tcW w:w="127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5.3.3.</w:t>
                  </w:r>
                </w:p>
              </w:tc>
              <w:tc>
                <w:tcPr>
                  <w:tcW w:w="7114"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Redactor-şef al unei reviste de specialitate cotate ISI</w:t>
                  </w:r>
                </w:p>
              </w:tc>
              <w:tc>
                <w:tcPr>
                  <w:tcW w:w="590"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rPr>
                    <w:t> </w:t>
                  </w:r>
                </w:p>
              </w:tc>
            </w:tr>
            <w:tr>
              <w:trPr>
                <w:trHeight w:val="270" w:hRule="atLeast"/>
              </w:trPr>
              <w:tc>
                <w:tcPr>
                  <w:tcW w:w="127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5.3.4.</w:t>
                  </w:r>
                </w:p>
              </w:tc>
              <w:tc>
                <w:tcPr>
                  <w:tcW w:w="7114"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 xml:space="preserve">Membru al colegiului de redacţie al revistelor de specialitate consacrate de peste hotare </w:t>
                  </w:r>
                </w:p>
              </w:tc>
              <w:tc>
                <w:tcPr>
                  <w:tcW w:w="590"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rPr>
                    <w:t>11 </w:t>
                  </w:r>
                </w:p>
              </w:tc>
            </w:tr>
            <w:tr>
              <w:trPr>
                <w:trHeight w:val="270" w:hRule="atLeast"/>
              </w:trPr>
              <w:tc>
                <w:tcPr>
                  <w:tcW w:w="127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5.3.5.</w:t>
                  </w:r>
                </w:p>
              </w:tc>
              <w:tc>
                <w:tcPr>
                  <w:tcW w:w="7114"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Preşedinte al Comitetului de program al manifestărilor ştiinţifice din străinătate</w:t>
                  </w:r>
                </w:p>
              </w:tc>
              <w:tc>
                <w:tcPr>
                  <w:tcW w:w="590"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rPr>
                    <w:t> </w:t>
                  </w:r>
                </w:p>
              </w:tc>
            </w:tr>
            <w:tr>
              <w:trPr>
                <w:trHeight w:val="270" w:hRule="atLeast"/>
              </w:trPr>
              <w:tc>
                <w:tcPr>
                  <w:tcW w:w="127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5.3.6.</w:t>
                  </w:r>
                </w:p>
              </w:tc>
              <w:tc>
                <w:tcPr>
                  <w:tcW w:w="7114"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 xml:space="preserve">Copreşedinte al Comitetului de program al manifestărilor ştiinţifice din străinătate </w:t>
                  </w:r>
                </w:p>
              </w:tc>
              <w:tc>
                <w:tcPr>
                  <w:tcW w:w="590"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rPr>
                    <w:t> </w:t>
                  </w:r>
                </w:p>
              </w:tc>
            </w:tr>
            <w:tr>
              <w:trPr>
                <w:trHeight w:val="270" w:hRule="atLeast"/>
              </w:trPr>
              <w:tc>
                <w:tcPr>
                  <w:tcW w:w="127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5.3.7.</w:t>
                  </w:r>
                </w:p>
              </w:tc>
              <w:tc>
                <w:tcPr>
                  <w:tcW w:w="7114"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Expert al proiectelor şi a altor activităţi  internaţionale </w:t>
                  </w:r>
                </w:p>
              </w:tc>
              <w:tc>
                <w:tcPr>
                  <w:tcW w:w="590"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rPr>
                    <w:t> </w:t>
                  </w:r>
                  <w:r>
                    <w:rPr>
                      <w:sz w:val="20"/>
                      <w:szCs w:val="20"/>
                      <w:lang w:val="en-US"/>
                    </w:rPr>
                    <w:t>3</w:t>
                  </w:r>
                </w:p>
              </w:tc>
            </w:tr>
            <w:tr>
              <w:trPr>
                <w:trHeight w:val="270" w:hRule="atLeast"/>
              </w:trPr>
              <w:tc>
                <w:tcPr>
                  <w:tcW w:w="127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5.3.8.</w:t>
                  </w:r>
                </w:p>
              </w:tc>
              <w:tc>
                <w:tcPr>
                  <w:tcW w:w="7114"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sz w:val="20"/>
                      <w:szCs w:val="20"/>
                      <w:lang w:val="en-US" w:eastAsia="en-US"/>
                    </w:rPr>
                    <w:t xml:space="preserve">Membru în Comisiile pentru decernarea premiilor relevante </w:t>
                  </w:r>
                  <w:r>
                    <w:rPr>
                      <w:rFonts w:cs="Times New Roman CE" w:ascii="Times New Roman CE" w:hAnsi="Times New Roman CE"/>
                      <w:sz w:val="20"/>
                      <w:szCs w:val="20"/>
                      <w:lang w:val="en-US" w:eastAsia="en-US"/>
                    </w:rPr>
                    <w:t>din străinătate</w:t>
                  </w:r>
                </w:p>
              </w:tc>
              <w:tc>
                <w:tcPr>
                  <w:tcW w:w="590"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rPr>
                    <w:t> </w:t>
                  </w:r>
                </w:p>
              </w:tc>
            </w:tr>
            <w:tr>
              <w:trPr>
                <w:trHeight w:val="270" w:hRule="atLeast"/>
              </w:trPr>
              <w:tc>
                <w:tcPr>
                  <w:tcW w:w="127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5.3.9.</w:t>
                  </w:r>
                </w:p>
              </w:tc>
              <w:tc>
                <w:tcPr>
                  <w:tcW w:w="7114"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Referent ştiinţific al revistei cotate ISI;</w:t>
                  </w:r>
                </w:p>
              </w:tc>
              <w:tc>
                <w:tcPr>
                  <w:tcW w:w="590"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ro-RO"/>
                    </w:rPr>
                  </w:pPr>
                  <w:r>
                    <w:rPr>
                      <w:sz w:val="20"/>
                      <w:szCs w:val="20"/>
                      <w:lang w:val="ro-RO"/>
                    </w:rPr>
                    <w:t>8</w:t>
                  </w:r>
                </w:p>
              </w:tc>
            </w:tr>
            <w:tr>
              <w:trPr>
                <w:trHeight w:val="270" w:hRule="atLeast"/>
              </w:trPr>
              <w:tc>
                <w:tcPr>
                  <w:tcW w:w="127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5.3.10.</w:t>
                  </w:r>
                </w:p>
              </w:tc>
              <w:tc>
                <w:tcPr>
                  <w:tcW w:w="7114"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Referent la susţinerea în străinătate a tezei de doctor</w:t>
                  </w:r>
                </w:p>
              </w:tc>
              <w:tc>
                <w:tcPr>
                  <w:tcW w:w="590" w:type="dxa"/>
                  <w:gridSpan w:val="2"/>
                  <w:tcBorders>
                    <w:left w:val="single" w:sz="8" w:space="0" w:color="000001"/>
                    <w:right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rPr>
                    <w:t>2 </w:t>
                  </w:r>
                </w:p>
              </w:tc>
            </w:tr>
            <w:tr>
              <w:trPr>
                <w:trHeight w:val="270" w:hRule="atLeast"/>
              </w:trPr>
              <w:tc>
                <w:tcPr>
                  <w:tcW w:w="127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5.3.11.</w:t>
                  </w:r>
                </w:p>
              </w:tc>
              <w:tc>
                <w:tcPr>
                  <w:tcW w:w="7114"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Profesor invitat în instituţii universitare consacrate din străinătate</w:t>
                  </w:r>
                </w:p>
              </w:tc>
              <w:tc>
                <w:tcPr>
                  <w:tcW w:w="590"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rPr>
                    <w:t> </w:t>
                  </w:r>
                </w:p>
              </w:tc>
            </w:tr>
            <w:tr>
              <w:trPr>
                <w:trHeight w:val="270" w:hRule="atLeast"/>
              </w:trPr>
              <w:tc>
                <w:tcPr>
                  <w:tcW w:w="127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5.3.12.</w:t>
                  </w:r>
                </w:p>
              </w:tc>
              <w:tc>
                <w:tcPr>
                  <w:tcW w:w="7114"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Cercetător invitat pentru activitatea ştiinţifică </w:t>
                  </w:r>
                </w:p>
              </w:tc>
              <w:tc>
                <w:tcPr>
                  <w:tcW w:w="590"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ro-RO"/>
                    </w:rPr>
                  </w:pPr>
                  <w:r>
                    <w:rPr>
                      <w:sz w:val="20"/>
                      <w:szCs w:val="20"/>
                      <w:lang w:val="ro-RO"/>
                    </w:rPr>
                    <w:t>10</w:t>
                  </w:r>
                </w:p>
              </w:tc>
            </w:tr>
            <w:tr>
              <w:trPr>
                <w:trHeight w:val="270" w:hRule="atLeast"/>
              </w:trPr>
              <w:tc>
                <w:tcPr>
                  <w:tcW w:w="1278" w:type="dxa"/>
                  <w:tcBorders>
                    <w:left w:val="single" w:sz="8" w:space="0" w:color="000001"/>
                    <w:bottom w:val="single" w:sz="4" w:space="0" w:color="000001"/>
                    <w:right w:val="single" w:sz="8" w:space="0" w:color="000001"/>
                    <w:insideH w:val="single" w:sz="4"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5.3.13.</w:t>
                  </w:r>
                </w:p>
              </w:tc>
              <w:tc>
                <w:tcPr>
                  <w:tcW w:w="7114" w:type="dxa"/>
                  <w:gridSpan w:val="2"/>
                  <w:tcBorders>
                    <w:bottom w:val="single" w:sz="4" w:space="0" w:color="000001"/>
                    <w:insideH w:val="single" w:sz="4" w:space="0" w:color="000001"/>
                  </w:tcBorders>
                  <w:shd w:fill="auto" w:val="clear"/>
                </w:tcPr>
                <w:p>
                  <w:pPr>
                    <w:pStyle w:val="Normal"/>
                    <w:widowControl/>
                    <w:bidi w:val="0"/>
                    <w:ind w:left="0" w:right="0" w:hanging="0"/>
                    <w:jc w:val="left"/>
                    <w:textAlignment w:val="auto"/>
                    <w:rPr>
                      <w:lang w:val="en-US"/>
                    </w:rPr>
                  </w:pPr>
                  <w:r>
                    <w:rPr>
                      <w:sz w:val="20"/>
                      <w:szCs w:val="20"/>
                      <w:lang w:val="en-US" w:eastAsia="en-US"/>
                    </w:rPr>
                    <w:t>Stagiar, doctorand sau postdoctorand in strainatate</w:t>
                  </w:r>
                </w:p>
              </w:tc>
              <w:tc>
                <w:tcPr>
                  <w:tcW w:w="590" w:type="dxa"/>
                  <w:gridSpan w:val="2"/>
                  <w:tcBorders>
                    <w:left w:val="single" w:sz="8" w:space="0" w:color="000001"/>
                    <w:bottom w:val="single" w:sz="4" w:space="0" w:color="000001"/>
                    <w:right w:val="single" w:sz="8" w:space="0" w:color="000001"/>
                    <w:insideH w:val="single" w:sz="4"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rPr>
                    <w:t>1 </w:t>
                  </w:r>
                </w:p>
              </w:tc>
            </w:tr>
            <w:tr>
              <w:trPr>
                <w:trHeight w:val="270" w:hRule="atLeast"/>
              </w:trPr>
              <w:tc>
                <w:tcPr>
                  <w:tcW w:w="127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sz w:val="20"/>
                      <w:szCs w:val="20"/>
                      <w:lang w:val="en-US" w:eastAsia="en-US"/>
                    </w:rPr>
                    <w:t>5.3.14.</w:t>
                  </w:r>
                </w:p>
              </w:tc>
              <w:tc>
                <w:tcPr>
                  <w:tcW w:w="7114"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Referent ştiinţific al bazei de date electronice</w:t>
                  </w:r>
                </w:p>
              </w:tc>
              <w:tc>
                <w:tcPr>
                  <w:tcW w:w="59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rPr>
                    <w:t> </w:t>
                  </w:r>
                </w:p>
              </w:tc>
            </w:tr>
          </w:tbl>
          <w:p>
            <w:pPr>
              <w:pStyle w:val="Normal"/>
              <w:widowControl/>
              <w:bidi w:val="0"/>
              <w:ind w:left="0" w:right="0" w:hanging="0"/>
              <w:jc w:val="center"/>
              <w:textAlignment w:val="auto"/>
              <w:rPr>
                <w:rFonts w:ascii="Times New Roman" w:hAnsi="Times New Roman"/>
                <w:sz w:val="18"/>
                <w:szCs w:val="18"/>
                <w:lang w:val="en-US"/>
              </w:rPr>
            </w:pPr>
            <w:r>
              <w:rPr>
                <w:sz w:val="18"/>
                <w:szCs w:val="18"/>
                <w:lang w:val="en-US"/>
              </w:rPr>
            </w:r>
          </w:p>
        </w:tc>
        <w:tc>
          <w:tcPr>
            <w:tcW w:w="3623" w:type="dxa"/>
            <w:tcBorders>
              <w:top w:val="single" w:sz="4" w:space="0" w:color="000001"/>
            </w:tcBorders>
            <w:shd w:fill="auto" w:val="clear"/>
            <w:vAlign w:val="bottom"/>
          </w:tcPr>
          <w:p>
            <w:pPr>
              <w:pStyle w:val="Normal"/>
              <w:widowControl/>
              <w:bidi w:val="0"/>
              <w:ind w:left="0" w:right="0" w:hanging="0"/>
              <w:jc w:val="left"/>
              <w:textAlignment w:val="auto"/>
              <w:rPr>
                <w:rFonts w:ascii="Times New Roman" w:hAnsi="Times New Roman"/>
                <w:sz w:val="18"/>
                <w:szCs w:val="18"/>
                <w:lang w:val="en-US"/>
              </w:rPr>
            </w:pPr>
            <w:r>
              <w:rPr>
                <w:sz w:val="18"/>
                <w:szCs w:val="18"/>
                <w:lang w:val="en-US"/>
              </w:rPr>
            </w:r>
          </w:p>
        </w:tc>
        <w:tc>
          <w:tcPr>
            <w:tcW w:w="345" w:type="dxa"/>
            <w:tcBorders>
              <w:top w:val="single" w:sz="4" w:space="0" w:color="000001"/>
            </w:tcBorders>
            <w:shd w:fill="auto" w:val="clear"/>
            <w:vAlign w:val="bottom"/>
          </w:tcPr>
          <w:p>
            <w:pPr>
              <w:pStyle w:val="Normal"/>
              <w:widowControl/>
              <w:bidi w:val="0"/>
              <w:ind w:left="0" w:right="0" w:hanging="0"/>
              <w:jc w:val="center"/>
              <w:textAlignment w:val="auto"/>
              <w:rPr>
                <w:rFonts w:ascii="Times New Roman" w:hAnsi="Times New Roman"/>
                <w:sz w:val="18"/>
                <w:szCs w:val="18"/>
                <w:lang w:val="ro-RO"/>
              </w:rPr>
            </w:pPr>
            <w:r>
              <w:rPr>
                <w:sz w:val="18"/>
                <w:szCs w:val="18"/>
                <w:lang w:val="ro-RO"/>
              </w:rPr>
            </w:r>
          </w:p>
        </w:tc>
      </w:tr>
      <w:tr>
        <w:trPr>
          <w:trHeight w:val="270" w:hRule="atLeast"/>
        </w:trPr>
        <w:tc>
          <w:tcPr>
            <w:tcW w:w="3882" w:type="dxa"/>
            <w:gridSpan w:val="3"/>
            <w:tcBorders>
              <w:top w:val="single" w:sz="8" w:space="0" w:color="000001"/>
              <w:left w:val="single" w:sz="8" w:space="0" w:color="000001"/>
              <w:bottom w:val="single" w:sz="4" w:space="0" w:color="000001"/>
              <w:right w:val="single" w:sz="8" w:space="0" w:color="000001"/>
              <w:insideH w:val="single" w:sz="4"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rFonts w:cs="Times New Roman CE" w:ascii="Times New Roman CE" w:hAnsi="Times New Roman CE"/>
                <w:b/>
                <w:bCs/>
                <w:sz w:val="18"/>
                <w:szCs w:val="18"/>
                <w:lang w:val="en-US"/>
              </w:rPr>
              <w:t>6. CONTRIBUŢIE ŞTIINŢIFICĂ ŞI RECUNOAŞTERE NAŢIONALĂ</w:t>
            </w:r>
          </w:p>
        </w:tc>
        <w:tc>
          <w:tcPr>
            <w:tcW w:w="5059" w:type="dxa"/>
            <w:gridSpan w:val="3"/>
            <w:tcBorders>
              <w:top w:val="single" w:sz="8" w:space="0" w:color="000001"/>
              <w:bottom w:val="single" w:sz="4" w:space="0" w:color="000001"/>
              <w:right w:val="single" w:sz="8" w:space="0" w:color="000001"/>
              <w:insideH w:val="single" w:sz="4" w:space="0" w:color="000001"/>
              <w:insideV w:val="single" w:sz="8" w:space="0" w:color="000001"/>
            </w:tcBorders>
            <w:shd w:fill="auto" w:val="clear"/>
            <w:vAlign w:val="center"/>
          </w:tcPr>
          <w:p>
            <w:pPr>
              <w:pStyle w:val="Normal"/>
              <w:widowControl/>
              <w:bidi w:val="0"/>
              <w:ind w:left="0" w:right="0" w:hanging="0"/>
              <w:jc w:val="left"/>
              <w:textAlignment w:val="auto"/>
              <w:rPr>
                <w:lang w:val="en-US"/>
              </w:rPr>
            </w:pPr>
            <w:r>
              <w:rPr>
                <w:b/>
                <w:bCs/>
                <w:sz w:val="20"/>
                <w:szCs w:val="20"/>
                <w:lang w:val="en-US" w:eastAsia="en-US"/>
              </w:rPr>
              <w:t>2016</w:t>
            </w:r>
          </w:p>
        </w:tc>
      </w:tr>
      <w:tr>
        <w:trPr>
          <w:trHeight w:val="270" w:hRule="atLeast"/>
        </w:trPr>
        <w:tc>
          <w:tcPr>
            <w:tcW w:w="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18"/>
                <w:szCs w:val="18"/>
              </w:rPr>
              <w:t> </w:t>
            </w:r>
          </w:p>
        </w:tc>
        <w:tc>
          <w:tcPr>
            <w:tcW w:w="8281"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CCFFCC"/>
            <w:tcMar>
              <w:left w:w="103" w:type="dxa"/>
            </w:tcMar>
            <w:vAlign w:val="bottom"/>
          </w:tcPr>
          <w:p>
            <w:pPr>
              <w:pStyle w:val="Normal"/>
              <w:widowControl/>
              <w:bidi w:val="0"/>
              <w:ind w:left="0" w:right="0" w:hanging="0"/>
              <w:jc w:val="left"/>
              <w:textAlignment w:val="auto"/>
              <w:rPr/>
            </w:pPr>
            <w:r>
              <w:rPr>
                <w:rFonts w:cs="Times New Roman CE" w:ascii="Times New Roman CE" w:hAnsi="Times New Roman CE"/>
                <w:b/>
                <w:bCs/>
                <w:sz w:val="18"/>
                <w:szCs w:val="18"/>
              </w:rPr>
              <w:t>6.1. Publicaţii în ţară</w:t>
            </w:r>
          </w:p>
        </w:tc>
      </w:tr>
      <w:tr>
        <w:trPr>
          <w:trHeight w:val="99" w:hRule="atLeast"/>
        </w:trPr>
        <w:tc>
          <w:tcPr>
            <w:tcW w:w="660" w:type="dxa"/>
            <w:tcBorders>
              <w:top w:val="single" w:sz="4"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6.1.1.</w:t>
            </w:r>
          </w:p>
        </w:tc>
        <w:tc>
          <w:tcPr>
            <w:tcW w:w="3221" w:type="dxa"/>
            <w:tcBorders>
              <w:top w:val="single" w:sz="4" w:space="0" w:color="000001"/>
              <w:bottom w:val="single" w:sz="8" w:space="0" w:color="000001"/>
              <w:insideH w:val="single" w:sz="8" w:space="0" w:color="000001"/>
            </w:tcBorders>
            <w:shd w:fill="auto" w:val="clear"/>
            <w:vAlign w:val="bottom"/>
          </w:tcPr>
          <w:p>
            <w:pPr>
              <w:pStyle w:val="Normal"/>
              <w:widowControl/>
              <w:bidi w:val="0"/>
              <w:ind w:left="0" w:right="0" w:hanging="0"/>
              <w:jc w:val="left"/>
              <w:textAlignment w:val="auto"/>
              <w:rPr/>
            </w:pPr>
            <w:r>
              <w:rPr>
                <w:sz w:val="18"/>
                <w:szCs w:val="18"/>
              </w:rPr>
              <w:t>Monografii</w:t>
            </w:r>
          </w:p>
        </w:tc>
        <w:tc>
          <w:tcPr>
            <w:tcW w:w="5060" w:type="dxa"/>
            <w:gridSpan w:val="4"/>
            <w:tcBorders>
              <w:top w:val="single" w:sz="4"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rFonts w:ascii="Times New Roman" w:hAnsi="Times New Roman"/>
                <w:sz w:val="18"/>
                <w:szCs w:val="18"/>
              </w:rPr>
            </w:pPr>
            <w:r>
              <w:rPr>
                <w:sz w:val="18"/>
                <w:szCs w:val="18"/>
              </w:rPr>
            </w:r>
          </w:p>
        </w:tc>
      </w:tr>
      <w:tr>
        <w:trPr>
          <w:trHeight w:val="270" w:hRule="atLeast"/>
        </w:trPr>
        <w:tc>
          <w:tcPr>
            <w:tcW w:w="66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6.1.2.</w:t>
            </w:r>
          </w:p>
        </w:tc>
        <w:tc>
          <w:tcPr>
            <w:tcW w:w="3221"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pPr>
            <w:r>
              <w:rPr>
                <w:sz w:val="18"/>
                <w:szCs w:val="18"/>
              </w:rPr>
              <w:t xml:space="preserve">Capitole în monografii </w:t>
            </w:r>
          </w:p>
        </w:tc>
        <w:tc>
          <w:tcPr>
            <w:tcW w:w="5060" w:type="dxa"/>
            <w:gridSpan w:val="4"/>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 </w:t>
            </w:r>
          </w:p>
        </w:tc>
      </w:tr>
      <w:tr>
        <w:trPr>
          <w:trHeight w:val="270" w:hRule="atLeast"/>
        </w:trPr>
        <w:tc>
          <w:tcPr>
            <w:tcW w:w="66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6.1.3.</w:t>
            </w:r>
          </w:p>
        </w:tc>
        <w:tc>
          <w:tcPr>
            <w:tcW w:w="3221"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rPr>
              <w:t>Articole în reviste naţionale, categoria A</w:t>
            </w:r>
          </w:p>
        </w:tc>
        <w:tc>
          <w:tcPr>
            <w:tcW w:w="5060" w:type="dxa"/>
            <w:gridSpan w:val="4"/>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ro-RO"/>
              </w:rPr>
            </w:pPr>
            <w:r>
              <w:rPr>
                <w:sz w:val="18"/>
                <w:szCs w:val="18"/>
                <w:lang w:val="ro-RO"/>
              </w:rPr>
              <w:t>10</w:t>
            </w:r>
          </w:p>
        </w:tc>
      </w:tr>
      <w:tr>
        <w:trPr>
          <w:trHeight w:val="270" w:hRule="atLeast"/>
        </w:trPr>
        <w:tc>
          <w:tcPr>
            <w:tcW w:w="66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6.1.4.</w:t>
            </w:r>
          </w:p>
        </w:tc>
        <w:tc>
          <w:tcPr>
            <w:tcW w:w="3221"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18"/>
                <w:szCs w:val="18"/>
                <w:lang w:val="fr-FR"/>
              </w:rPr>
              <w:t>Articole în reviste naţionale, categoria B şi B</w:t>
            </w:r>
            <w:r>
              <w:rPr>
                <w:sz w:val="18"/>
                <w:szCs w:val="18"/>
                <w:vertAlign w:val="superscript"/>
                <w:lang w:val="fr-FR"/>
              </w:rPr>
              <w:t>+</w:t>
            </w:r>
          </w:p>
        </w:tc>
        <w:tc>
          <w:tcPr>
            <w:tcW w:w="5060" w:type="dxa"/>
            <w:gridSpan w:val="4"/>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ro-RO"/>
              </w:rPr>
            </w:pPr>
            <w:r>
              <w:rPr>
                <w:sz w:val="18"/>
                <w:szCs w:val="18"/>
                <w:lang w:val="ro-RO"/>
              </w:rPr>
              <w:t>10</w:t>
            </w:r>
          </w:p>
        </w:tc>
      </w:tr>
      <w:tr>
        <w:trPr>
          <w:trHeight w:val="270" w:hRule="atLeast"/>
        </w:trPr>
        <w:tc>
          <w:tcPr>
            <w:tcW w:w="66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6.1.5.</w:t>
            </w:r>
          </w:p>
        </w:tc>
        <w:tc>
          <w:tcPr>
            <w:tcW w:w="3221"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18"/>
                <w:szCs w:val="18"/>
                <w:lang w:val="fr-FR"/>
              </w:rPr>
              <w:t>Articole în reviste naţionale, categoria C</w:t>
            </w:r>
          </w:p>
        </w:tc>
        <w:tc>
          <w:tcPr>
            <w:tcW w:w="5060" w:type="dxa"/>
            <w:gridSpan w:val="4"/>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rFonts w:ascii="Times New Roman" w:hAnsi="Times New Roman"/>
                <w:sz w:val="18"/>
                <w:szCs w:val="18"/>
                <w:lang w:val="ro-RO"/>
              </w:rPr>
            </w:pPr>
            <w:r>
              <w:rPr>
                <w:sz w:val="18"/>
                <w:szCs w:val="18"/>
                <w:lang w:val="ro-RO"/>
              </w:rPr>
            </w:r>
          </w:p>
        </w:tc>
      </w:tr>
      <w:tr>
        <w:trPr>
          <w:trHeight w:val="300" w:hRule="atLeast"/>
        </w:trPr>
        <w:tc>
          <w:tcPr>
            <w:tcW w:w="66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 </w:t>
            </w:r>
          </w:p>
        </w:tc>
        <w:tc>
          <w:tcPr>
            <w:tcW w:w="3221"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sz w:val="18"/>
                <w:szCs w:val="18"/>
                <w:lang w:val="fr-FR"/>
              </w:rPr>
              <w:t xml:space="preserve">   </w:t>
            </w:r>
            <w:r>
              <w:rPr>
                <w:sz w:val="18"/>
                <w:szCs w:val="18"/>
                <w:lang w:val="fr-FR"/>
              </w:rPr>
              <w:t>din care (reviste A, B, C) articole în revi</w:t>
            </w:r>
            <w:r>
              <w:rPr>
                <w:rFonts w:cs="Times New Roman CE" w:ascii="Times New Roman CE" w:hAnsi="Times New Roman CE"/>
                <w:sz w:val="18"/>
                <w:szCs w:val="18"/>
                <w:lang w:val="fr-FR"/>
              </w:rPr>
              <w:t>ste naţionale cu autori de peste hotare</w:t>
            </w:r>
          </w:p>
        </w:tc>
        <w:tc>
          <w:tcPr>
            <w:tcW w:w="5060" w:type="dxa"/>
            <w:gridSpan w:val="4"/>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w:t>
            </w:r>
          </w:p>
        </w:tc>
      </w:tr>
      <w:tr>
        <w:trPr>
          <w:trHeight w:val="270" w:hRule="atLeast"/>
        </w:trPr>
        <w:tc>
          <w:tcPr>
            <w:tcW w:w="66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6.1.6.</w:t>
            </w:r>
          </w:p>
        </w:tc>
        <w:tc>
          <w:tcPr>
            <w:tcW w:w="3221"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pPr>
            <w:r>
              <w:rPr>
                <w:sz w:val="18"/>
                <w:szCs w:val="18"/>
              </w:rPr>
              <w:t>Articole în culegeri</w:t>
            </w:r>
          </w:p>
        </w:tc>
        <w:tc>
          <w:tcPr>
            <w:tcW w:w="5060" w:type="dxa"/>
            <w:gridSpan w:val="4"/>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ro-RO"/>
              </w:rPr>
            </w:pPr>
            <w:r>
              <w:rPr>
                <w:sz w:val="18"/>
                <w:szCs w:val="18"/>
                <w:lang w:val="ro-RO"/>
              </w:rPr>
              <w:t>9</w:t>
            </w:r>
          </w:p>
        </w:tc>
      </w:tr>
      <w:tr>
        <w:trPr>
          <w:trHeight w:val="270" w:hRule="atLeast"/>
        </w:trPr>
        <w:tc>
          <w:tcPr>
            <w:tcW w:w="66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6.1.7.</w:t>
            </w:r>
          </w:p>
        </w:tc>
        <w:tc>
          <w:tcPr>
            <w:tcW w:w="3221"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pPr>
            <w:r>
              <w:rPr>
                <w:rFonts w:cs="Times New Roman CE" w:ascii="Times New Roman CE" w:hAnsi="Times New Roman CE"/>
                <w:sz w:val="18"/>
                <w:szCs w:val="18"/>
              </w:rPr>
              <w:t>Publicaţii ştiinţifice electronice naţionale</w:t>
            </w:r>
          </w:p>
        </w:tc>
        <w:tc>
          <w:tcPr>
            <w:tcW w:w="5060" w:type="dxa"/>
            <w:gridSpan w:val="4"/>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 </w:t>
            </w:r>
          </w:p>
        </w:tc>
      </w:tr>
      <w:tr>
        <w:trPr>
          <w:trHeight w:val="270" w:hRule="atLeast"/>
        </w:trPr>
        <w:tc>
          <w:tcPr>
            <w:tcW w:w="66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6.1.8.</w:t>
            </w:r>
          </w:p>
        </w:tc>
        <w:tc>
          <w:tcPr>
            <w:tcW w:w="3221"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18"/>
                <w:szCs w:val="18"/>
                <w:lang w:val="fr-FR"/>
              </w:rPr>
              <w:t>Rezumate (teze) la conferinţe naţionale</w:t>
            </w:r>
          </w:p>
        </w:tc>
        <w:tc>
          <w:tcPr>
            <w:tcW w:w="5060" w:type="dxa"/>
            <w:gridSpan w:val="4"/>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ro-RO"/>
              </w:rPr>
            </w:pPr>
            <w:r>
              <w:rPr>
                <w:sz w:val="18"/>
                <w:szCs w:val="18"/>
                <w:lang w:val="ro-RO"/>
              </w:rPr>
              <w:t>4</w:t>
            </w:r>
          </w:p>
        </w:tc>
      </w:tr>
      <w:tr>
        <w:trPr>
          <w:trHeight w:val="270" w:hRule="atLeast"/>
        </w:trPr>
        <w:tc>
          <w:tcPr>
            <w:tcW w:w="66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6.1.9.</w:t>
            </w:r>
          </w:p>
        </w:tc>
        <w:tc>
          <w:tcPr>
            <w:tcW w:w="3221"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pPr>
            <w:r>
              <w:rPr>
                <w:rFonts w:cs="Times New Roman CE" w:ascii="Times New Roman CE" w:hAnsi="Times New Roman CE"/>
                <w:sz w:val="18"/>
                <w:szCs w:val="18"/>
              </w:rPr>
              <w:t>Preprint-uri naţionale</w:t>
            </w:r>
          </w:p>
        </w:tc>
        <w:tc>
          <w:tcPr>
            <w:tcW w:w="5060" w:type="dxa"/>
            <w:gridSpan w:val="4"/>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 </w:t>
            </w:r>
          </w:p>
        </w:tc>
      </w:tr>
      <w:tr>
        <w:trPr>
          <w:trHeight w:val="270" w:hRule="atLeast"/>
        </w:trPr>
        <w:tc>
          <w:tcPr>
            <w:tcW w:w="660" w:type="dxa"/>
            <w:tcBorders>
              <w:left w:val="single" w:sz="8" w:space="0" w:color="000001"/>
              <w:bottom w:val="single" w:sz="4" w:space="0" w:color="000001"/>
              <w:right w:val="single" w:sz="8" w:space="0" w:color="000001"/>
              <w:insideH w:val="single" w:sz="4"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6.1.10.</w:t>
            </w:r>
          </w:p>
        </w:tc>
        <w:tc>
          <w:tcPr>
            <w:tcW w:w="3221" w:type="dxa"/>
            <w:tcBorders>
              <w:bottom w:val="single" w:sz="4" w:space="0" w:color="000001"/>
              <w:insideH w:val="single" w:sz="4"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18"/>
                <w:szCs w:val="18"/>
                <w:lang w:val="fr-FR"/>
              </w:rPr>
              <w:t>Alte publicaţii ştiinţifice (de indi</w:t>
            </w:r>
            <w:r>
              <w:rPr>
                <w:sz w:val="18"/>
                <w:szCs w:val="18"/>
                <w:lang w:val="fr-FR"/>
              </w:rPr>
              <w:t>cat)</w:t>
            </w:r>
          </w:p>
        </w:tc>
        <w:tc>
          <w:tcPr>
            <w:tcW w:w="5060" w:type="dxa"/>
            <w:gridSpan w:val="4"/>
            <w:tcBorders>
              <w:left w:val="single" w:sz="8" w:space="0" w:color="000001"/>
              <w:bottom w:val="single" w:sz="4" w:space="0" w:color="000001"/>
              <w:right w:val="single" w:sz="8" w:space="0" w:color="000001"/>
              <w:insideH w:val="single" w:sz="4"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18"/>
                <w:szCs w:val="18"/>
                <w:lang w:val="fr-FR"/>
              </w:rPr>
              <w:t> </w:t>
            </w:r>
          </w:p>
        </w:tc>
      </w:tr>
      <w:tr>
        <w:trPr>
          <w:trHeight w:val="155" w:hRule="atLeast"/>
        </w:trPr>
        <w:tc>
          <w:tcPr>
            <w:tcW w:w="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18"/>
                <w:szCs w:val="18"/>
                <w:lang w:val="fr-FR"/>
              </w:rPr>
              <w:t> </w:t>
            </w:r>
          </w:p>
        </w:tc>
        <w:tc>
          <w:tcPr>
            <w:tcW w:w="8281"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CCFFCC"/>
            <w:tcMar>
              <w:left w:w="103" w:type="dxa"/>
            </w:tcMar>
            <w:vAlign w:val="bottom"/>
          </w:tcPr>
          <w:p>
            <w:pPr>
              <w:pStyle w:val="Normal"/>
              <w:widowControl/>
              <w:bidi w:val="0"/>
              <w:ind w:left="0" w:right="0" w:hanging="0"/>
              <w:jc w:val="left"/>
              <w:textAlignment w:val="auto"/>
              <w:rPr/>
            </w:pPr>
            <w:r>
              <w:rPr>
                <w:rFonts w:cs="Times New Roman CE" w:ascii="Times New Roman CE" w:hAnsi="Times New Roman CE"/>
                <w:b/>
                <w:bCs/>
                <w:sz w:val="18"/>
                <w:szCs w:val="18"/>
              </w:rPr>
              <w:t>6.2. Impactul şi relevanţa ştiinţifică</w:t>
            </w:r>
          </w:p>
        </w:tc>
      </w:tr>
      <w:tr>
        <w:trPr>
          <w:trHeight w:val="270" w:hRule="atLeast"/>
        </w:trPr>
        <w:tc>
          <w:tcPr>
            <w:tcW w:w="660" w:type="dxa"/>
            <w:tcBorders>
              <w:top w:val="single" w:sz="4"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6.2.1.</w:t>
            </w:r>
          </w:p>
        </w:tc>
        <w:tc>
          <w:tcPr>
            <w:tcW w:w="3221" w:type="dxa"/>
            <w:tcBorders>
              <w:top w:val="single" w:sz="4" w:space="0" w:color="000001"/>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rPr>
              <w:t>Premiul National, obţinut în perioada evaluată</w:t>
            </w:r>
          </w:p>
        </w:tc>
        <w:tc>
          <w:tcPr>
            <w:tcW w:w="5060" w:type="dxa"/>
            <w:gridSpan w:val="4"/>
            <w:tcBorders>
              <w:top w:val="single" w:sz="4"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18"/>
                <w:szCs w:val="18"/>
                <w:lang w:val="en-US"/>
              </w:rPr>
              <w:t> </w:t>
            </w:r>
          </w:p>
        </w:tc>
      </w:tr>
      <w:tr>
        <w:trPr>
          <w:trHeight w:val="270" w:hRule="atLeast"/>
        </w:trPr>
        <w:tc>
          <w:tcPr>
            <w:tcW w:w="66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6.2.2.</w:t>
            </w:r>
          </w:p>
        </w:tc>
        <w:tc>
          <w:tcPr>
            <w:tcW w:w="3221"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sz w:val="18"/>
                <w:szCs w:val="18"/>
                <w:lang w:val="fr-FR"/>
              </w:rPr>
              <w:t>Premiile Savantul anului, Tinarul Savant al anului</w:t>
            </w:r>
          </w:p>
        </w:tc>
        <w:tc>
          <w:tcPr>
            <w:tcW w:w="5060" w:type="dxa"/>
            <w:gridSpan w:val="4"/>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18"/>
                <w:szCs w:val="18"/>
                <w:lang w:val="fr-FR"/>
              </w:rPr>
              <w:t> </w:t>
            </w:r>
          </w:p>
        </w:tc>
      </w:tr>
      <w:tr>
        <w:trPr>
          <w:trHeight w:val="131" w:hRule="atLeast"/>
        </w:trPr>
        <w:tc>
          <w:tcPr>
            <w:tcW w:w="66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6.2.3.</w:t>
            </w:r>
          </w:p>
        </w:tc>
        <w:tc>
          <w:tcPr>
            <w:tcW w:w="3221"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rPr>
              <w:t xml:space="preserve">Premiile Academiei de Ştiinţe a Moldovei, obţinute în perioada evaluată </w:t>
            </w:r>
          </w:p>
        </w:tc>
        <w:tc>
          <w:tcPr>
            <w:tcW w:w="5060" w:type="dxa"/>
            <w:gridSpan w:val="4"/>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18"/>
                <w:szCs w:val="18"/>
                <w:lang w:val="en-US"/>
              </w:rPr>
              <w:t> </w:t>
            </w:r>
          </w:p>
        </w:tc>
      </w:tr>
      <w:tr>
        <w:trPr>
          <w:trHeight w:val="191" w:hRule="atLeast"/>
        </w:trPr>
        <w:tc>
          <w:tcPr>
            <w:tcW w:w="66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6.2.4.</w:t>
            </w:r>
          </w:p>
        </w:tc>
        <w:tc>
          <w:tcPr>
            <w:tcW w:w="3221"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rPr>
              <w:t>Alte premii naţionale obţinute în perioada evaluată</w:t>
            </w:r>
          </w:p>
        </w:tc>
        <w:tc>
          <w:tcPr>
            <w:tcW w:w="5060" w:type="dxa"/>
            <w:gridSpan w:val="4"/>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ro-RO"/>
              </w:rPr>
            </w:pPr>
            <w:r>
              <w:rPr>
                <w:sz w:val="18"/>
                <w:szCs w:val="18"/>
                <w:lang w:val="ro-RO"/>
              </w:rPr>
              <w:t>2</w:t>
            </w:r>
          </w:p>
        </w:tc>
      </w:tr>
      <w:tr>
        <w:trPr>
          <w:trHeight w:val="110" w:hRule="atLeast"/>
        </w:trPr>
        <w:tc>
          <w:tcPr>
            <w:tcW w:w="66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6.2.5.</w:t>
            </w:r>
          </w:p>
        </w:tc>
        <w:tc>
          <w:tcPr>
            <w:tcW w:w="3221"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rPr>
              <w:t>Alte distincţii de apreciere a rezultatelor cercetărilor ştiinţifice</w:t>
            </w:r>
          </w:p>
        </w:tc>
        <w:tc>
          <w:tcPr>
            <w:tcW w:w="5060" w:type="dxa"/>
            <w:gridSpan w:val="4"/>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ro-RO"/>
              </w:rPr>
            </w:pPr>
            <w:r>
              <w:rPr>
                <w:sz w:val="18"/>
                <w:szCs w:val="18"/>
                <w:lang w:val="ro-RO"/>
              </w:rPr>
              <w:t>2</w:t>
            </w:r>
          </w:p>
        </w:tc>
      </w:tr>
      <w:tr>
        <w:trPr>
          <w:trHeight w:val="60" w:hRule="atLeast"/>
        </w:trPr>
        <w:tc>
          <w:tcPr>
            <w:tcW w:w="66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6.2.6.</w:t>
            </w:r>
          </w:p>
        </w:tc>
        <w:tc>
          <w:tcPr>
            <w:tcW w:w="3221"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rPr>
              <w:t>Menţiuni ale rezultatelor în presă şi ediţii electronice</w:t>
            </w:r>
          </w:p>
        </w:tc>
        <w:tc>
          <w:tcPr>
            <w:tcW w:w="5060" w:type="dxa"/>
            <w:gridSpan w:val="4"/>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18"/>
                <w:szCs w:val="18"/>
                <w:lang w:val="en-US"/>
              </w:rPr>
              <w:t> </w:t>
            </w:r>
          </w:p>
        </w:tc>
      </w:tr>
      <w:tr>
        <w:trPr>
          <w:trHeight w:val="73" w:hRule="atLeast"/>
        </w:trPr>
        <w:tc>
          <w:tcPr>
            <w:tcW w:w="66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6.2.7.</w:t>
            </w:r>
          </w:p>
        </w:tc>
        <w:tc>
          <w:tcPr>
            <w:tcW w:w="3221" w:type="dxa"/>
            <w:tcBorders>
              <w:bottom w:val="single" w:sz="8" w:space="0" w:color="000001"/>
              <w:insideH w:val="single" w:sz="8" w:space="0" w:color="000001"/>
            </w:tcBorders>
            <w:shd w:fill="auto" w:val="clear"/>
            <w:vAlign w:val="bottom"/>
          </w:tcPr>
          <w:p>
            <w:pPr>
              <w:pStyle w:val="Normal"/>
              <w:widowControl/>
              <w:bidi w:val="0"/>
              <w:ind w:left="0" w:right="-250" w:hanging="0"/>
              <w:jc w:val="left"/>
              <w:textAlignment w:val="auto"/>
              <w:rPr>
                <w:lang w:val="fr-FR"/>
              </w:rPr>
            </w:pPr>
            <w:r>
              <w:rPr>
                <w:rFonts w:cs="Times New Roman CE" w:ascii="Times New Roman CE" w:hAnsi="Times New Roman CE"/>
                <w:sz w:val="18"/>
                <w:szCs w:val="18"/>
                <w:lang w:val="fr-FR"/>
              </w:rPr>
              <w:t>Rapoarte, comunicari şi lecţii la invitaţie la conferinţe naţionale, seminare, cursuri de perfecţionare</w:t>
            </w:r>
          </w:p>
        </w:tc>
        <w:tc>
          <w:tcPr>
            <w:tcW w:w="5060" w:type="dxa"/>
            <w:gridSpan w:val="4"/>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ro-RO"/>
              </w:rPr>
            </w:pPr>
            <w:r>
              <w:rPr>
                <w:sz w:val="18"/>
                <w:szCs w:val="18"/>
                <w:lang w:val="ro-RO"/>
              </w:rPr>
              <w:t>10</w:t>
            </w:r>
          </w:p>
        </w:tc>
      </w:tr>
      <w:tr>
        <w:trPr>
          <w:trHeight w:val="119" w:hRule="atLeast"/>
        </w:trPr>
        <w:tc>
          <w:tcPr>
            <w:tcW w:w="66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6.2.8.</w:t>
            </w:r>
          </w:p>
        </w:tc>
        <w:tc>
          <w:tcPr>
            <w:tcW w:w="3221"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sz w:val="18"/>
                <w:szCs w:val="18"/>
                <w:lang w:val="fr-FR"/>
              </w:rPr>
              <w:t xml:space="preserve">Medalii </w:t>
            </w:r>
            <w:r>
              <w:rPr>
                <w:b/>
                <w:bCs/>
                <w:sz w:val="18"/>
                <w:szCs w:val="18"/>
                <w:lang w:val="fr-FR"/>
              </w:rPr>
              <w:t xml:space="preserve">de aur </w:t>
            </w:r>
            <w:r>
              <w:rPr>
                <w:rFonts w:cs="Times New Roman CE" w:ascii="Times New Roman CE" w:hAnsi="Times New Roman CE"/>
                <w:sz w:val="18"/>
                <w:szCs w:val="18"/>
                <w:lang w:val="fr-FR"/>
              </w:rPr>
              <w:t>obţinute la expoziţii naţionale</w:t>
            </w:r>
          </w:p>
        </w:tc>
        <w:tc>
          <w:tcPr>
            <w:tcW w:w="5060" w:type="dxa"/>
            <w:gridSpan w:val="4"/>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18"/>
                <w:szCs w:val="18"/>
                <w:lang w:val="fr-FR"/>
              </w:rPr>
              <w:t> </w:t>
            </w:r>
          </w:p>
        </w:tc>
      </w:tr>
      <w:tr>
        <w:trPr>
          <w:trHeight w:val="60" w:hRule="atLeast"/>
        </w:trPr>
        <w:tc>
          <w:tcPr>
            <w:tcW w:w="66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6.2.9.</w:t>
            </w:r>
          </w:p>
        </w:tc>
        <w:tc>
          <w:tcPr>
            <w:tcW w:w="3221"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sz w:val="18"/>
                <w:szCs w:val="18"/>
                <w:lang w:val="fr-FR"/>
              </w:rPr>
              <w:t xml:space="preserve">Medalii </w:t>
            </w:r>
            <w:r>
              <w:rPr>
                <w:b/>
                <w:bCs/>
                <w:sz w:val="18"/>
                <w:szCs w:val="18"/>
                <w:lang w:val="fr-FR"/>
              </w:rPr>
              <w:t>de argint</w:t>
            </w:r>
            <w:r>
              <w:rPr>
                <w:rFonts w:cs="Times New Roman CE" w:ascii="Times New Roman CE" w:hAnsi="Times New Roman CE"/>
                <w:sz w:val="18"/>
                <w:szCs w:val="18"/>
                <w:lang w:val="fr-FR"/>
              </w:rPr>
              <w:t xml:space="preserve"> obţinute la expoziţii naţionale</w:t>
            </w:r>
          </w:p>
        </w:tc>
        <w:tc>
          <w:tcPr>
            <w:tcW w:w="5060" w:type="dxa"/>
            <w:gridSpan w:val="4"/>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18"/>
                <w:szCs w:val="18"/>
                <w:lang w:val="fr-FR"/>
              </w:rPr>
              <w:t> </w:t>
            </w:r>
          </w:p>
        </w:tc>
      </w:tr>
      <w:tr>
        <w:trPr>
          <w:trHeight w:val="97" w:hRule="atLeast"/>
        </w:trPr>
        <w:tc>
          <w:tcPr>
            <w:tcW w:w="66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6.2.10.</w:t>
            </w:r>
          </w:p>
        </w:tc>
        <w:tc>
          <w:tcPr>
            <w:tcW w:w="3221"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sz w:val="18"/>
                <w:szCs w:val="18"/>
                <w:lang w:val="fr-FR"/>
              </w:rPr>
              <w:t xml:space="preserve">Medalii </w:t>
            </w:r>
            <w:r>
              <w:rPr>
                <w:b/>
                <w:bCs/>
                <w:sz w:val="18"/>
                <w:szCs w:val="18"/>
                <w:lang w:val="fr-FR"/>
              </w:rPr>
              <w:t>de bronz</w:t>
            </w:r>
            <w:r>
              <w:rPr>
                <w:rFonts w:cs="Times New Roman CE" w:ascii="Times New Roman CE" w:hAnsi="Times New Roman CE"/>
                <w:sz w:val="18"/>
                <w:szCs w:val="18"/>
                <w:lang w:val="fr-FR"/>
              </w:rPr>
              <w:t xml:space="preserve"> obţinute la expoziţii naţionale</w:t>
            </w:r>
          </w:p>
        </w:tc>
        <w:tc>
          <w:tcPr>
            <w:tcW w:w="5060" w:type="dxa"/>
            <w:gridSpan w:val="4"/>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18"/>
                <w:szCs w:val="18"/>
                <w:lang w:val="fr-FR"/>
              </w:rPr>
              <w:t> </w:t>
            </w:r>
          </w:p>
        </w:tc>
      </w:tr>
      <w:tr>
        <w:trPr>
          <w:trHeight w:val="157" w:hRule="atLeast"/>
        </w:trPr>
        <w:tc>
          <w:tcPr>
            <w:tcW w:w="660" w:type="dxa"/>
            <w:tcBorders>
              <w:left w:val="single" w:sz="8" w:space="0" w:color="000001"/>
              <w:bottom w:val="single" w:sz="4" w:space="0" w:color="000001"/>
              <w:right w:val="single" w:sz="8" w:space="0" w:color="000001"/>
              <w:insideH w:val="single" w:sz="4"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6.2.11.</w:t>
            </w:r>
          </w:p>
        </w:tc>
        <w:tc>
          <w:tcPr>
            <w:tcW w:w="3221" w:type="dxa"/>
            <w:tcBorders>
              <w:bottom w:val="single" w:sz="4" w:space="0" w:color="000001"/>
              <w:insideH w:val="single" w:sz="4" w:space="0" w:color="000001"/>
            </w:tcBorders>
            <w:shd w:fill="auto" w:val="clear"/>
            <w:vAlign w:val="bottom"/>
          </w:tcPr>
          <w:p>
            <w:pPr>
              <w:pStyle w:val="Normal"/>
              <w:widowControl/>
              <w:bidi w:val="0"/>
              <w:ind w:left="0" w:right="0" w:hanging="0"/>
              <w:jc w:val="left"/>
              <w:textAlignment w:val="auto"/>
              <w:rPr>
                <w:lang w:val="fr-FR"/>
              </w:rPr>
            </w:pPr>
            <w:r>
              <w:rPr>
                <w:sz w:val="18"/>
                <w:szCs w:val="18"/>
                <w:lang w:val="fr-FR"/>
              </w:rPr>
              <w:t>Diplome o</w:t>
            </w:r>
            <w:r>
              <w:rPr>
                <w:rFonts w:cs="Times New Roman CE" w:ascii="Times New Roman CE" w:hAnsi="Times New Roman CE"/>
                <w:sz w:val="18"/>
                <w:szCs w:val="18"/>
                <w:lang w:val="fr-FR"/>
              </w:rPr>
              <w:t>bţinute la expoziţii naţionale</w:t>
            </w:r>
          </w:p>
        </w:tc>
        <w:tc>
          <w:tcPr>
            <w:tcW w:w="5060" w:type="dxa"/>
            <w:gridSpan w:val="4"/>
            <w:tcBorders>
              <w:left w:val="single" w:sz="8" w:space="0" w:color="000001"/>
              <w:bottom w:val="single" w:sz="4" w:space="0" w:color="000001"/>
              <w:right w:val="single" w:sz="8" w:space="0" w:color="000001"/>
              <w:insideH w:val="single" w:sz="4"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rFonts w:ascii="Times New Roman" w:hAnsi="Times New Roman"/>
                <w:sz w:val="18"/>
                <w:szCs w:val="18"/>
              </w:rPr>
            </w:pPr>
            <w:r>
              <w:rPr>
                <w:sz w:val="18"/>
                <w:szCs w:val="18"/>
              </w:rPr>
            </w:r>
          </w:p>
        </w:tc>
      </w:tr>
      <w:tr>
        <w:trPr>
          <w:trHeight w:val="85" w:hRule="atLeast"/>
        </w:trPr>
        <w:tc>
          <w:tcPr>
            <w:tcW w:w="66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18"/>
                <w:szCs w:val="18"/>
              </w:rPr>
              <w:t> </w:t>
            </w:r>
          </w:p>
        </w:tc>
        <w:tc>
          <w:tcPr>
            <w:tcW w:w="8281"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CCFFCC"/>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b/>
                <w:bCs/>
                <w:sz w:val="18"/>
                <w:szCs w:val="18"/>
                <w:lang w:val="fr-FR"/>
              </w:rPr>
              <w:t>6.3. Apreciere naţională şi antrenare în activităţi conexe cercetării</w:t>
            </w:r>
          </w:p>
        </w:tc>
      </w:tr>
      <w:tr>
        <w:trPr>
          <w:trHeight w:val="145" w:hRule="atLeast"/>
        </w:trPr>
        <w:tc>
          <w:tcPr>
            <w:tcW w:w="660" w:type="dxa"/>
            <w:tcBorders>
              <w:top w:val="single" w:sz="4"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6.3.1.</w:t>
            </w:r>
          </w:p>
        </w:tc>
        <w:tc>
          <w:tcPr>
            <w:tcW w:w="3221" w:type="dxa"/>
            <w:tcBorders>
              <w:top w:val="single" w:sz="4" w:space="0" w:color="000001"/>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rPr>
              <w:t>Academician A.Ş.M ales în perioada evaluată</w:t>
            </w:r>
          </w:p>
        </w:tc>
        <w:tc>
          <w:tcPr>
            <w:tcW w:w="5060" w:type="dxa"/>
            <w:gridSpan w:val="4"/>
            <w:tcBorders>
              <w:top w:val="single" w:sz="4"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18"/>
                <w:szCs w:val="18"/>
                <w:lang w:val="en-US"/>
              </w:rPr>
              <w:t> </w:t>
            </w:r>
          </w:p>
        </w:tc>
      </w:tr>
      <w:tr>
        <w:trPr>
          <w:trHeight w:val="209" w:hRule="atLeast"/>
        </w:trPr>
        <w:tc>
          <w:tcPr>
            <w:tcW w:w="66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6.3.2.</w:t>
            </w:r>
          </w:p>
        </w:tc>
        <w:tc>
          <w:tcPr>
            <w:tcW w:w="3221"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rPr>
              <w:t>Membru corespondent al A.Ş.M. ales în perioada evaluată</w:t>
            </w:r>
          </w:p>
        </w:tc>
        <w:tc>
          <w:tcPr>
            <w:tcW w:w="5060" w:type="dxa"/>
            <w:gridSpan w:val="4"/>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18"/>
                <w:szCs w:val="18"/>
                <w:lang w:val="en-US"/>
              </w:rPr>
              <w:t> </w:t>
            </w:r>
          </w:p>
        </w:tc>
      </w:tr>
      <w:tr>
        <w:trPr>
          <w:trHeight w:val="113" w:hRule="atLeast"/>
        </w:trPr>
        <w:tc>
          <w:tcPr>
            <w:tcW w:w="66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6.3.3.</w:t>
            </w:r>
          </w:p>
        </w:tc>
        <w:tc>
          <w:tcPr>
            <w:tcW w:w="3221"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sz w:val="18"/>
                <w:szCs w:val="18"/>
                <w:lang w:val="en-US"/>
              </w:rPr>
              <w:t>Doctor Honoris Cauza co</w:t>
            </w:r>
            <w:r>
              <w:rPr>
                <w:rFonts w:cs="Times New Roman CE" w:ascii="Times New Roman CE" w:hAnsi="Times New Roman CE"/>
                <w:sz w:val="18"/>
                <w:szCs w:val="18"/>
                <w:lang w:val="en-US"/>
              </w:rPr>
              <w:t>nferit în perioada evaluată</w:t>
            </w:r>
          </w:p>
        </w:tc>
        <w:tc>
          <w:tcPr>
            <w:tcW w:w="5060" w:type="dxa"/>
            <w:gridSpan w:val="4"/>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rFonts w:ascii="Times New Roman" w:hAnsi="Times New Roman"/>
                <w:sz w:val="18"/>
                <w:szCs w:val="18"/>
              </w:rPr>
            </w:pPr>
            <w:r>
              <w:rPr>
                <w:sz w:val="18"/>
                <w:szCs w:val="18"/>
              </w:rPr>
            </w:r>
          </w:p>
        </w:tc>
      </w:tr>
      <w:tr>
        <w:trPr>
          <w:trHeight w:val="173" w:hRule="atLeast"/>
        </w:trPr>
        <w:tc>
          <w:tcPr>
            <w:tcW w:w="66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6.3.4.</w:t>
            </w:r>
          </w:p>
        </w:tc>
        <w:tc>
          <w:tcPr>
            <w:tcW w:w="3221"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rPr>
              <w:t>Doctor habilitat conferit în perioada evaluată</w:t>
            </w:r>
          </w:p>
        </w:tc>
        <w:tc>
          <w:tcPr>
            <w:tcW w:w="5060" w:type="dxa"/>
            <w:gridSpan w:val="4"/>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18"/>
                <w:szCs w:val="18"/>
                <w:lang w:val="en-US"/>
              </w:rPr>
              <w:t> </w:t>
            </w:r>
          </w:p>
        </w:tc>
      </w:tr>
      <w:tr>
        <w:trPr>
          <w:trHeight w:val="91" w:hRule="atLeast"/>
        </w:trPr>
        <w:tc>
          <w:tcPr>
            <w:tcW w:w="66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6.3.5.</w:t>
            </w:r>
          </w:p>
        </w:tc>
        <w:tc>
          <w:tcPr>
            <w:tcW w:w="3221"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rPr>
              <w:t>Doctor conferit în perioada evaluată</w:t>
            </w:r>
          </w:p>
        </w:tc>
        <w:tc>
          <w:tcPr>
            <w:tcW w:w="5060" w:type="dxa"/>
            <w:gridSpan w:val="4"/>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ro-RO"/>
              </w:rPr>
            </w:pPr>
            <w:r>
              <w:rPr>
                <w:sz w:val="18"/>
                <w:szCs w:val="18"/>
                <w:lang w:val="ro-RO"/>
              </w:rPr>
              <w:t>4</w:t>
            </w:r>
          </w:p>
        </w:tc>
      </w:tr>
      <w:tr>
        <w:trPr>
          <w:trHeight w:val="137" w:hRule="atLeast"/>
        </w:trPr>
        <w:tc>
          <w:tcPr>
            <w:tcW w:w="66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6.3.6.</w:t>
            </w:r>
          </w:p>
        </w:tc>
        <w:tc>
          <w:tcPr>
            <w:tcW w:w="3221"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rPr>
              <w:t>Profesor universitar (profesor cercetător) conferit în perioada evaluată</w:t>
            </w:r>
          </w:p>
        </w:tc>
        <w:tc>
          <w:tcPr>
            <w:tcW w:w="5060" w:type="dxa"/>
            <w:gridSpan w:val="4"/>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rFonts w:ascii="Times New Roman" w:hAnsi="Times New Roman"/>
                <w:sz w:val="18"/>
                <w:szCs w:val="18"/>
              </w:rPr>
            </w:pPr>
            <w:r>
              <w:rPr>
                <w:sz w:val="18"/>
                <w:szCs w:val="18"/>
              </w:rPr>
            </w:r>
          </w:p>
        </w:tc>
      </w:tr>
      <w:tr>
        <w:trPr>
          <w:trHeight w:val="60" w:hRule="atLeast"/>
        </w:trPr>
        <w:tc>
          <w:tcPr>
            <w:tcW w:w="66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6.3.7.</w:t>
            </w:r>
          </w:p>
        </w:tc>
        <w:tc>
          <w:tcPr>
            <w:tcW w:w="3221"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rPr>
              <w:t>Conferenţiar universitar (conferenţiar cercetător) conferit în perioada evaluată</w:t>
            </w:r>
          </w:p>
        </w:tc>
        <w:tc>
          <w:tcPr>
            <w:tcW w:w="5060" w:type="dxa"/>
            <w:gridSpan w:val="4"/>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18"/>
                <w:szCs w:val="18"/>
                <w:lang w:val="en-US"/>
              </w:rPr>
              <w:t> </w:t>
            </w:r>
          </w:p>
        </w:tc>
      </w:tr>
      <w:tr>
        <w:trPr>
          <w:trHeight w:val="116" w:hRule="atLeast"/>
        </w:trPr>
        <w:tc>
          <w:tcPr>
            <w:tcW w:w="66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6.3.8.</w:t>
            </w:r>
          </w:p>
        </w:tc>
        <w:tc>
          <w:tcPr>
            <w:tcW w:w="3221"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rPr>
              <w:t xml:space="preserve">Redactor-şef al unei reviste de specialitate cotate CSŞDT şi CNAA </w:t>
            </w:r>
          </w:p>
        </w:tc>
        <w:tc>
          <w:tcPr>
            <w:tcW w:w="5060" w:type="dxa"/>
            <w:gridSpan w:val="4"/>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18"/>
                <w:szCs w:val="18"/>
                <w:lang w:val="en-US"/>
              </w:rPr>
              <w:t> </w:t>
            </w:r>
            <w:r>
              <w:rPr>
                <w:sz w:val="18"/>
                <w:szCs w:val="18"/>
                <w:lang w:val="en-US"/>
              </w:rPr>
              <w:t>2</w:t>
            </w:r>
          </w:p>
        </w:tc>
      </w:tr>
      <w:tr>
        <w:trPr>
          <w:trHeight w:val="175" w:hRule="atLeast"/>
        </w:trPr>
        <w:tc>
          <w:tcPr>
            <w:tcW w:w="66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6.3.9.</w:t>
            </w:r>
          </w:p>
        </w:tc>
        <w:tc>
          <w:tcPr>
            <w:tcW w:w="3221"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18"/>
                <w:szCs w:val="18"/>
                <w:lang w:val="fr-FR"/>
              </w:rPr>
              <w:t xml:space="preserve">Membru al colegiului de redacţie al revistelor cotate CSŞDT şi CNAA </w:t>
            </w:r>
          </w:p>
        </w:tc>
        <w:tc>
          <w:tcPr>
            <w:tcW w:w="5060" w:type="dxa"/>
            <w:gridSpan w:val="4"/>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18"/>
                <w:szCs w:val="18"/>
                <w:lang w:val="fr-FR"/>
              </w:rPr>
              <w:t> </w:t>
            </w:r>
            <w:r>
              <w:rPr>
                <w:sz w:val="18"/>
                <w:szCs w:val="18"/>
                <w:lang w:val="fr-FR"/>
              </w:rPr>
              <w:t>18</w:t>
            </w:r>
          </w:p>
        </w:tc>
      </w:tr>
      <w:tr>
        <w:trPr>
          <w:trHeight w:val="225" w:hRule="atLeast"/>
        </w:trPr>
        <w:tc>
          <w:tcPr>
            <w:tcW w:w="66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6.3.10.</w:t>
            </w:r>
          </w:p>
        </w:tc>
        <w:tc>
          <w:tcPr>
            <w:tcW w:w="3221"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rPr>
              <w:t xml:space="preserve">Conducător al Programelor de Stat </w:t>
            </w:r>
          </w:p>
        </w:tc>
        <w:tc>
          <w:tcPr>
            <w:tcW w:w="5060" w:type="dxa"/>
            <w:gridSpan w:val="4"/>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rFonts w:ascii="Times New Roman" w:hAnsi="Times New Roman"/>
                <w:sz w:val="18"/>
                <w:szCs w:val="18"/>
              </w:rPr>
            </w:pPr>
            <w:r>
              <w:rPr>
                <w:sz w:val="18"/>
                <w:szCs w:val="18"/>
              </w:rPr>
            </w:r>
          </w:p>
        </w:tc>
      </w:tr>
      <w:tr>
        <w:trPr>
          <w:trHeight w:val="83" w:hRule="atLeast"/>
        </w:trPr>
        <w:tc>
          <w:tcPr>
            <w:tcW w:w="66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6.3.11.</w:t>
            </w:r>
          </w:p>
        </w:tc>
        <w:tc>
          <w:tcPr>
            <w:tcW w:w="3221"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18"/>
                <w:szCs w:val="18"/>
                <w:lang w:val="fr-FR"/>
              </w:rPr>
              <w:t>Conducător al proiectului de cercetări fundamentale/aplicative</w:t>
            </w:r>
          </w:p>
        </w:tc>
        <w:tc>
          <w:tcPr>
            <w:tcW w:w="5060" w:type="dxa"/>
            <w:gridSpan w:val="4"/>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18"/>
                <w:szCs w:val="18"/>
                <w:lang w:val="fr-FR"/>
              </w:rPr>
              <w:t>3/6 </w:t>
            </w:r>
          </w:p>
        </w:tc>
      </w:tr>
      <w:tr>
        <w:trPr>
          <w:trHeight w:val="129" w:hRule="atLeast"/>
        </w:trPr>
        <w:tc>
          <w:tcPr>
            <w:tcW w:w="66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6.3.12.</w:t>
            </w:r>
          </w:p>
        </w:tc>
        <w:tc>
          <w:tcPr>
            <w:tcW w:w="3221"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18"/>
                <w:szCs w:val="18"/>
                <w:lang w:val="fr-FR"/>
              </w:rPr>
              <w:t xml:space="preserve">Preşedinte al Comitetului de program al manifestărilor ştiinţifice naţionale </w:t>
            </w:r>
          </w:p>
        </w:tc>
        <w:tc>
          <w:tcPr>
            <w:tcW w:w="5060" w:type="dxa"/>
            <w:gridSpan w:val="4"/>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1</w:t>
            </w:r>
          </w:p>
        </w:tc>
      </w:tr>
      <w:tr>
        <w:trPr>
          <w:trHeight w:val="189" w:hRule="atLeast"/>
        </w:trPr>
        <w:tc>
          <w:tcPr>
            <w:tcW w:w="66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6.3.13.</w:t>
            </w:r>
          </w:p>
        </w:tc>
        <w:tc>
          <w:tcPr>
            <w:tcW w:w="3221"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18"/>
                <w:szCs w:val="18"/>
                <w:lang w:val="fr-FR"/>
              </w:rPr>
              <w:t>Membru al Comitetului de program al manifestărilor ştiinţifice naţionale</w:t>
            </w:r>
          </w:p>
        </w:tc>
        <w:tc>
          <w:tcPr>
            <w:tcW w:w="5060" w:type="dxa"/>
            <w:gridSpan w:val="4"/>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ro-RO"/>
              </w:rPr>
            </w:pPr>
            <w:r>
              <w:rPr>
                <w:sz w:val="18"/>
                <w:szCs w:val="18"/>
                <w:lang w:val="ro-RO"/>
              </w:rPr>
              <w:t>8</w:t>
            </w:r>
          </w:p>
        </w:tc>
      </w:tr>
      <w:tr>
        <w:trPr>
          <w:trHeight w:val="107" w:hRule="atLeast"/>
        </w:trPr>
        <w:tc>
          <w:tcPr>
            <w:tcW w:w="66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6.3.14.</w:t>
            </w:r>
          </w:p>
        </w:tc>
        <w:tc>
          <w:tcPr>
            <w:tcW w:w="3221"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rPr>
              <w:t>Expert al CSŞDT sau CNAA</w:t>
            </w:r>
          </w:p>
        </w:tc>
        <w:tc>
          <w:tcPr>
            <w:tcW w:w="5060" w:type="dxa"/>
            <w:gridSpan w:val="4"/>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ro-RO"/>
              </w:rPr>
            </w:pPr>
            <w:r>
              <w:rPr>
                <w:sz w:val="18"/>
                <w:szCs w:val="18"/>
                <w:lang w:val="ro-RO"/>
              </w:rPr>
              <w:t>8</w:t>
            </w:r>
          </w:p>
        </w:tc>
      </w:tr>
      <w:tr>
        <w:trPr>
          <w:trHeight w:val="166" w:hRule="atLeast"/>
        </w:trPr>
        <w:tc>
          <w:tcPr>
            <w:tcW w:w="66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6.3.15.</w:t>
            </w:r>
          </w:p>
        </w:tc>
        <w:tc>
          <w:tcPr>
            <w:tcW w:w="3221"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18"/>
                <w:szCs w:val="18"/>
                <w:lang w:val="fr-FR"/>
              </w:rPr>
              <w:t>Expert al altor proiecte şi activităţi la nivel naţional</w:t>
            </w:r>
          </w:p>
        </w:tc>
        <w:tc>
          <w:tcPr>
            <w:tcW w:w="5060" w:type="dxa"/>
            <w:gridSpan w:val="4"/>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18"/>
                <w:szCs w:val="18"/>
                <w:lang w:val="fr-FR"/>
              </w:rPr>
              <w:t> </w:t>
            </w:r>
          </w:p>
        </w:tc>
      </w:tr>
      <w:tr>
        <w:trPr>
          <w:trHeight w:val="213" w:hRule="atLeast"/>
        </w:trPr>
        <w:tc>
          <w:tcPr>
            <w:tcW w:w="66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6.3.16.</w:t>
            </w:r>
          </w:p>
        </w:tc>
        <w:tc>
          <w:tcPr>
            <w:tcW w:w="3221"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rPr>
              <w:t>Preşedinte al Comisiei de acreditare a organizaţiei</w:t>
            </w:r>
          </w:p>
        </w:tc>
        <w:tc>
          <w:tcPr>
            <w:tcW w:w="5060" w:type="dxa"/>
            <w:gridSpan w:val="4"/>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18"/>
                <w:szCs w:val="18"/>
                <w:lang w:val="en-US"/>
              </w:rPr>
              <w:t> </w:t>
            </w:r>
          </w:p>
        </w:tc>
      </w:tr>
      <w:tr>
        <w:trPr>
          <w:trHeight w:val="131" w:hRule="atLeast"/>
        </w:trPr>
        <w:tc>
          <w:tcPr>
            <w:tcW w:w="66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6.3.17.</w:t>
            </w:r>
          </w:p>
        </w:tc>
        <w:tc>
          <w:tcPr>
            <w:tcW w:w="3221"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sz w:val="18"/>
                <w:szCs w:val="18"/>
                <w:lang w:val="en-US"/>
              </w:rPr>
              <w:t>Membru al Comisiei de acreditare a organizatiei</w:t>
            </w:r>
          </w:p>
        </w:tc>
        <w:tc>
          <w:tcPr>
            <w:tcW w:w="5060" w:type="dxa"/>
            <w:gridSpan w:val="4"/>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18"/>
                <w:szCs w:val="18"/>
                <w:lang w:val="en-US"/>
              </w:rPr>
              <w:t> </w:t>
            </w:r>
          </w:p>
        </w:tc>
      </w:tr>
      <w:tr>
        <w:trPr>
          <w:trHeight w:val="191" w:hRule="atLeast"/>
        </w:trPr>
        <w:tc>
          <w:tcPr>
            <w:tcW w:w="66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6.3.18.</w:t>
            </w:r>
          </w:p>
        </w:tc>
        <w:tc>
          <w:tcPr>
            <w:tcW w:w="3221"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sz w:val="18"/>
                <w:szCs w:val="18"/>
                <w:lang w:val="en-US"/>
              </w:rPr>
              <w:t>Membru în Comisiile pentru decernarea Premiilor Nationale</w:t>
            </w:r>
          </w:p>
        </w:tc>
        <w:tc>
          <w:tcPr>
            <w:tcW w:w="5060" w:type="dxa"/>
            <w:gridSpan w:val="4"/>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18"/>
                <w:szCs w:val="18"/>
                <w:lang w:val="en-US"/>
              </w:rPr>
              <w:t> </w:t>
            </w:r>
          </w:p>
        </w:tc>
      </w:tr>
      <w:tr>
        <w:trPr>
          <w:trHeight w:val="155" w:hRule="atLeast"/>
        </w:trPr>
        <w:tc>
          <w:tcPr>
            <w:tcW w:w="66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6.3.19.</w:t>
            </w:r>
          </w:p>
        </w:tc>
        <w:tc>
          <w:tcPr>
            <w:tcW w:w="3221"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rPr>
              <w:t>Membru în Comisiile pentru decernarea premiilor A.Ş.M</w:t>
            </w:r>
          </w:p>
        </w:tc>
        <w:tc>
          <w:tcPr>
            <w:tcW w:w="5060" w:type="dxa"/>
            <w:gridSpan w:val="4"/>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1</w:t>
            </w:r>
          </w:p>
        </w:tc>
      </w:tr>
      <w:tr>
        <w:trPr>
          <w:trHeight w:val="113" w:hRule="atLeast"/>
        </w:trPr>
        <w:tc>
          <w:tcPr>
            <w:tcW w:w="66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6.3.20.</w:t>
            </w:r>
          </w:p>
        </w:tc>
        <w:tc>
          <w:tcPr>
            <w:tcW w:w="3221"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rPr>
              <w:t xml:space="preserve">Preşedinte al consiliilor ştiinţifice specializate de susţinere a </w:t>
            </w:r>
            <w:r>
              <w:rPr>
                <w:b/>
                <w:bCs/>
                <w:sz w:val="18"/>
                <w:szCs w:val="18"/>
                <w:lang w:val="en-US"/>
              </w:rPr>
              <w:t xml:space="preserve">tezelor de doctor habilitat </w:t>
            </w:r>
          </w:p>
        </w:tc>
        <w:tc>
          <w:tcPr>
            <w:tcW w:w="5060" w:type="dxa"/>
            <w:gridSpan w:val="4"/>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ro-RO"/>
              </w:rPr>
            </w:pPr>
            <w:r>
              <w:rPr>
                <w:sz w:val="18"/>
                <w:szCs w:val="18"/>
                <w:lang w:val="ro-RO"/>
              </w:rPr>
              <w:t>1</w:t>
            </w:r>
          </w:p>
        </w:tc>
      </w:tr>
      <w:tr>
        <w:trPr>
          <w:trHeight w:val="173" w:hRule="atLeast"/>
        </w:trPr>
        <w:tc>
          <w:tcPr>
            <w:tcW w:w="66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6.3.21.</w:t>
            </w:r>
          </w:p>
        </w:tc>
        <w:tc>
          <w:tcPr>
            <w:tcW w:w="3221"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rPr>
              <w:t xml:space="preserve">Secretar al consiliilor ştiinţifice specializate de susţinere a </w:t>
            </w:r>
            <w:r>
              <w:rPr>
                <w:b/>
                <w:bCs/>
                <w:sz w:val="18"/>
                <w:szCs w:val="18"/>
                <w:lang w:val="en-US"/>
              </w:rPr>
              <w:t>tezelor de doctor habilitat</w:t>
            </w:r>
          </w:p>
        </w:tc>
        <w:tc>
          <w:tcPr>
            <w:tcW w:w="5060" w:type="dxa"/>
            <w:gridSpan w:val="4"/>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rFonts w:ascii="Times New Roman" w:hAnsi="Times New Roman"/>
                <w:sz w:val="18"/>
                <w:szCs w:val="18"/>
              </w:rPr>
            </w:pPr>
            <w:r>
              <w:rPr>
                <w:sz w:val="18"/>
                <w:szCs w:val="18"/>
              </w:rPr>
            </w:r>
          </w:p>
        </w:tc>
      </w:tr>
      <w:tr>
        <w:trPr>
          <w:trHeight w:val="219" w:hRule="atLeast"/>
        </w:trPr>
        <w:tc>
          <w:tcPr>
            <w:tcW w:w="66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6.3.22.</w:t>
            </w:r>
          </w:p>
        </w:tc>
        <w:tc>
          <w:tcPr>
            <w:tcW w:w="3221"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rPr>
              <w:t xml:space="preserve">Preşedinte al consiliilor ştiinţifice specializate de susţinere a </w:t>
            </w:r>
            <w:r>
              <w:rPr>
                <w:b/>
                <w:bCs/>
                <w:sz w:val="18"/>
                <w:szCs w:val="18"/>
                <w:lang w:val="en-US"/>
              </w:rPr>
              <w:t>tezelor de doctor</w:t>
            </w:r>
            <w:r>
              <w:rPr>
                <w:sz w:val="18"/>
                <w:szCs w:val="18"/>
                <w:lang w:val="en-US"/>
              </w:rPr>
              <w:t xml:space="preserve"> </w:t>
            </w:r>
          </w:p>
        </w:tc>
        <w:tc>
          <w:tcPr>
            <w:tcW w:w="5060" w:type="dxa"/>
            <w:gridSpan w:val="4"/>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2</w:t>
            </w:r>
          </w:p>
        </w:tc>
      </w:tr>
      <w:tr>
        <w:trPr>
          <w:trHeight w:val="123" w:hRule="atLeast"/>
        </w:trPr>
        <w:tc>
          <w:tcPr>
            <w:tcW w:w="66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6.3.23.</w:t>
            </w:r>
          </w:p>
        </w:tc>
        <w:tc>
          <w:tcPr>
            <w:tcW w:w="3221"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rPr>
              <w:t xml:space="preserve">Secretar al consiliilor ştiinţifice specializate de susţinere a </w:t>
            </w:r>
            <w:r>
              <w:rPr>
                <w:b/>
                <w:bCs/>
                <w:sz w:val="18"/>
                <w:szCs w:val="18"/>
                <w:lang w:val="en-US"/>
              </w:rPr>
              <w:t xml:space="preserve">tezelor de doctor </w:t>
            </w:r>
          </w:p>
        </w:tc>
        <w:tc>
          <w:tcPr>
            <w:tcW w:w="5060" w:type="dxa"/>
            <w:gridSpan w:val="4"/>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ro-RO"/>
              </w:rPr>
            </w:pPr>
            <w:r>
              <w:rPr>
                <w:sz w:val="18"/>
                <w:szCs w:val="18"/>
                <w:lang w:val="ro-RO"/>
              </w:rPr>
              <w:t>3</w:t>
            </w:r>
          </w:p>
        </w:tc>
      </w:tr>
      <w:tr>
        <w:trPr>
          <w:trHeight w:val="183" w:hRule="atLeast"/>
        </w:trPr>
        <w:tc>
          <w:tcPr>
            <w:tcW w:w="66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6.3.24.</w:t>
            </w:r>
          </w:p>
        </w:tc>
        <w:tc>
          <w:tcPr>
            <w:tcW w:w="3221"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sz w:val="18"/>
                <w:szCs w:val="18"/>
                <w:lang w:val="en-US"/>
              </w:rPr>
              <w:t>Membru al</w:t>
            </w:r>
            <w:r>
              <w:rPr>
                <w:rFonts w:cs="Times New Roman CE" w:ascii="Times New Roman CE" w:hAnsi="Times New Roman CE"/>
                <w:sz w:val="18"/>
                <w:szCs w:val="18"/>
                <w:lang w:val="en-US"/>
              </w:rPr>
              <w:t xml:space="preserve"> consiliilor ştiinţifice specializate de susţinere a </w:t>
            </w:r>
            <w:r>
              <w:rPr>
                <w:b/>
                <w:bCs/>
                <w:sz w:val="18"/>
                <w:szCs w:val="18"/>
                <w:lang w:val="en-US"/>
              </w:rPr>
              <w:t>tezelor de doctor</w:t>
            </w:r>
            <w:r>
              <w:rPr>
                <w:sz w:val="18"/>
                <w:szCs w:val="18"/>
                <w:lang w:val="en-US"/>
              </w:rPr>
              <w:t xml:space="preserve"> </w:t>
            </w:r>
            <w:r>
              <w:rPr>
                <w:b/>
                <w:bCs/>
                <w:sz w:val="18"/>
                <w:szCs w:val="18"/>
                <w:lang w:val="en-US"/>
              </w:rPr>
              <w:t>habilitat/doctor</w:t>
            </w:r>
            <w:r>
              <w:rPr>
                <w:sz w:val="18"/>
                <w:szCs w:val="18"/>
                <w:lang w:val="en-US"/>
              </w:rPr>
              <w:t xml:space="preserve"> </w:t>
            </w:r>
          </w:p>
        </w:tc>
        <w:tc>
          <w:tcPr>
            <w:tcW w:w="5060" w:type="dxa"/>
            <w:gridSpan w:val="4"/>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18"/>
                <w:szCs w:val="18"/>
                <w:lang w:val="en-US"/>
              </w:rPr>
              <w:t>1/5 </w:t>
            </w:r>
          </w:p>
        </w:tc>
      </w:tr>
      <w:tr>
        <w:trPr>
          <w:trHeight w:val="101" w:hRule="atLeast"/>
        </w:trPr>
        <w:tc>
          <w:tcPr>
            <w:tcW w:w="66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6.3.25.</w:t>
            </w:r>
          </w:p>
        </w:tc>
        <w:tc>
          <w:tcPr>
            <w:tcW w:w="3221"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18"/>
                <w:szCs w:val="18"/>
                <w:lang w:val="fr-FR"/>
              </w:rPr>
              <w:t xml:space="preserve">Referent la susţinerea </w:t>
            </w:r>
            <w:r>
              <w:rPr>
                <w:b/>
                <w:bCs/>
                <w:sz w:val="18"/>
                <w:szCs w:val="18"/>
                <w:lang w:val="fr-FR"/>
              </w:rPr>
              <w:t>tezei de doctor habilitat</w:t>
            </w:r>
            <w:r>
              <w:rPr>
                <w:sz w:val="18"/>
                <w:szCs w:val="18"/>
                <w:lang w:val="fr-FR"/>
              </w:rPr>
              <w:t xml:space="preserve"> </w:t>
            </w:r>
          </w:p>
        </w:tc>
        <w:tc>
          <w:tcPr>
            <w:tcW w:w="5060" w:type="dxa"/>
            <w:gridSpan w:val="4"/>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rFonts w:ascii="Times New Roman" w:hAnsi="Times New Roman"/>
                <w:sz w:val="18"/>
                <w:szCs w:val="18"/>
              </w:rPr>
            </w:pPr>
            <w:r>
              <w:rPr>
                <w:sz w:val="18"/>
                <w:szCs w:val="18"/>
              </w:rPr>
            </w:r>
          </w:p>
        </w:tc>
      </w:tr>
      <w:tr>
        <w:trPr>
          <w:trHeight w:val="161" w:hRule="atLeast"/>
        </w:trPr>
        <w:tc>
          <w:tcPr>
            <w:tcW w:w="66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6.3.26.</w:t>
            </w:r>
          </w:p>
        </w:tc>
        <w:tc>
          <w:tcPr>
            <w:tcW w:w="3221"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18"/>
                <w:szCs w:val="18"/>
                <w:lang w:val="fr-FR"/>
              </w:rPr>
              <w:t xml:space="preserve">Referent la susţinerea </w:t>
            </w:r>
            <w:r>
              <w:rPr>
                <w:b/>
                <w:bCs/>
                <w:sz w:val="18"/>
                <w:szCs w:val="18"/>
                <w:lang w:val="fr-FR"/>
              </w:rPr>
              <w:t>tezei de doctor</w:t>
            </w:r>
            <w:r>
              <w:rPr>
                <w:sz w:val="18"/>
                <w:szCs w:val="18"/>
                <w:lang w:val="fr-FR"/>
              </w:rPr>
              <w:t xml:space="preserve"> </w:t>
            </w:r>
          </w:p>
        </w:tc>
        <w:tc>
          <w:tcPr>
            <w:tcW w:w="5060" w:type="dxa"/>
            <w:gridSpan w:val="4"/>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ro-RO"/>
              </w:rPr>
            </w:pPr>
            <w:r>
              <w:rPr>
                <w:sz w:val="18"/>
                <w:szCs w:val="18"/>
                <w:lang w:val="ro-RO"/>
              </w:rPr>
              <w:t>4</w:t>
            </w:r>
          </w:p>
        </w:tc>
      </w:tr>
      <w:tr>
        <w:trPr>
          <w:trHeight w:val="221" w:hRule="atLeast"/>
        </w:trPr>
        <w:tc>
          <w:tcPr>
            <w:tcW w:w="66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6.3.27.</w:t>
            </w:r>
          </w:p>
        </w:tc>
        <w:tc>
          <w:tcPr>
            <w:tcW w:w="3221"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18"/>
                <w:szCs w:val="18"/>
                <w:lang w:val="fr-FR"/>
              </w:rPr>
              <w:t>Preşedinte al Comsiei examenelor de licenţă / masterat</w:t>
            </w:r>
          </w:p>
        </w:tc>
        <w:tc>
          <w:tcPr>
            <w:tcW w:w="5060" w:type="dxa"/>
            <w:gridSpan w:val="4"/>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1/3</w:t>
            </w:r>
          </w:p>
        </w:tc>
      </w:tr>
      <w:tr>
        <w:trPr>
          <w:trHeight w:val="111" w:hRule="atLeast"/>
        </w:trPr>
        <w:tc>
          <w:tcPr>
            <w:tcW w:w="66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6.3.28.</w:t>
            </w:r>
          </w:p>
        </w:tc>
        <w:tc>
          <w:tcPr>
            <w:tcW w:w="3221"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18"/>
                <w:szCs w:val="18"/>
                <w:lang w:val="fr-FR"/>
              </w:rPr>
              <w:t>Membru al Comisiei examenelor de licenţă / masterat</w:t>
            </w:r>
          </w:p>
        </w:tc>
        <w:tc>
          <w:tcPr>
            <w:tcW w:w="5060" w:type="dxa"/>
            <w:gridSpan w:val="4"/>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ro-RO"/>
              </w:rPr>
            </w:pPr>
            <w:r>
              <w:rPr>
                <w:sz w:val="18"/>
                <w:szCs w:val="18"/>
                <w:lang w:val="ro-RO"/>
              </w:rPr>
              <w:t>1/5</w:t>
            </w:r>
          </w:p>
        </w:tc>
      </w:tr>
      <w:tr>
        <w:trPr>
          <w:trHeight w:val="60" w:hRule="atLeast"/>
        </w:trPr>
        <w:tc>
          <w:tcPr>
            <w:tcW w:w="66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6.3.29.</w:t>
            </w:r>
          </w:p>
        </w:tc>
        <w:tc>
          <w:tcPr>
            <w:tcW w:w="3221" w:type="dxa"/>
            <w:tcBorders>
              <w:bottom w:val="single" w:sz="8" w:space="0" w:color="000001"/>
              <w:insideH w:val="single" w:sz="8" w:space="0" w:color="000001"/>
            </w:tcBorders>
            <w:shd w:fill="auto" w:val="clear"/>
          </w:tcPr>
          <w:p>
            <w:pPr>
              <w:pStyle w:val="Normal"/>
              <w:widowControl/>
              <w:bidi w:val="0"/>
              <w:ind w:left="0" w:right="0" w:hanging="0"/>
              <w:jc w:val="both"/>
              <w:textAlignment w:val="auto"/>
              <w:rPr>
                <w:lang w:val="fr-FR"/>
              </w:rPr>
            </w:pPr>
            <w:r>
              <w:rPr>
                <w:rFonts w:cs="Times New Roman CE" w:ascii="Times New Roman CE" w:hAnsi="Times New Roman CE"/>
                <w:sz w:val="18"/>
                <w:szCs w:val="18"/>
                <w:lang w:val="fr-FR"/>
              </w:rPr>
              <w:t xml:space="preserve">Preşedinte al seminarului ştiinţific de profil </w:t>
            </w:r>
          </w:p>
        </w:tc>
        <w:tc>
          <w:tcPr>
            <w:tcW w:w="5060" w:type="dxa"/>
            <w:gridSpan w:val="4"/>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3</w:t>
            </w:r>
          </w:p>
        </w:tc>
      </w:tr>
      <w:tr>
        <w:trPr>
          <w:trHeight w:val="89" w:hRule="atLeast"/>
        </w:trPr>
        <w:tc>
          <w:tcPr>
            <w:tcW w:w="66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6.3.30.</w:t>
            </w:r>
          </w:p>
        </w:tc>
        <w:tc>
          <w:tcPr>
            <w:tcW w:w="3221" w:type="dxa"/>
            <w:tcBorders>
              <w:bottom w:val="single" w:sz="8" w:space="0" w:color="000001"/>
              <w:insideH w:val="single" w:sz="8" w:space="0" w:color="000001"/>
            </w:tcBorders>
            <w:shd w:fill="auto" w:val="clear"/>
          </w:tcPr>
          <w:p>
            <w:pPr>
              <w:pStyle w:val="Normal"/>
              <w:widowControl/>
              <w:bidi w:val="0"/>
              <w:ind w:left="0" w:right="0" w:hanging="0"/>
              <w:jc w:val="both"/>
              <w:textAlignment w:val="auto"/>
              <w:rPr>
                <w:lang w:val="fr-FR"/>
              </w:rPr>
            </w:pPr>
            <w:r>
              <w:rPr>
                <w:rFonts w:cs="Times New Roman CE" w:ascii="Times New Roman CE" w:hAnsi="Times New Roman CE"/>
                <w:sz w:val="18"/>
                <w:szCs w:val="18"/>
                <w:lang w:val="fr-FR"/>
              </w:rPr>
              <w:t>Membru al seminarului ştiinţific de profil</w:t>
            </w:r>
          </w:p>
        </w:tc>
        <w:tc>
          <w:tcPr>
            <w:tcW w:w="5060" w:type="dxa"/>
            <w:gridSpan w:val="4"/>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2</w:t>
            </w:r>
            <w:r>
              <w:rPr>
                <w:sz w:val="18"/>
                <w:szCs w:val="18"/>
                <w:lang w:val="ro-RO"/>
              </w:rPr>
              <w:t>5</w:t>
            </w:r>
          </w:p>
        </w:tc>
      </w:tr>
      <w:tr>
        <w:trPr>
          <w:trHeight w:val="270" w:hRule="atLeast"/>
        </w:trPr>
        <w:tc>
          <w:tcPr>
            <w:tcW w:w="66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6.3.31.</w:t>
            </w:r>
          </w:p>
        </w:tc>
        <w:tc>
          <w:tcPr>
            <w:tcW w:w="3221" w:type="dxa"/>
            <w:tcBorders>
              <w:bottom w:val="single" w:sz="8" w:space="0" w:color="000001"/>
              <w:insideH w:val="single" w:sz="8" w:space="0" w:color="000001"/>
            </w:tcBorders>
            <w:shd w:fill="auto" w:val="clear"/>
          </w:tcPr>
          <w:p>
            <w:pPr>
              <w:pStyle w:val="Normal"/>
              <w:widowControl/>
              <w:bidi w:val="0"/>
              <w:ind w:left="0" w:right="0" w:hanging="0"/>
              <w:jc w:val="both"/>
              <w:textAlignment w:val="auto"/>
              <w:rPr>
                <w:lang w:val="fr-FR"/>
              </w:rPr>
            </w:pPr>
            <w:r>
              <w:rPr>
                <w:rFonts w:cs="Times New Roman CE" w:ascii="Times New Roman CE" w:hAnsi="Times New Roman CE"/>
                <w:sz w:val="18"/>
                <w:szCs w:val="18"/>
                <w:lang w:val="fr-FR"/>
              </w:rPr>
              <w:t>Secretar al seminarului ştiinţific de profil</w:t>
            </w:r>
          </w:p>
        </w:tc>
        <w:tc>
          <w:tcPr>
            <w:tcW w:w="5060" w:type="dxa"/>
            <w:gridSpan w:val="4"/>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ro-RO"/>
              </w:rPr>
            </w:pPr>
            <w:r>
              <w:rPr>
                <w:sz w:val="18"/>
                <w:szCs w:val="18"/>
                <w:lang w:val="ro-RO"/>
              </w:rPr>
              <w:t>3</w:t>
            </w:r>
          </w:p>
        </w:tc>
      </w:tr>
    </w:tbl>
    <w:p>
      <w:pPr>
        <w:pStyle w:val="Normal"/>
        <w:widowControl/>
        <w:bidi w:val="0"/>
        <w:ind w:left="0" w:right="0" w:hanging="0"/>
        <w:jc w:val="left"/>
        <w:textAlignment w:val="auto"/>
        <w:rPr>
          <w:rFonts w:ascii="Times New Roman" w:hAnsi="Times New Roman"/>
          <w:lang w:val="en-US"/>
        </w:rPr>
      </w:pPr>
      <w:r>
        <w:rPr>
          <w:lang w:val="en-US"/>
        </w:rPr>
      </w:r>
    </w:p>
    <w:p>
      <w:pPr>
        <w:pStyle w:val="Normal"/>
        <w:widowControl/>
        <w:bidi w:val="0"/>
        <w:ind w:left="0" w:right="0" w:hanging="0"/>
        <w:jc w:val="left"/>
        <w:textAlignment w:val="auto"/>
        <w:rPr>
          <w:rFonts w:ascii="Times New Roman" w:hAnsi="Times New Roman"/>
          <w:lang w:val="en-US"/>
        </w:rPr>
      </w:pPr>
      <w:r>
        <w:rPr>
          <w:lang w:val="en-US"/>
        </w:rPr>
      </w:r>
    </w:p>
    <w:p>
      <w:pPr>
        <w:pStyle w:val="Normal"/>
        <w:widowControl/>
        <w:bidi w:val="0"/>
        <w:ind w:left="0" w:right="0" w:hanging="0"/>
        <w:jc w:val="left"/>
        <w:textAlignment w:val="auto"/>
        <w:rPr>
          <w:rFonts w:ascii="Times New Roman" w:hAnsi="Times New Roman"/>
          <w:lang w:val="en-US"/>
        </w:rPr>
      </w:pPr>
      <w:r>
        <w:rPr>
          <w:lang w:val="en-US"/>
        </w:rPr>
      </w:r>
    </w:p>
    <w:p>
      <w:pPr>
        <w:pStyle w:val="Normal"/>
        <w:widowControl/>
        <w:bidi w:val="0"/>
        <w:ind w:left="0" w:right="0" w:hanging="0"/>
        <w:jc w:val="left"/>
        <w:textAlignment w:val="auto"/>
        <w:rPr>
          <w:rFonts w:ascii="Times New Roman" w:hAnsi="Times New Roman"/>
          <w:lang w:val="en-US"/>
        </w:rPr>
      </w:pPr>
      <w:r>
        <w:rPr>
          <w:lang w:val="en-US"/>
        </w:rPr>
      </w:r>
    </w:p>
    <w:tbl>
      <w:tblPr>
        <w:tblW w:w="9120" w:type="dxa"/>
        <w:jc w:val="left"/>
        <w:tblInd w:w="-1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3" w:type="dxa"/>
          <w:bottom w:w="0" w:type="dxa"/>
          <w:right w:w="108" w:type="dxa"/>
        </w:tblCellMar>
      </w:tblPr>
      <w:tblGrid>
        <w:gridCol w:w="805"/>
        <w:gridCol w:w="7413"/>
        <w:gridCol w:w="902"/>
      </w:tblGrid>
      <w:tr>
        <w:trPr>
          <w:trHeight w:val="270" w:hRule="atLeast"/>
        </w:trPr>
        <w:tc>
          <w:tcPr>
            <w:tcW w:w="821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bookmarkStart w:id="428" w:name="RANGE!A1:C32"/>
            <w:bookmarkEnd w:id="428"/>
            <w:r>
              <w:rPr>
                <w:rFonts w:cs="Times New Roman CE" w:ascii="Times New Roman CE" w:hAnsi="Times New Roman CE"/>
                <w:b/>
                <w:bCs/>
                <w:sz w:val="22"/>
                <w:szCs w:val="22"/>
              </w:rPr>
              <w:t>7. RELEVANŢA ECONOMICĂ</w:t>
            </w:r>
          </w:p>
        </w:tc>
        <w:tc>
          <w:tcPr>
            <w:tcW w:w="9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b/>
                <w:bCs/>
                <w:sz w:val="20"/>
                <w:szCs w:val="20"/>
              </w:rPr>
              <w:t>201</w:t>
            </w:r>
            <w:r>
              <w:rPr>
                <w:b/>
                <w:bCs/>
                <w:sz w:val="20"/>
                <w:szCs w:val="20"/>
                <w:lang w:val="ro-RO"/>
              </w:rPr>
              <w:t>6</w:t>
            </w:r>
          </w:p>
        </w:tc>
      </w:tr>
      <w:tr>
        <w:trPr>
          <w:trHeight w:val="270" w:hRule="atLeast"/>
        </w:trPr>
        <w:tc>
          <w:tcPr>
            <w:tcW w:w="8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2"/>
                <w:szCs w:val="22"/>
              </w:rPr>
              <w:t> </w:t>
            </w:r>
          </w:p>
        </w:tc>
        <w:tc>
          <w:tcPr>
            <w:tcW w:w="83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CCFFCC"/>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b/>
                <w:bCs/>
                <w:sz w:val="22"/>
                <w:szCs w:val="22"/>
                <w:lang w:val="en-US"/>
              </w:rPr>
              <w:t>7.1. Activitatea de brevetare, licenţiere, certificare a produselor</w:t>
            </w:r>
          </w:p>
        </w:tc>
      </w:tr>
      <w:tr>
        <w:trPr>
          <w:trHeight w:val="525" w:hRule="atLeast"/>
        </w:trPr>
        <w:tc>
          <w:tcPr>
            <w:tcW w:w="8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2"/>
                <w:szCs w:val="22"/>
              </w:rPr>
              <w:t>7.1.1.</w:t>
            </w:r>
          </w:p>
        </w:tc>
        <w:tc>
          <w:tcPr>
            <w:tcW w:w="74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2"/>
                <w:szCs w:val="22"/>
                <w:lang w:val="fr-FR"/>
              </w:rPr>
              <w:t>Contracte de licenţă (cesiune) în baza brevetelor, know-how  şi soiurilor de plante omologate, rase, tipuri, linii de animale şi păsări</w:t>
            </w:r>
          </w:p>
        </w:tc>
        <w:tc>
          <w:tcPr>
            <w:tcW w:w="9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fr-FR"/>
              </w:rPr>
            </w:pPr>
            <w:r>
              <w:rPr>
                <w:sz w:val="22"/>
                <w:szCs w:val="22"/>
                <w:lang w:val="fr-FR"/>
              </w:rPr>
              <w:t> </w:t>
            </w:r>
          </w:p>
        </w:tc>
      </w:tr>
      <w:tr>
        <w:trPr>
          <w:trHeight w:val="525" w:hRule="atLeast"/>
        </w:trPr>
        <w:tc>
          <w:tcPr>
            <w:tcW w:w="8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2"/>
                <w:szCs w:val="22"/>
              </w:rPr>
              <w:t>7.1.2.</w:t>
            </w:r>
          </w:p>
        </w:tc>
        <w:tc>
          <w:tcPr>
            <w:tcW w:w="74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sz w:val="22"/>
                <w:szCs w:val="22"/>
                <w:lang w:val="fr-FR"/>
              </w:rPr>
              <w:t>Br</w:t>
            </w:r>
            <w:r>
              <w:rPr>
                <w:rFonts w:cs="Times New Roman CE" w:ascii="Times New Roman CE" w:hAnsi="Times New Roman CE"/>
                <w:sz w:val="22"/>
                <w:szCs w:val="22"/>
                <w:lang w:val="fr-FR"/>
              </w:rPr>
              <w:t>evete obţinute, adeverinţe de soi, documentaţie, tehnologii, regulamente tehnice, standarde înregistrate</w:t>
            </w:r>
          </w:p>
        </w:tc>
        <w:tc>
          <w:tcPr>
            <w:tcW w:w="9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fr-FR"/>
              </w:rPr>
            </w:pPr>
            <w:r>
              <w:rPr>
                <w:sz w:val="22"/>
                <w:szCs w:val="22"/>
                <w:lang w:val="fr-FR"/>
              </w:rPr>
              <w:t> </w:t>
            </w:r>
          </w:p>
        </w:tc>
      </w:tr>
      <w:tr>
        <w:trPr>
          <w:trHeight w:val="270" w:hRule="atLeast"/>
        </w:trPr>
        <w:tc>
          <w:tcPr>
            <w:tcW w:w="8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2"/>
                <w:szCs w:val="22"/>
              </w:rPr>
              <w:t>7.1.3.</w:t>
            </w:r>
          </w:p>
        </w:tc>
        <w:tc>
          <w:tcPr>
            <w:tcW w:w="74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2"/>
                <w:szCs w:val="22"/>
                <w:lang w:val="fr-FR"/>
              </w:rPr>
              <w:t>Hotărîri de acordare a brevetelor</w:t>
            </w:r>
          </w:p>
        </w:tc>
        <w:tc>
          <w:tcPr>
            <w:tcW w:w="9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fr-FR"/>
              </w:rPr>
            </w:pPr>
            <w:r>
              <w:rPr>
                <w:sz w:val="22"/>
                <w:szCs w:val="22"/>
                <w:lang w:val="fr-FR"/>
              </w:rPr>
              <w:t> </w:t>
            </w:r>
          </w:p>
        </w:tc>
      </w:tr>
      <w:tr>
        <w:trPr>
          <w:trHeight w:val="525" w:hRule="atLeast"/>
        </w:trPr>
        <w:tc>
          <w:tcPr>
            <w:tcW w:w="8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2"/>
                <w:szCs w:val="22"/>
              </w:rPr>
              <w:t>7.1.4.</w:t>
            </w:r>
          </w:p>
        </w:tc>
        <w:tc>
          <w:tcPr>
            <w:tcW w:w="74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sz w:val="22"/>
                <w:szCs w:val="22"/>
                <w:lang w:val="fr-FR"/>
              </w:rPr>
              <w:t>Cereri de brevetare înaintate la AGEPI, cereri înaintate la Comisia de Stat pentru Testarea Soiurilor de Plante</w:t>
            </w:r>
          </w:p>
        </w:tc>
        <w:tc>
          <w:tcPr>
            <w:tcW w:w="9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fr-FR"/>
              </w:rPr>
            </w:pPr>
            <w:r>
              <w:rPr>
                <w:sz w:val="22"/>
                <w:szCs w:val="22"/>
                <w:lang w:val="fr-FR"/>
              </w:rPr>
              <w:t>2 </w:t>
            </w:r>
          </w:p>
        </w:tc>
      </w:tr>
      <w:tr>
        <w:trPr>
          <w:trHeight w:val="270" w:hRule="atLeast"/>
        </w:trPr>
        <w:tc>
          <w:tcPr>
            <w:tcW w:w="8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2"/>
                <w:szCs w:val="22"/>
              </w:rPr>
              <w:t>7.1.5.</w:t>
            </w:r>
          </w:p>
        </w:tc>
        <w:tc>
          <w:tcPr>
            <w:tcW w:w="74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pPr>
            <w:r>
              <w:rPr>
                <w:sz w:val="22"/>
                <w:szCs w:val="22"/>
              </w:rPr>
              <w:t>Brevete implementate</w:t>
            </w:r>
          </w:p>
        </w:tc>
        <w:tc>
          <w:tcPr>
            <w:tcW w:w="9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pPr>
            <w:r>
              <w:rPr>
                <w:sz w:val="22"/>
                <w:szCs w:val="22"/>
              </w:rPr>
              <w:t> </w:t>
            </w:r>
          </w:p>
        </w:tc>
      </w:tr>
      <w:tr>
        <w:trPr>
          <w:trHeight w:val="270" w:hRule="atLeast"/>
        </w:trPr>
        <w:tc>
          <w:tcPr>
            <w:tcW w:w="8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2"/>
                <w:szCs w:val="22"/>
              </w:rPr>
              <w:t>7.1.6.</w:t>
            </w:r>
          </w:p>
        </w:tc>
        <w:tc>
          <w:tcPr>
            <w:tcW w:w="74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rFonts w:cs="Times New Roman CE" w:ascii="Times New Roman CE" w:hAnsi="Times New Roman CE"/>
                <w:sz w:val="22"/>
                <w:szCs w:val="22"/>
                <w:lang w:val="fr-FR"/>
              </w:rPr>
              <w:t>Certificate de soi, obţinute în perioada evaluată</w:t>
            </w:r>
          </w:p>
        </w:tc>
        <w:tc>
          <w:tcPr>
            <w:tcW w:w="9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fr-FR"/>
              </w:rPr>
            </w:pPr>
            <w:r>
              <w:rPr>
                <w:sz w:val="22"/>
                <w:szCs w:val="22"/>
                <w:lang w:val="fr-FR"/>
              </w:rPr>
              <w:t> </w:t>
            </w:r>
          </w:p>
        </w:tc>
      </w:tr>
      <w:tr>
        <w:trPr>
          <w:trHeight w:val="270" w:hRule="atLeast"/>
        </w:trPr>
        <w:tc>
          <w:tcPr>
            <w:tcW w:w="8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2"/>
                <w:szCs w:val="22"/>
                <w:lang w:val="fr-FR"/>
              </w:rPr>
              <w:t> </w:t>
            </w:r>
          </w:p>
        </w:tc>
        <w:tc>
          <w:tcPr>
            <w:tcW w:w="83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CCFFCC"/>
            <w:tcMar>
              <w:left w:w="103" w:type="dxa"/>
            </w:tcMar>
            <w:vAlign w:val="bottom"/>
          </w:tcPr>
          <w:p>
            <w:pPr>
              <w:pStyle w:val="Normal"/>
              <w:widowControl/>
              <w:bidi w:val="0"/>
              <w:ind w:left="0" w:right="0" w:hanging="0"/>
              <w:jc w:val="left"/>
              <w:textAlignment w:val="auto"/>
              <w:rPr/>
            </w:pPr>
            <w:r>
              <w:rPr>
                <w:rFonts w:cs="Times New Roman CE" w:ascii="Times New Roman CE" w:hAnsi="Times New Roman CE"/>
                <w:b/>
                <w:bCs/>
                <w:sz w:val="22"/>
                <w:szCs w:val="22"/>
              </w:rPr>
              <w:t>7.2. Elaborări, transfer tehnologic</w:t>
            </w:r>
          </w:p>
        </w:tc>
      </w:tr>
      <w:tr>
        <w:trPr>
          <w:trHeight w:val="270" w:hRule="atLeast"/>
        </w:trPr>
        <w:tc>
          <w:tcPr>
            <w:tcW w:w="8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2"/>
                <w:szCs w:val="22"/>
              </w:rPr>
              <w:t>7.2.1.</w:t>
            </w:r>
          </w:p>
        </w:tc>
        <w:tc>
          <w:tcPr>
            <w:tcW w:w="74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sz w:val="22"/>
                <w:szCs w:val="22"/>
                <w:lang w:val="en-US"/>
              </w:rPr>
              <w:t>Produse, material semincer, echipamente asimilate în fabricare de serie</w:t>
            </w:r>
          </w:p>
        </w:tc>
        <w:tc>
          <w:tcPr>
            <w:tcW w:w="9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en-US"/>
              </w:rPr>
            </w:pPr>
            <w:r>
              <w:rPr>
                <w:sz w:val="22"/>
                <w:szCs w:val="22"/>
                <w:lang w:val="en-US"/>
              </w:rPr>
              <w:t> </w:t>
            </w:r>
          </w:p>
        </w:tc>
      </w:tr>
      <w:tr>
        <w:trPr>
          <w:trHeight w:val="525" w:hRule="atLeast"/>
        </w:trPr>
        <w:tc>
          <w:tcPr>
            <w:tcW w:w="8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2"/>
                <w:szCs w:val="22"/>
              </w:rPr>
              <w:t>7.2.2.</w:t>
            </w:r>
          </w:p>
        </w:tc>
        <w:tc>
          <w:tcPr>
            <w:tcW w:w="74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sz w:val="22"/>
                <w:szCs w:val="22"/>
                <w:lang w:val="fr-FR"/>
              </w:rPr>
              <w:t>Tehnologii, secven</w:t>
            </w:r>
            <w:r>
              <w:rPr>
                <w:rFonts w:cs="Times New Roman CE" w:ascii="Times New Roman CE" w:hAnsi="Times New Roman CE"/>
                <w:sz w:val="22"/>
                <w:szCs w:val="22"/>
                <w:lang w:val="fr-FR"/>
              </w:rPr>
              <w:t>ţe tehnologice, produse noi şi seminţe de soiuri realizate şi valorificate la agenţi economici prin contracte cu un volum de finanţare &gt;100 mii lei</w:t>
            </w:r>
          </w:p>
        </w:tc>
        <w:tc>
          <w:tcPr>
            <w:tcW w:w="9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rFonts w:ascii="Times New Roman" w:hAnsi="Times New Roman"/>
                <w:sz w:val="22"/>
                <w:szCs w:val="22"/>
              </w:rPr>
            </w:pPr>
            <w:r>
              <w:rPr>
                <w:sz w:val="22"/>
                <w:szCs w:val="22"/>
              </w:rPr>
            </w:r>
          </w:p>
        </w:tc>
      </w:tr>
      <w:tr>
        <w:trPr>
          <w:trHeight w:val="525" w:hRule="atLeast"/>
        </w:trPr>
        <w:tc>
          <w:tcPr>
            <w:tcW w:w="8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2"/>
                <w:szCs w:val="22"/>
              </w:rPr>
              <w:t>7.2.3.</w:t>
            </w:r>
          </w:p>
        </w:tc>
        <w:tc>
          <w:tcPr>
            <w:tcW w:w="74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2"/>
                <w:szCs w:val="22"/>
                <w:lang w:val="fr-FR"/>
              </w:rPr>
              <w:t>Tehnologii, secvenţe tehnologice, produse noi şi seminţe de soiuri realizate şi valorificate la agenţi economici prin contracte cu un volum de finanţare &lt;100 mii lei</w:t>
            </w:r>
          </w:p>
        </w:tc>
        <w:tc>
          <w:tcPr>
            <w:tcW w:w="9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fr-FR"/>
              </w:rPr>
            </w:pPr>
            <w:r>
              <w:rPr>
                <w:sz w:val="22"/>
                <w:szCs w:val="22"/>
                <w:lang w:val="fr-FR"/>
              </w:rPr>
              <w:t> </w:t>
            </w:r>
          </w:p>
        </w:tc>
      </w:tr>
      <w:tr>
        <w:trPr>
          <w:trHeight w:val="270" w:hRule="atLeast"/>
        </w:trPr>
        <w:tc>
          <w:tcPr>
            <w:tcW w:w="8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2"/>
                <w:szCs w:val="22"/>
              </w:rPr>
              <w:t>7.2.4.</w:t>
            </w:r>
          </w:p>
        </w:tc>
        <w:tc>
          <w:tcPr>
            <w:tcW w:w="74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2"/>
                <w:szCs w:val="22"/>
                <w:lang w:val="fr-FR"/>
              </w:rPr>
              <w:t>Produse noi valorificate la agenţi economici prin colaborare sau contracte de royalty</w:t>
            </w:r>
          </w:p>
        </w:tc>
        <w:tc>
          <w:tcPr>
            <w:tcW w:w="9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fr-FR"/>
              </w:rPr>
            </w:pPr>
            <w:r>
              <w:rPr>
                <w:sz w:val="22"/>
                <w:szCs w:val="22"/>
                <w:lang w:val="fr-FR"/>
              </w:rPr>
              <w:t> </w:t>
            </w:r>
          </w:p>
        </w:tc>
      </w:tr>
      <w:tr>
        <w:trPr>
          <w:trHeight w:val="270" w:hRule="atLeast"/>
        </w:trPr>
        <w:tc>
          <w:tcPr>
            <w:tcW w:w="8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2"/>
                <w:szCs w:val="22"/>
              </w:rPr>
              <w:t>7.2.5.</w:t>
            </w:r>
          </w:p>
        </w:tc>
        <w:tc>
          <w:tcPr>
            <w:tcW w:w="74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pPr>
            <w:r>
              <w:rPr>
                <w:rFonts w:cs="Times New Roman CE" w:ascii="Times New Roman CE" w:hAnsi="Times New Roman CE"/>
                <w:sz w:val="22"/>
                <w:szCs w:val="22"/>
              </w:rPr>
              <w:t xml:space="preserve">Softul elaborat şi implementat </w:t>
            </w:r>
          </w:p>
        </w:tc>
        <w:tc>
          <w:tcPr>
            <w:tcW w:w="9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ro-RO"/>
              </w:rPr>
            </w:pPr>
            <w:r>
              <w:rPr>
                <w:sz w:val="22"/>
                <w:szCs w:val="22"/>
                <w:lang w:val="ro-RO"/>
              </w:rPr>
              <w:t>2</w:t>
            </w:r>
          </w:p>
        </w:tc>
      </w:tr>
      <w:tr>
        <w:trPr>
          <w:trHeight w:val="330" w:hRule="atLeast"/>
        </w:trPr>
        <w:tc>
          <w:tcPr>
            <w:tcW w:w="8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2"/>
                <w:szCs w:val="22"/>
              </w:rPr>
              <w:t>7.2.6.</w:t>
            </w:r>
          </w:p>
        </w:tc>
        <w:tc>
          <w:tcPr>
            <w:tcW w:w="74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2"/>
                <w:szCs w:val="22"/>
                <w:lang w:val="fr-FR"/>
              </w:rPr>
              <w:t>Mostre de maşini, echipamente,dispozitive funcţionale elaborate în perioada evaluată</w:t>
            </w:r>
          </w:p>
        </w:tc>
        <w:tc>
          <w:tcPr>
            <w:tcW w:w="9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fr-FR"/>
              </w:rPr>
            </w:pPr>
            <w:r>
              <w:rPr>
                <w:sz w:val="22"/>
                <w:szCs w:val="22"/>
                <w:lang w:val="fr-FR"/>
              </w:rPr>
              <w:t> </w:t>
            </w:r>
          </w:p>
        </w:tc>
      </w:tr>
      <w:tr>
        <w:trPr>
          <w:trHeight w:val="270" w:hRule="atLeast"/>
        </w:trPr>
        <w:tc>
          <w:tcPr>
            <w:tcW w:w="8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sz w:val="22"/>
                <w:szCs w:val="22"/>
              </w:rPr>
              <w:t>7.2.7.</w:t>
            </w:r>
          </w:p>
        </w:tc>
        <w:tc>
          <w:tcPr>
            <w:tcW w:w="74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pPr>
            <w:r>
              <w:rPr>
                <w:rFonts w:cs="Times New Roman CE" w:ascii="Times New Roman CE" w:hAnsi="Times New Roman CE"/>
                <w:sz w:val="22"/>
                <w:szCs w:val="22"/>
              </w:rPr>
              <w:t>Atlase şi hărţi editate</w:t>
            </w:r>
          </w:p>
        </w:tc>
        <w:tc>
          <w:tcPr>
            <w:tcW w:w="9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pPr>
            <w:r>
              <w:rPr>
                <w:sz w:val="22"/>
                <w:szCs w:val="22"/>
              </w:rPr>
              <w:t> </w:t>
            </w:r>
          </w:p>
        </w:tc>
      </w:tr>
      <w:tr>
        <w:trPr>
          <w:trHeight w:val="270" w:hRule="atLeast"/>
        </w:trPr>
        <w:tc>
          <w:tcPr>
            <w:tcW w:w="8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sz w:val="22"/>
                <w:szCs w:val="22"/>
              </w:rPr>
              <w:t>7.2.8.</w:t>
            </w:r>
          </w:p>
        </w:tc>
        <w:tc>
          <w:tcPr>
            <w:tcW w:w="74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pPr>
            <w:r>
              <w:rPr>
                <w:sz w:val="22"/>
                <w:szCs w:val="22"/>
              </w:rPr>
              <w:t>Materiale noi documentate</w:t>
            </w:r>
          </w:p>
        </w:tc>
        <w:tc>
          <w:tcPr>
            <w:tcW w:w="9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pPr>
            <w:r>
              <w:rPr>
                <w:sz w:val="22"/>
                <w:szCs w:val="22"/>
              </w:rPr>
              <w:t> </w:t>
            </w:r>
          </w:p>
        </w:tc>
      </w:tr>
      <w:tr>
        <w:trPr>
          <w:trHeight w:val="270" w:hRule="atLeast"/>
        </w:trPr>
        <w:tc>
          <w:tcPr>
            <w:tcW w:w="8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sz w:val="22"/>
                <w:szCs w:val="22"/>
              </w:rPr>
              <w:t>7.2.9.</w:t>
            </w:r>
          </w:p>
        </w:tc>
        <w:tc>
          <w:tcPr>
            <w:tcW w:w="74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pPr>
            <w:r>
              <w:rPr>
                <w:rFonts w:cs="Times New Roman CE" w:ascii="Times New Roman CE" w:hAnsi="Times New Roman CE"/>
                <w:sz w:val="22"/>
                <w:szCs w:val="22"/>
              </w:rPr>
              <w:t>Substanţe noi documentate</w:t>
            </w:r>
          </w:p>
        </w:tc>
        <w:tc>
          <w:tcPr>
            <w:tcW w:w="9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pPr>
            <w:r>
              <w:rPr>
                <w:sz w:val="22"/>
                <w:szCs w:val="22"/>
              </w:rPr>
              <w:t> </w:t>
            </w:r>
          </w:p>
        </w:tc>
      </w:tr>
      <w:tr>
        <w:trPr>
          <w:trHeight w:val="270" w:hRule="atLeast"/>
        </w:trPr>
        <w:tc>
          <w:tcPr>
            <w:tcW w:w="8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sz w:val="22"/>
                <w:szCs w:val="22"/>
              </w:rPr>
              <w:t>7.2.10.</w:t>
            </w:r>
          </w:p>
        </w:tc>
        <w:tc>
          <w:tcPr>
            <w:tcW w:w="74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pPr>
            <w:r>
              <w:rPr>
                <w:sz w:val="22"/>
                <w:szCs w:val="22"/>
              </w:rPr>
              <w:t>Tehnologii noi documentate</w:t>
            </w:r>
          </w:p>
        </w:tc>
        <w:tc>
          <w:tcPr>
            <w:tcW w:w="9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pPr>
            <w:r>
              <w:rPr>
                <w:sz w:val="22"/>
                <w:szCs w:val="22"/>
              </w:rPr>
              <w:t> </w:t>
            </w:r>
          </w:p>
        </w:tc>
      </w:tr>
      <w:tr>
        <w:trPr>
          <w:trHeight w:val="270" w:hRule="atLeast"/>
        </w:trPr>
        <w:tc>
          <w:tcPr>
            <w:tcW w:w="8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sz w:val="22"/>
                <w:szCs w:val="22"/>
              </w:rPr>
              <w:t>7.2.11.</w:t>
            </w:r>
          </w:p>
        </w:tc>
        <w:tc>
          <w:tcPr>
            <w:tcW w:w="74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pPr>
            <w:r>
              <w:rPr>
                <w:sz w:val="22"/>
                <w:szCs w:val="22"/>
              </w:rPr>
              <w:t>Metode noi documentate</w:t>
            </w:r>
          </w:p>
        </w:tc>
        <w:tc>
          <w:tcPr>
            <w:tcW w:w="9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pPr>
            <w:r>
              <w:rPr>
                <w:sz w:val="22"/>
                <w:szCs w:val="22"/>
              </w:rPr>
              <w:t>1</w:t>
            </w:r>
          </w:p>
        </w:tc>
      </w:tr>
      <w:tr>
        <w:trPr>
          <w:trHeight w:val="270" w:hRule="atLeast"/>
        </w:trPr>
        <w:tc>
          <w:tcPr>
            <w:tcW w:w="8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sz w:val="22"/>
                <w:szCs w:val="22"/>
              </w:rPr>
              <w:t>7.2.12.</w:t>
            </w:r>
          </w:p>
        </w:tc>
        <w:tc>
          <w:tcPr>
            <w:tcW w:w="74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pPr>
            <w:r>
              <w:rPr>
                <w:sz w:val="22"/>
                <w:szCs w:val="22"/>
              </w:rPr>
              <w:t>Procedee noi documentate</w:t>
            </w:r>
          </w:p>
        </w:tc>
        <w:tc>
          <w:tcPr>
            <w:tcW w:w="9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pPr>
            <w:r>
              <w:rPr>
                <w:sz w:val="22"/>
                <w:szCs w:val="22"/>
              </w:rPr>
              <w:t> </w:t>
            </w:r>
          </w:p>
        </w:tc>
      </w:tr>
      <w:tr>
        <w:trPr>
          <w:trHeight w:val="270" w:hRule="atLeast"/>
        </w:trPr>
        <w:tc>
          <w:tcPr>
            <w:tcW w:w="8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sz w:val="22"/>
                <w:szCs w:val="22"/>
              </w:rPr>
              <w:t>7.2.13.</w:t>
            </w:r>
          </w:p>
        </w:tc>
        <w:tc>
          <w:tcPr>
            <w:tcW w:w="74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pPr>
            <w:r>
              <w:rPr>
                <w:sz w:val="22"/>
                <w:szCs w:val="22"/>
              </w:rPr>
              <w:t>Linii create</w:t>
            </w:r>
          </w:p>
        </w:tc>
        <w:tc>
          <w:tcPr>
            <w:tcW w:w="9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pPr>
            <w:r>
              <w:rPr>
                <w:sz w:val="22"/>
                <w:szCs w:val="22"/>
              </w:rPr>
              <w:t> </w:t>
            </w:r>
          </w:p>
        </w:tc>
      </w:tr>
      <w:tr>
        <w:trPr>
          <w:trHeight w:val="270" w:hRule="atLeast"/>
        </w:trPr>
        <w:tc>
          <w:tcPr>
            <w:tcW w:w="8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sz w:val="22"/>
                <w:szCs w:val="22"/>
              </w:rPr>
              <w:t>7.2.14.</w:t>
            </w:r>
          </w:p>
        </w:tc>
        <w:tc>
          <w:tcPr>
            <w:tcW w:w="74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pPr>
            <w:r>
              <w:rPr>
                <w:sz w:val="22"/>
                <w:szCs w:val="22"/>
              </w:rPr>
              <w:t>Hibrizi creati</w:t>
            </w:r>
          </w:p>
        </w:tc>
        <w:tc>
          <w:tcPr>
            <w:tcW w:w="9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pPr>
            <w:r>
              <w:rPr>
                <w:sz w:val="22"/>
                <w:szCs w:val="22"/>
              </w:rPr>
              <w:t> </w:t>
            </w:r>
          </w:p>
        </w:tc>
      </w:tr>
      <w:tr>
        <w:trPr>
          <w:trHeight w:val="270" w:hRule="atLeast"/>
        </w:trPr>
        <w:tc>
          <w:tcPr>
            <w:tcW w:w="8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sz w:val="22"/>
                <w:szCs w:val="22"/>
              </w:rPr>
              <w:t>7.2.15.</w:t>
            </w:r>
          </w:p>
        </w:tc>
        <w:tc>
          <w:tcPr>
            <w:tcW w:w="74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pPr>
            <w:r>
              <w:rPr>
                <w:sz w:val="22"/>
                <w:szCs w:val="22"/>
              </w:rPr>
              <w:t>Soiuri create</w:t>
            </w:r>
          </w:p>
        </w:tc>
        <w:tc>
          <w:tcPr>
            <w:tcW w:w="9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pPr>
            <w:r>
              <w:rPr>
                <w:sz w:val="22"/>
                <w:szCs w:val="22"/>
              </w:rPr>
              <w:t> </w:t>
            </w:r>
          </w:p>
        </w:tc>
      </w:tr>
      <w:tr>
        <w:trPr>
          <w:trHeight w:val="270" w:hRule="atLeast"/>
        </w:trPr>
        <w:tc>
          <w:tcPr>
            <w:tcW w:w="8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sz w:val="22"/>
                <w:szCs w:val="22"/>
              </w:rPr>
              <w:t>7.2.16.</w:t>
            </w:r>
          </w:p>
        </w:tc>
        <w:tc>
          <w:tcPr>
            <w:tcW w:w="74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pPr>
            <w:r>
              <w:rPr>
                <w:sz w:val="22"/>
                <w:szCs w:val="22"/>
              </w:rPr>
              <w:t>Rase create</w:t>
            </w:r>
          </w:p>
        </w:tc>
        <w:tc>
          <w:tcPr>
            <w:tcW w:w="9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pPr>
            <w:r>
              <w:rPr>
                <w:sz w:val="22"/>
                <w:szCs w:val="22"/>
              </w:rPr>
              <w:t> </w:t>
            </w:r>
          </w:p>
        </w:tc>
      </w:tr>
      <w:tr>
        <w:trPr>
          <w:trHeight w:val="270" w:hRule="atLeast"/>
        </w:trPr>
        <w:tc>
          <w:tcPr>
            <w:tcW w:w="8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sz w:val="22"/>
                <w:szCs w:val="22"/>
              </w:rPr>
              <w:t>7.2.17.</w:t>
            </w:r>
          </w:p>
        </w:tc>
        <w:tc>
          <w:tcPr>
            <w:tcW w:w="74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pPr>
            <w:r>
              <w:rPr>
                <w:rFonts w:cs="Times New Roman CE" w:ascii="Times New Roman CE" w:hAnsi="Times New Roman CE"/>
                <w:sz w:val="22"/>
                <w:szCs w:val="22"/>
              </w:rPr>
              <w:t>Suşe create</w:t>
            </w:r>
          </w:p>
        </w:tc>
        <w:tc>
          <w:tcPr>
            <w:tcW w:w="9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pPr>
            <w:r>
              <w:rPr>
                <w:sz w:val="22"/>
                <w:szCs w:val="22"/>
              </w:rPr>
              <w:t> </w:t>
            </w:r>
          </w:p>
        </w:tc>
      </w:tr>
      <w:tr>
        <w:trPr>
          <w:trHeight w:val="270" w:hRule="atLeast"/>
        </w:trPr>
        <w:tc>
          <w:tcPr>
            <w:tcW w:w="8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sz w:val="22"/>
                <w:szCs w:val="22"/>
              </w:rPr>
              <w:t>7.2.18.</w:t>
            </w:r>
          </w:p>
        </w:tc>
        <w:tc>
          <w:tcPr>
            <w:tcW w:w="74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2"/>
                <w:szCs w:val="22"/>
                <w:lang w:val="fr-FR"/>
              </w:rPr>
              <w:t>Linii, hibrizi, soiuri, rase, suşe omologate si înscrise în registru</w:t>
            </w:r>
          </w:p>
        </w:tc>
        <w:tc>
          <w:tcPr>
            <w:tcW w:w="9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fr-FR"/>
              </w:rPr>
            </w:pPr>
            <w:r>
              <w:rPr>
                <w:sz w:val="22"/>
                <w:szCs w:val="22"/>
                <w:lang w:val="fr-FR"/>
              </w:rPr>
              <w:t> </w:t>
            </w:r>
          </w:p>
        </w:tc>
      </w:tr>
      <w:tr>
        <w:trPr>
          <w:trHeight w:val="270" w:hRule="atLeast"/>
        </w:trPr>
        <w:tc>
          <w:tcPr>
            <w:tcW w:w="8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2"/>
                <w:szCs w:val="22"/>
              </w:rPr>
              <w:t>7.2.19.</w:t>
            </w:r>
          </w:p>
        </w:tc>
        <w:tc>
          <w:tcPr>
            <w:tcW w:w="74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pPr>
            <w:r>
              <w:rPr>
                <w:sz w:val="22"/>
                <w:szCs w:val="22"/>
              </w:rPr>
              <w:t>Alte rezultate (de indicat)</w:t>
            </w:r>
          </w:p>
        </w:tc>
        <w:tc>
          <w:tcPr>
            <w:tcW w:w="9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pPr>
            <w:r>
              <w:rPr>
                <w:sz w:val="22"/>
                <w:szCs w:val="22"/>
              </w:rPr>
              <w:t> </w:t>
            </w:r>
          </w:p>
        </w:tc>
      </w:tr>
      <w:tr>
        <w:trPr>
          <w:trHeight w:val="270" w:hRule="atLeast"/>
        </w:trPr>
        <w:tc>
          <w:tcPr>
            <w:tcW w:w="8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2"/>
                <w:szCs w:val="22"/>
              </w:rPr>
              <w:t> </w:t>
            </w:r>
          </w:p>
        </w:tc>
        <w:tc>
          <w:tcPr>
            <w:tcW w:w="83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CCFFCC"/>
            <w:tcMar>
              <w:left w:w="103" w:type="dxa"/>
            </w:tcMar>
            <w:vAlign w:val="bottom"/>
          </w:tcPr>
          <w:p>
            <w:pPr>
              <w:pStyle w:val="Normal"/>
              <w:widowControl/>
              <w:bidi w:val="0"/>
              <w:ind w:left="0" w:right="0" w:hanging="0"/>
              <w:jc w:val="left"/>
              <w:textAlignment w:val="auto"/>
              <w:rPr>
                <w:lang w:val="en-US"/>
              </w:rPr>
            </w:pPr>
            <w:r>
              <w:rPr>
                <w:b/>
                <w:bCs/>
                <w:sz w:val="22"/>
                <w:szCs w:val="22"/>
                <w:lang w:val="en-US"/>
              </w:rPr>
              <w:t>7.3. Asis</w:t>
            </w:r>
            <w:r>
              <w:rPr>
                <w:rFonts w:cs="Times New Roman CE" w:ascii="Times New Roman CE" w:hAnsi="Times New Roman CE"/>
                <w:b/>
                <w:bCs/>
                <w:sz w:val="22"/>
                <w:szCs w:val="22"/>
                <w:lang w:val="en-US"/>
              </w:rPr>
              <w:t>tenţă şi servicii ştiinţifice prestate</w:t>
            </w:r>
          </w:p>
        </w:tc>
      </w:tr>
      <w:tr>
        <w:trPr>
          <w:trHeight w:val="270" w:hRule="atLeast"/>
        </w:trPr>
        <w:tc>
          <w:tcPr>
            <w:tcW w:w="8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2"/>
                <w:szCs w:val="22"/>
              </w:rPr>
              <w:t>7.3.1.</w:t>
            </w:r>
          </w:p>
        </w:tc>
        <w:tc>
          <w:tcPr>
            <w:tcW w:w="74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pPr>
            <w:r>
              <w:rPr>
                <w:rFonts w:cs="Times New Roman CE" w:ascii="Times New Roman CE" w:hAnsi="Times New Roman CE"/>
                <w:sz w:val="22"/>
                <w:szCs w:val="22"/>
              </w:rPr>
              <w:t>Recomandări ştiinţifico-practice documentate</w:t>
            </w:r>
          </w:p>
        </w:tc>
        <w:tc>
          <w:tcPr>
            <w:tcW w:w="9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pPr>
            <w:r>
              <w:rPr>
                <w:sz w:val="22"/>
                <w:szCs w:val="22"/>
              </w:rPr>
              <w:t> </w:t>
            </w:r>
          </w:p>
        </w:tc>
      </w:tr>
      <w:tr>
        <w:trPr>
          <w:trHeight w:val="270" w:hRule="atLeast"/>
        </w:trPr>
        <w:tc>
          <w:tcPr>
            <w:tcW w:w="8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2"/>
                <w:szCs w:val="22"/>
              </w:rPr>
              <w:t>7.3.2.</w:t>
            </w:r>
          </w:p>
        </w:tc>
        <w:tc>
          <w:tcPr>
            <w:tcW w:w="74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22"/>
                <w:szCs w:val="22"/>
                <w:lang w:val="en-US"/>
              </w:rPr>
              <w:t>Prestări de servicii în laboratoare acreditate</w:t>
            </w:r>
          </w:p>
        </w:tc>
        <w:tc>
          <w:tcPr>
            <w:tcW w:w="9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en-US"/>
              </w:rPr>
            </w:pPr>
            <w:r>
              <w:rPr>
                <w:sz w:val="22"/>
                <w:szCs w:val="22"/>
                <w:lang w:val="en-US"/>
              </w:rPr>
              <w:t> </w:t>
            </w:r>
          </w:p>
        </w:tc>
      </w:tr>
      <w:tr>
        <w:trPr>
          <w:trHeight w:val="270" w:hRule="atLeast"/>
        </w:trPr>
        <w:tc>
          <w:tcPr>
            <w:tcW w:w="80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2"/>
                <w:szCs w:val="22"/>
              </w:rPr>
              <w:t>7.3.3.</w:t>
            </w:r>
          </w:p>
        </w:tc>
        <w:tc>
          <w:tcPr>
            <w:tcW w:w="741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22"/>
                <w:szCs w:val="22"/>
                <w:lang w:val="en-US"/>
              </w:rPr>
              <w:t>Prestări de servicii în laboratoare neacreditate</w:t>
            </w:r>
          </w:p>
        </w:tc>
        <w:tc>
          <w:tcPr>
            <w:tcW w:w="90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pPr>
            <w:r>
              <w:rPr>
                <w:sz w:val="22"/>
                <w:szCs w:val="22"/>
              </w:rPr>
              <w:t>1</w:t>
            </w:r>
          </w:p>
        </w:tc>
      </w:tr>
    </w:tbl>
    <w:p>
      <w:pPr>
        <w:pStyle w:val="Normal"/>
        <w:widowControl/>
        <w:bidi w:val="0"/>
        <w:ind w:left="0" w:right="0" w:hanging="0"/>
        <w:jc w:val="left"/>
        <w:textAlignment w:val="auto"/>
        <w:rPr>
          <w:rFonts w:ascii="Times New Roman" w:hAnsi="Times New Roman"/>
          <w:lang w:val="en-US"/>
        </w:rPr>
      </w:pPr>
      <w:r>
        <w:rPr>
          <w:lang w:val="en-US"/>
        </w:rPr>
      </w:r>
    </w:p>
    <w:p>
      <w:pPr>
        <w:pStyle w:val="Normal"/>
        <w:widowControl/>
        <w:bidi w:val="0"/>
        <w:ind w:left="0" w:right="0" w:hanging="0"/>
        <w:jc w:val="left"/>
        <w:textAlignment w:val="auto"/>
        <w:rPr>
          <w:rFonts w:ascii="Times New Roman" w:hAnsi="Times New Roman"/>
          <w:lang w:val="en-US"/>
        </w:rPr>
      </w:pPr>
      <w:r>
        <w:rPr>
          <w:lang w:val="en-US"/>
        </w:rPr>
      </w:r>
    </w:p>
    <w:p>
      <w:pPr>
        <w:pStyle w:val="Normal"/>
        <w:widowControl/>
        <w:bidi w:val="0"/>
        <w:ind w:left="0" w:right="0" w:hanging="0"/>
        <w:jc w:val="left"/>
        <w:textAlignment w:val="auto"/>
        <w:rPr>
          <w:rFonts w:ascii="Times New Roman" w:hAnsi="Times New Roman"/>
          <w:lang w:val="en-US"/>
        </w:rPr>
      </w:pPr>
      <w:r>
        <w:rPr>
          <w:lang w:val="en-US"/>
        </w:rPr>
      </w:r>
    </w:p>
    <w:p>
      <w:pPr>
        <w:pStyle w:val="Normal"/>
        <w:widowControl/>
        <w:bidi w:val="0"/>
        <w:ind w:left="0" w:right="0" w:hanging="0"/>
        <w:jc w:val="left"/>
        <w:textAlignment w:val="auto"/>
        <w:rPr>
          <w:rFonts w:ascii="Times New Roman" w:hAnsi="Times New Roman"/>
          <w:lang w:val="en-US"/>
        </w:rPr>
      </w:pPr>
      <w:r>
        <w:rPr>
          <w:lang w:val="en-US"/>
        </w:rPr>
      </w:r>
    </w:p>
    <w:p>
      <w:pPr>
        <w:pStyle w:val="Normal"/>
        <w:widowControl/>
        <w:bidi w:val="0"/>
        <w:ind w:left="0" w:right="0" w:hanging="0"/>
        <w:jc w:val="left"/>
        <w:textAlignment w:val="auto"/>
        <w:rPr>
          <w:rFonts w:ascii="Times New Roman" w:hAnsi="Times New Roman"/>
          <w:lang w:val="en-US"/>
        </w:rPr>
      </w:pPr>
      <w:r>
        <w:rPr>
          <w:lang w:val="en-US"/>
        </w:rPr>
      </w:r>
    </w:p>
    <w:p>
      <w:pPr>
        <w:pStyle w:val="Normal"/>
        <w:widowControl/>
        <w:bidi w:val="0"/>
        <w:ind w:left="0" w:right="0" w:hanging="0"/>
        <w:jc w:val="left"/>
        <w:textAlignment w:val="auto"/>
        <w:rPr>
          <w:rFonts w:ascii="Times New Roman" w:hAnsi="Times New Roman"/>
          <w:lang w:val="en-US"/>
        </w:rPr>
      </w:pPr>
      <w:r>
        <w:rPr>
          <w:lang w:val="en-US"/>
        </w:rPr>
      </w:r>
    </w:p>
    <w:p>
      <w:pPr>
        <w:pStyle w:val="Normal"/>
        <w:widowControl/>
        <w:bidi w:val="0"/>
        <w:ind w:left="0" w:right="0" w:hanging="0"/>
        <w:jc w:val="left"/>
        <w:textAlignment w:val="auto"/>
        <w:rPr>
          <w:rFonts w:ascii="Times New Roman" w:hAnsi="Times New Roman"/>
          <w:lang w:val="en-US"/>
        </w:rPr>
      </w:pPr>
      <w:r>
        <w:rPr>
          <w:lang w:val="en-US"/>
        </w:rPr>
      </w:r>
    </w:p>
    <w:p>
      <w:pPr>
        <w:pStyle w:val="Normal"/>
        <w:widowControl/>
        <w:bidi w:val="0"/>
        <w:ind w:left="0" w:right="0" w:hanging="0"/>
        <w:jc w:val="left"/>
        <w:textAlignment w:val="auto"/>
        <w:rPr>
          <w:rFonts w:ascii="Times New Roman" w:hAnsi="Times New Roman"/>
          <w:lang w:val="en-US"/>
        </w:rPr>
      </w:pPr>
      <w:r>
        <w:rPr>
          <w:lang w:val="en-US"/>
        </w:rPr>
      </w:r>
    </w:p>
    <w:p>
      <w:pPr>
        <w:pStyle w:val="Normal"/>
        <w:widowControl/>
        <w:bidi w:val="0"/>
        <w:ind w:left="0" w:right="0" w:hanging="0"/>
        <w:jc w:val="left"/>
        <w:textAlignment w:val="auto"/>
        <w:rPr>
          <w:rFonts w:ascii="Times New Roman" w:hAnsi="Times New Roman"/>
          <w:lang w:val="en-US"/>
        </w:rPr>
      </w:pPr>
      <w:r>
        <w:rPr>
          <w:lang w:val="en-US"/>
        </w:rPr>
      </w:r>
    </w:p>
    <w:p>
      <w:pPr>
        <w:pStyle w:val="Normal"/>
        <w:widowControl/>
        <w:tabs>
          <w:tab w:val="left" w:pos="8647" w:leader="none"/>
        </w:tabs>
        <w:bidi w:val="0"/>
        <w:ind w:left="0" w:right="0" w:hanging="0"/>
        <w:jc w:val="left"/>
        <w:textAlignment w:val="auto"/>
        <w:rPr>
          <w:rFonts w:ascii="Times New Roman" w:hAnsi="Times New Roman"/>
          <w:lang w:val="en-US"/>
        </w:rPr>
      </w:pPr>
      <w:r>
        <w:rPr>
          <w:lang w:val="en-US"/>
        </w:rPr>
      </w:r>
    </w:p>
    <w:tbl>
      <w:tblPr>
        <w:tblW w:w="8741" w:type="dxa"/>
        <w:jc w:val="left"/>
        <w:tblInd w:w="-56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3" w:type="dxa"/>
          <w:bottom w:w="0" w:type="dxa"/>
          <w:right w:w="108" w:type="dxa"/>
        </w:tblCellMar>
      </w:tblPr>
      <w:tblGrid>
        <w:gridCol w:w="820"/>
        <w:gridCol w:w="7000"/>
        <w:gridCol w:w="921"/>
      </w:tblGrid>
      <w:tr>
        <w:trPr>
          <w:trHeight w:val="270" w:hRule="atLeast"/>
        </w:trPr>
        <w:tc>
          <w:tcPr>
            <w:tcW w:w="782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bookmarkStart w:id="429" w:name="RANGE!A1:C30"/>
            <w:bookmarkEnd w:id="429"/>
            <w:r>
              <w:rPr>
                <w:rFonts w:cs="Times New Roman CE" w:ascii="Times New Roman CE" w:hAnsi="Times New Roman CE"/>
                <w:b/>
                <w:bCs/>
                <w:sz w:val="22"/>
                <w:szCs w:val="22"/>
              </w:rPr>
              <w:t>8. RELEVANŢA SOCIALĂ</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pPr>
            <w:r>
              <w:rPr>
                <w:b/>
                <w:bCs/>
                <w:sz w:val="22"/>
                <w:szCs w:val="22"/>
              </w:rPr>
              <w:t>201</w:t>
            </w:r>
            <w:r>
              <w:rPr>
                <w:b/>
                <w:bCs/>
                <w:sz w:val="22"/>
                <w:szCs w:val="22"/>
                <w:lang w:val="ro-RO"/>
              </w:rPr>
              <w:t>6</w:t>
            </w:r>
          </w:p>
        </w:tc>
      </w:tr>
      <w:tr>
        <w:trPr>
          <w:trHeight w:val="270" w:hRule="atLeast"/>
        </w:trPr>
        <w:tc>
          <w:tcPr>
            <w:tcW w:w="8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pPr>
            <w:r>
              <w:rPr>
                <w:sz w:val="22"/>
                <w:szCs w:val="22"/>
              </w:rPr>
              <w:t> </w:t>
            </w:r>
          </w:p>
        </w:tc>
        <w:tc>
          <w:tcPr>
            <w:tcW w:w="792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CCFFCC"/>
            <w:tcMar>
              <w:left w:w="103" w:type="dxa"/>
            </w:tcMar>
            <w:vAlign w:val="bottom"/>
          </w:tcPr>
          <w:p>
            <w:pPr>
              <w:pStyle w:val="Normal"/>
              <w:widowControl/>
              <w:bidi w:val="0"/>
              <w:ind w:left="0" w:right="0" w:hanging="0"/>
              <w:jc w:val="left"/>
              <w:textAlignment w:val="auto"/>
              <w:rPr>
                <w:lang w:val="fr-FR"/>
              </w:rPr>
            </w:pPr>
            <w:r>
              <w:rPr>
                <w:b/>
                <w:bCs/>
                <w:sz w:val="22"/>
                <w:szCs w:val="22"/>
                <w:lang w:val="fr-FR"/>
              </w:rPr>
              <w:t>8.1. T</w:t>
            </w:r>
            <w:r>
              <w:rPr>
                <w:rFonts w:cs="Times New Roman CE" w:ascii="Times New Roman CE" w:hAnsi="Times New Roman CE"/>
                <w:b/>
                <w:bCs/>
                <w:sz w:val="22"/>
                <w:szCs w:val="22"/>
                <w:lang w:val="fr-FR"/>
              </w:rPr>
              <w:t>ransfer de cunoştinţe şi activitate didactică</w:t>
            </w:r>
          </w:p>
        </w:tc>
      </w:tr>
      <w:tr>
        <w:trPr>
          <w:trHeight w:val="270" w:hRule="atLeast"/>
        </w:trPr>
        <w:tc>
          <w:tcPr>
            <w:tcW w:w="8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2"/>
                <w:szCs w:val="22"/>
              </w:rPr>
              <w:t>8.1.1.</w:t>
            </w:r>
          </w:p>
        </w:tc>
        <w:tc>
          <w:tcPr>
            <w:tcW w:w="70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pPr>
            <w:r>
              <w:rPr>
                <w:sz w:val="22"/>
                <w:szCs w:val="22"/>
              </w:rPr>
              <w:t>Articole în enciclopedii</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2"/>
                <w:szCs w:val="22"/>
              </w:rPr>
              <w:t> </w:t>
            </w:r>
          </w:p>
        </w:tc>
      </w:tr>
      <w:tr>
        <w:trPr>
          <w:trHeight w:val="270" w:hRule="atLeast"/>
        </w:trPr>
        <w:tc>
          <w:tcPr>
            <w:tcW w:w="8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2"/>
                <w:szCs w:val="22"/>
              </w:rPr>
              <w:t>8.1.2.</w:t>
            </w:r>
          </w:p>
        </w:tc>
        <w:tc>
          <w:tcPr>
            <w:tcW w:w="70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pPr>
            <w:r>
              <w:rPr>
                <w:rFonts w:cs="Times New Roman CE" w:ascii="Times New Roman CE" w:hAnsi="Times New Roman CE"/>
                <w:sz w:val="22"/>
                <w:szCs w:val="22"/>
              </w:rPr>
              <w:t>Dicţionare</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2"/>
                <w:szCs w:val="22"/>
              </w:rPr>
              <w:t> </w:t>
            </w:r>
          </w:p>
        </w:tc>
      </w:tr>
      <w:tr>
        <w:trPr>
          <w:trHeight w:val="270" w:hRule="atLeast"/>
        </w:trPr>
        <w:tc>
          <w:tcPr>
            <w:tcW w:w="8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2"/>
                <w:szCs w:val="22"/>
              </w:rPr>
              <w:t>8.1.3.</w:t>
            </w:r>
          </w:p>
        </w:tc>
        <w:tc>
          <w:tcPr>
            <w:tcW w:w="70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pPr>
            <w:r>
              <w:rPr>
                <w:rFonts w:cs="Times New Roman CE" w:ascii="Times New Roman CE" w:hAnsi="Times New Roman CE"/>
                <w:sz w:val="22"/>
                <w:szCs w:val="22"/>
              </w:rPr>
              <w:t>Manuale pentru învăţământ universitar</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rFonts w:ascii="Times New Roman" w:hAnsi="Times New Roman"/>
                <w:sz w:val="22"/>
                <w:szCs w:val="22"/>
              </w:rPr>
            </w:pPr>
            <w:r>
              <w:rPr>
                <w:sz w:val="22"/>
                <w:szCs w:val="22"/>
              </w:rPr>
            </w:r>
          </w:p>
        </w:tc>
      </w:tr>
      <w:tr>
        <w:trPr>
          <w:trHeight w:val="270" w:hRule="atLeast"/>
        </w:trPr>
        <w:tc>
          <w:tcPr>
            <w:tcW w:w="8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2"/>
                <w:szCs w:val="22"/>
              </w:rPr>
              <w:t>8.1.4.</w:t>
            </w:r>
          </w:p>
        </w:tc>
        <w:tc>
          <w:tcPr>
            <w:tcW w:w="70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pPr>
            <w:r>
              <w:rPr>
                <w:rFonts w:cs="Times New Roman CE" w:ascii="Times New Roman CE" w:hAnsi="Times New Roman CE"/>
                <w:sz w:val="22"/>
                <w:szCs w:val="22"/>
              </w:rPr>
              <w:t>Manuale pentru învăţământ preuniversitar</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rFonts w:ascii="Times New Roman" w:hAnsi="Times New Roman"/>
                <w:sz w:val="22"/>
                <w:szCs w:val="22"/>
              </w:rPr>
            </w:pPr>
            <w:r>
              <w:rPr>
                <w:sz w:val="22"/>
                <w:szCs w:val="22"/>
              </w:rPr>
            </w:r>
          </w:p>
        </w:tc>
      </w:tr>
      <w:tr>
        <w:trPr>
          <w:trHeight w:val="270" w:hRule="atLeast"/>
        </w:trPr>
        <w:tc>
          <w:tcPr>
            <w:tcW w:w="8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2"/>
                <w:szCs w:val="22"/>
              </w:rPr>
              <w:t>8.1.5.</w:t>
            </w:r>
          </w:p>
        </w:tc>
        <w:tc>
          <w:tcPr>
            <w:tcW w:w="70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2"/>
                <w:szCs w:val="22"/>
                <w:lang w:val="fr-FR"/>
              </w:rPr>
              <w:t>Capitole în manuale de învăţămînt universitar</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2"/>
                <w:szCs w:val="22"/>
                <w:lang w:val="fr-FR"/>
              </w:rPr>
              <w:t> </w:t>
            </w:r>
          </w:p>
        </w:tc>
      </w:tr>
      <w:tr>
        <w:trPr>
          <w:trHeight w:val="270" w:hRule="atLeast"/>
        </w:trPr>
        <w:tc>
          <w:tcPr>
            <w:tcW w:w="8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2"/>
                <w:szCs w:val="22"/>
              </w:rPr>
              <w:t>8.1.6.</w:t>
            </w:r>
          </w:p>
        </w:tc>
        <w:tc>
          <w:tcPr>
            <w:tcW w:w="70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2"/>
                <w:szCs w:val="22"/>
                <w:lang w:val="fr-FR"/>
              </w:rPr>
              <w:t>Capitole în manuale de învăţămînt preuniversitar</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2"/>
                <w:szCs w:val="22"/>
                <w:lang w:val="fr-FR"/>
              </w:rPr>
              <w:t> </w:t>
            </w:r>
          </w:p>
        </w:tc>
      </w:tr>
      <w:tr>
        <w:trPr>
          <w:trHeight w:val="270" w:hRule="atLeast"/>
        </w:trPr>
        <w:tc>
          <w:tcPr>
            <w:tcW w:w="8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2"/>
                <w:szCs w:val="22"/>
              </w:rPr>
              <w:t>8.1.7.</w:t>
            </w:r>
          </w:p>
        </w:tc>
        <w:tc>
          <w:tcPr>
            <w:tcW w:w="70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2"/>
                <w:szCs w:val="22"/>
                <w:lang w:val="fr-FR"/>
              </w:rPr>
              <w:t>Lucrări metodice, note de curs, compendiumuri</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ro-RO"/>
              </w:rPr>
            </w:pPr>
            <w:r>
              <w:rPr>
                <w:sz w:val="22"/>
                <w:szCs w:val="22"/>
                <w:lang w:val="ro-RO"/>
              </w:rPr>
              <w:t>6</w:t>
            </w:r>
          </w:p>
        </w:tc>
      </w:tr>
      <w:tr>
        <w:trPr>
          <w:trHeight w:val="270" w:hRule="atLeast"/>
        </w:trPr>
        <w:tc>
          <w:tcPr>
            <w:tcW w:w="8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2"/>
                <w:szCs w:val="22"/>
              </w:rPr>
              <w:t>8.1.8.</w:t>
            </w:r>
          </w:p>
        </w:tc>
        <w:tc>
          <w:tcPr>
            <w:tcW w:w="70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2"/>
                <w:szCs w:val="22"/>
                <w:lang w:val="fr-FR"/>
              </w:rPr>
              <w:t>Cursuri elaborate în anul de referinţă</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ro-RO"/>
              </w:rPr>
            </w:pPr>
            <w:r>
              <w:rPr>
                <w:sz w:val="22"/>
                <w:szCs w:val="22"/>
                <w:lang w:val="ro-RO"/>
              </w:rPr>
              <w:t>8</w:t>
            </w:r>
          </w:p>
        </w:tc>
      </w:tr>
      <w:tr>
        <w:trPr>
          <w:trHeight w:val="270" w:hRule="atLeast"/>
        </w:trPr>
        <w:tc>
          <w:tcPr>
            <w:tcW w:w="8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2"/>
                <w:szCs w:val="22"/>
              </w:rPr>
              <w:t>8.1.9.</w:t>
            </w:r>
          </w:p>
        </w:tc>
        <w:tc>
          <w:tcPr>
            <w:tcW w:w="70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2"/>
                <w:szCs w:val="22"/>
                <w:lang w:val="fr-FR"/>
              </w:rPr>
              <w:t>Cursuri ţinute în anul de referinţă</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2"/>
                <w:szCs w:val="22"/>
              </w:rPr>
              <w:t>6</w:t>
            </w:r>
            <w:r>
              <w:rPr>
                <w:sz w:val="22"/>
                <w:szCs w:val="22"/>
                <w:lang w:val="ro-RO"/>
              </w:rPr>
              <w:t>5</w:t>
            </w:r>
          </w:p>
        </w:tc>
      </w:tr>
      <w:tr>
        <w:trPr>
          <w:trHeight w:val="270" w:hRule="atLeast"/>
        </w:trPr>
        <w:tc>
          <w:tcPr>
            <w:tcW w:w="8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2"/>
                <w:szCs w:val="22"/>
              </w:rPr>
              <w:t>8.1.10.</w:t>
            </w:r>
          </w:p>
        </w:tc>
        <w:tc>
          <w:tcPr>
            <w:tcW w:w="70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22"/>
                <w:szCs w:val="22"/>
                <w:lang w:val="en-US"/>
              </w:rPr>
              <w:t>Conducător al persoanelor care au susţinut teze de licenţă şi masterat</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ro-RO"/>
              </w:rPr>
            </w:pPr>
            <w:r>
              <w:rPr>
                <w:sz w:val="22"/>
                <w:szCs w:val="22"/>
                <w:lang w:val="ro-RO"/>
              </w:rPr>
              <w:t>26</w:t>
            </w:r>
          </w:p>
        </w:tc>
      </w:tr>
      <w:tr>
        <w:trPr>
          <w:trHeight w:val="270" w:hRule="atLeast"/>
        </w:trPr>
        <w:tc>
          <w:tcPr>
            <w:tcW w:w="8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2"/>
                <w:szCs w:val="22"/>
              </w:rPr>
              <w:t>8.1.11.</w:t>
            </w:r>
          </w:p>
        </w:tc>
        <w:tc>
          <w:tcPr>
            <w:tcW w:w="70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22"/>
                <w:szCs w:val="22"/>
                <w:lang w:val="en-US"/>
              </w:rPr>
              <w:t>Conducător ştiinţific al persoanelor care au susţinut teza de doctor</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2"/>
                <w:szCs w:val="22"/>
                <w:lang w:val="en-US"/>
              </w:rPr>
              <w:t>4</w:t>
            </w:r>
          </w:p>
        </w:tc>
      </w:tr>
      <w:tr>
        <w:trPr>
          <w:trHeight w:val="270" w:hRule="atLeast"/>
        </w:trPr>
        <w:tc>
          <w:tcPr>
            <w:tcW w:w="8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2"/>
                <w:szCs w:val="22"/>
              </w:rPr>
              <w:t>8.1.12.</w:t>
            </w:r>
          </w:p>
        </w:tc>
        <w:tc>
          <w:tcPr>
            <w:tcW w:w="70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rFonts w:cs="Times New Roman CE" w:ascii="Times New Roman CE" w:hAnsi="Times New Roman CE"/>
                <w:sz w:val="22"/>
                <w:szCs w:val="22"/>
                <w:lang w:val="fr-FR"/>
              </w:rPr>
              <w:t>Consultant ştiinţific al persoanelor care au susţinut teza tezei de doctor</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2"/>
                <w:szCs w:val="22"/>
                <w:lang w:val="fr-FR"/>
              </w:rPr>
              <w:t> </w:t>
            </w:r>
            <w:r>
              <w:rPr>
                <w:sz w:val="22"/>
                <w:szCs w:val="22"/>
                <w:lang w:val="fr-FR"/>
              </w:rPr>
              <w:t>1</w:t>
            </w:r>
          </w:p>
        </w:tc>
      </w:tr>
      <w:tr>
        <w:trPr>
          <w:trHeight w:val="270" w:hRule="atLeast"/>
        </w:trPr>
        <w:tc>
          <w:tcPr>
            <w:tcW w:w="8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2"/>
                <w:szCs w:val="22"/>
              </w:rPr>
              <w:t>8.1.13.</w:t>
            </w:r>
          </w:p>
        </w:tc>
        <w:tc>
          <w:tcPr>
            <w:tcW w:w="70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rFonts w:cs="Times New Roman CE" w:ascii="Times New Roman CE" w:hAnsi="Times New Roman CE"/>
                <w:sz w:val="22"/>
                <w:szCs w:val="22"/>
                <w:lang w:val="fr-FR"/>
              </w:rPr>
              <w:t>Consultant ştiinţific al persoanelor care au susţinut teza de doctor habilitat</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2"/>
                <w:szCs w:val="22"/>
                <w:lang w:val="fr-FR"/>
              </w:rPr>
              <w:t> </w:t>
            </w:r>
          </w:p>
        </w:tc>
      </w:tr>
      <w:tr>
        <w:trPr>
          <w:trHeight w:val="270" w:hRule="atLeast"/>
        </w:trPr>
        <w:tc>
          <w:tcPr>
            <w:tcW w:w="8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2"/>
                <w:szCs w:val="22"/>
              </w:rPr>
              <w:t>8.1.14.</w:t>
            </w:r>
          </w:p>
        </w:tc>
        <w:tc>
          <w:tcPr>
            <w:tcW w:w="70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22"/>
                <w:szCs w:val="22"/>
                <w:lang w:val="en-US"/>
              </w:rPr>
              <w:t>Studenţi, masteranzi, care au efectut stagiere practica în cadrul organizaţiei</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ro-RO"/>
              </w:rPr>
            </w:pPr>
            <w:r>
              <w:rPr>
                <w:sz w:val="22"/>
                <w:szCs w:val="22"/>
                <w:lang w:val="ro-RO"/>
              </w:rPr>
              <w:t>13</w:t>
            </w:r>
          </w:p>
        </w:tc>
      </w:tr>
      <w:tr>
        <w:trPr>
          <w:trHeight w:val="270" w:hRule="atLeast"/>
        </w:trPr>
        <w:tc>
          <w:tcPr>
            <w:tcW w:w="8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pPr>
            <w:r>
              <w:rPr>
                <w:sz w:val="22"/>
                <w:szCs w:val="22"/>
              </w:rPr>
              <w:t> </w:t>
            </w:r>
          </w:p>
        </w:tc>
        <w:tc>
          <w:tcPr>
            <w:tcW w:w="792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CCFFCC"/>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b/>
                <w:bCs/>
                <w:sz w:val="22"/>
                <w:szCs w:val="22"/>
                <w:lang w:val="en-US"/>
              </w:rPr>
              <w:t>8.2. Participări în elaborarea actelor normative şi activităţi de consultanţă</w:t>
            </w:r>
          </w:p>
        </w:tc>
      </w:tr>
      <w:tr>
        <w:trPr>
          <w:trHeight w:val="270" w:hRule="atLeast"/>
        </w:trPr>
        <w:tc>
          <w:tcPr>
            <w:tcW w:w="8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2"/>
                <w:szCs w:val="22"/>
              </w:rPr>
              <w:t>8.2.1.</w:t>
            </w:r>
          </w:p>
        </w:tc>
        <w:tc>
          <w:tcPr>
            <w:tcW w:w="70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2"/>
                <w:szCs w:val="22"/>
                <w:lang w:val="fr-FR"/>
              </w:rPr>
              <w:t>Documente de politici elaborate şi apr</w:t>
            </w:r>
            <w:r>
              <w:rPr>
                <w:sz w:val="22"/>
                <w:szCs w:val="22"/>
                <w:lang w:val="fr-FR"/>
              </w:rPr>
              <w:t>obate</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2"/>
                <w:szCs w:val="22"/>
                <w:lang w:val="fr-FR"/>
              </w:rPr>
              <w:t> </w:t>
            </w:r>
          </w:p>
        </w:tc>
      </w:tr>
      <w:tr>
        <w:trPr>
          <w:trHeight w:val="270" w:hRule="atLeast"/>
        </w:trPr>
        <w:tc>
          <w:tcPr>
            <w:tcW w:w="8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2"/>
                <w:szCs w:val="22"/>
              </w:rPr>
              <w:t>8.2.2.</w:t>
            </w:r>
          </w:p>
        </w:tc>
        <w:tc>
          <w:tcPr>
            <w:tcW w:w="70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22"/>
                <w:szCs w:val="22"/>
                <w:lang w:val="en-US"/>
              </w:rPr>
              <w:t>Acte normative elaborate, inclusiv tratate internaţionale</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2"/>
                <w:szCs w:val="22"/>
                <w:lang w:val="en-US"/>
              </w:rPr>
              <w:t> </w:t>
            </w:r>
          </w:p>
        </w:tc>
      </w:tr>
      <w:tr>
        <w:trPr>
          <w:trHeight w:val="270" w:hRule="atLeast"/>
        </w:trPr>
        <w:tc>
          <w:tcPr>
            <w:tcW w:w="8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2"/>
                <w:szCs w:val="22"/>
              </w:rPr>
              <w:t>8.2.3.</w:t>
            </w:r>
          </w:p>
        </w:tc>
        <w:tc>
          <w:tcPr>
            <w:tcW w:w="70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2"/>
                <w:szCs w:val="22"/>
                <w:lang w:val="fr-FR"/>
              </w:rPr>
              <w:t>Avize a proiectelor de legi şi alte acte normative</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rFonts w:ascii="Times New Roman" w:hAnsi="Times New Roman"/>
                <w:sz w:val="22"/>
                <w:szCs w:val="22"/>
              </w:rPr>
            </w:pPr>
            <w:r>
              <w:rPr>
                <w:sz w:val="22"/>
                <w:szCs w:val="22"/>
              </w:rPr>
            </w:r>
          </w:p>
        </w:tc>
      </w:tr>
      <w:tr>
        <w:trPr>
          <w:trHeight w:val="525" w:hRule="atLeast"/>
        </w:trPr>
        <w:tc>
          <w:tcPr>
            <w:tcW w:w="8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2"/>
                <w:szCs w:val="22"/>
              </w:rPr>
              <w:t>8.2.4.</w:t>
            </w:r>
          </w:p>
        </w:tc>
        <w:tc>
          <w:tcPr>
            <w:tcW w:w="70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2"/>
                <w:szCs w:val="22"/>
                <w:lang w:val="fr-FR"/>
              </w:rPr>
              <w:t>Recomandări metodologice elaborate şi implementate în activitatea autorităţilor publice centrale şi locale</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2"/>
                <w:szCs w:val="22"/>
                <w:lang w:val="fr-FR"/>
              </w:rPr>
              <w:t> </w:t>
            </w:r>
          </w:p>
        </w:tc>
      </w:tr>
      <w:tr>
        <w:trPr>
          <w:trHeight w:val="525" w:hRule="atLeast"/>
        </w:trPr>
        <w:tc>
          <w:tcPr>
            <w:tcW w:w="8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2"/>
                <w:szCs w:val="22"/>
              </w:rPr>
              <w:t>8.2.5.</w:t>
            </w:r>
          </w:p>
        </w:tc>
        <w:tc>
          <w:tcPr>
            <w:tcW w:w="70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2"/>
                <w:szCs w:val="22"/>
                <w:lang w:val="fr-FR"/>
              </w:rPr>
              <w:t>Participării în activitatea comisiilor instituite de preşedinţie, parlament, guvern</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2"/>
                <w:szCs w:val="22"/>
                <w:lang w:val="fr-FR"/>
              </w:rPr>
              <w:t> </w:t>
            </w:r>
          </w:p>
        </w:tc>
      </w:tr>
      <w:tr>
        <w:trPr>
          <w:trHeight w:val="525" w:hRule="atLeast"/>
        </w:trPr>
        <w:tc>
          <w:tcPr>
            <w:tcW w:w="8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2"/>
                <w:szCs w:val="22"/>
              </w:rPr>
              <w:t>8.2.6.</w:t>
            </w:r>
          </w:p>
        </w:tc>
        <w:tc>
          <w:tcPr>
            <w:tcW w:w="70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2"/>
                <w:szCs w:val="22"/>
                <w:lang w:val="fr-FR"/>
              </w:rPr>
              <w:t>Participării în activitatea grupurilor de lucru instituite de ministere, departamente</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ro-RO"/>
              </w:rPr>
            </w:pPr>
            <w:r>
              <w:rPr>
                <w:sz w:val="22"/>
                <w:szCs w:val="22"/>
                <w:lang w:val="ro-RO"/>
              </w:rPr>
              <w:t>8</w:t>
            </w:r>
          </w:p>
        </w:tc>
      </w:tr>
      <w:tr>
        <w:trPr>
          <w:trHeight w:val="270" w:hRule="atLeast"/>
        </w:trPr>
        <w:tc>
          <w:tcPr>
            <w:tcW w:w="8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pPr>
            <w:r>
              <w:rPr>
                <w:sz w:val="22"/>
                <w:szCs w:val="22"/>
              </w:rPr>
              <w:t> </w:t>
            </w:r>
          </w:p>
        </w:tc>
        <w:tc>
          <w:tcPr>
            <w:tcW w:w="7921"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CCFFCC"/>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b/>
                <w:bCs/>
                <w:sz w:val="22"/>
                <w:szCs w:val="22"/>
                <w:lang w:val="en-US"/>
              </w:rPr>
              <w:t>8.3. Diseminarea informaţiei ştiinţifice şi promovarea imaginii ştiinţei</w:t>
            </w:r>
          </w:p>
        </w:tc>
      </w:tr>
      <w:tr>
        <w:trPr>
          <w:trHeight w:val="270" w:hRule="atLeast"/>
        </w:trPr>
        <w:tc>
          <w:tcPr>
            <w:tcW w:w="8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2"/>
                <w:szCs w:val="22"/>
              </w:rPr>
              <w:t>8.3.1.</w:t>
            </w:r>
          </w:p>
        </w:tc>
        <w:tc>
          <w:tcPr>
            <w:tcW w:w="70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pPr>
            <w:r>
              <w:rPr>
                <w:rFonts w:cs="Times New Roman CE" w:ascii="Times New Roman CE" w:hAnsi="Times New Roman CE"/>
                <w:sz w:val="22"/>
                <w:szCs w:val="22"/>
              </w:rPr>
              <w:t>Manifestări ştiinţifice internaţionale organizate</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ro-RO"/>
              </w:rPr>
            </w:pPr>
            <w:r>
              <w:rPr>
                <w:sz w:val="22"/>
                <w:szCs w:val="22"/>
                <w:lang w:val="ro-RO"/>
              </w:rPr>
              <w:t>2</w:t>
            </w:r>
          </w:p>
        </w:tc>
      </w:tr>
      <w:tr>
        <w:trPr>
          <w:trHeight w:val="270" w:hRule="atLeast"/>
        </w:trPr>
        <w:tc>
          <w:tcPr>
            <w:tcW w:w="8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2"/>
                <w:szCs w:val="22"/>
              </w:rPr>
              <w:t>8.3.2.</w:t>
            </w:r>
          </w:p>
        </w:tc>
        <w:tc>
          <w:tcPr>
            <w:tcW w:w="70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pPr>
            <w:r>
              <w:rPr>
                <w:rFonts w:cs="Times New Roman CE" w:ascii="Times New Roman CE" w:hAnsi="Times New Roman CE"/>
                <w:sz w:val="22"/>
                <w:szCs w:val="22"/>
              </w:rPr>
              <w:t>Manifestări ştiinţifice naţionale organizate</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rFonts w:ascii="Times New Roman" w:hAnsi="Times New Roman"/>
                <w:sz w:val="22"/>
                <w:szCs w:val="22"/>
              </w:rPr>
            </w:pPr>
            <w:r>
              <w:rPr>
                <w:sz w:val="22"/>
                <w:szCs w:val="22"/>
              </w:rPr>
            </w:r>
          </w:p>
        </w:tc>
      </w:tr>
      <w:tr>
        <w:trPr>
          <w:trHeight w:val="270" w:hRule="atLeast"/>
        </w:trPr>
        <w:tc>
          <w:tcPr>
            <w:tcW w:w="8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2"/>
                <w:szCs w:val="22"/>
              </w:rPr>
              <w:t>8.3.3.</w:t>
            </w:r>
          </w:p>
        </w:tc>
        <w:tc>
          <w:tcPr>
            <w:tcW w:w="70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2"/>
                <w:szCs w:val="22"/>
                <w:lang w:val="fr-FR"/>
              </w:rPr>
              <w:t xml:space="preserve">Cărţi de popularizare a ştiinţei </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2"/>
                <w:szCs w:val="22"/>
                <w:lang w:val="fr-FR"/>
              </w:rPr>
              <w:t>2 </w:t>
            </w:r>
          </w:p>
        </w:tc>
      </w:tr>
      <w:tr>
        <w:trPr>
          <w:trHeight w:val="270" w:hRule="atLeast"/>
        </w:trPr>
        <w:tc>
          <w:tcPr>
            <w:tcW w:w="8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2"/>
                <w:szCs w:val="22"/>
              </w:rPr>
              <w:t>8.3.4.</w:t>
            </w:r>
          </w:p>
        </w:tc>
        <w:tc>
          <w:tcPr>
            <w:tcW w:w="70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2"/>
                <w:szCs w:val="22"/>
                <w:lang w:val="fr-FR"/>
              </w:rPr>
              <w:t xml:space="preserve">Articole de popularizare a ştiinţei </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2"/>
                <w:szCs w:val="22"/>
              </w:rPr>
              <w:t>1</w:t>
            </w:r>
            <w:r>
              <w:rPr>
                <w:sz w:val="22"/>
                <w:szCs w:val="22"/>
                <w:lang w:val="ro-RO"/>
              </w:rPr>
              <w:t>8</w:t>
            </w:r>
          </w:p>
        </w:tc>
      </w:tr>
      <w:tr>
        <w:trPr>
          <w:trHeight w:val="270" w:hRule="atLeast"/>
        </w:trPr>
        <w:tc>
          <w:tcPr>
            <w:tcW w:w="8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2"/>
                <w:szCs w:val="22"/>
              </w:rPr>
              <w:t>8.3.5.</w:t>
            </w:r>
          </w:p>
        </w:tc>
        <w:tc>
          <w:tcPr>
            <w:tcW w:w="70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2"/>
                <w:szCs w:val="22"/>
                <w:lang w:val="fr-FR"/>
              </w:rPr>
              <w:t xml:space="preserve">Participări la emisiuni tele-radio consacrate ştiinţei </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ro-RO"/>
              </w:rPr>
            </w:pPr>
            <w:r>
              <w:rPr>
                <w:sz w:val="22"/>
                <w:szCs w:val="22"/>
                <w:lang w:val="ro-RO"/>
              </w:rPr>
              <w:t>8</w:t>
            </w:r>
          </w:p>
        </w:tc>
      </w:tr>
      <w:tr>
        <w:trPr>
          <w:trHeight w:val="270" w:hRule="atLeast"/>
        </w:trPr>
        <w:tc>
          <w:tcPr>
            <w:tcW w:w="82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2"/>
                <w:szCs w:val="22"/>
              </w:rPr>
              <w:t>8.3.6.</w:t>
            </w:r>
          </w:p>
        </w:tc>
        <w:tc>
          <w:tcPr>
            <w:tcW w:w="70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2"/>
                <w:szCs w:val="22"/>
                <w:lang w:val="fr-FR"/>
              </w:rPr>
              <w:t>Seminare ştiinţifice de profil şi manifestări organizate</w:t>
            </w:r>
          </w:p>
        </w:tc>
        <w:tc>
          <w:tcPr>
            <w:tcW w:w="92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ro-RO"/>
              </w:rPr>
            </w:pPr>
            <w:r>
              <w:rPr>
                <w:sz w:val="22"/>
                <w:szCs w:val="22"/>
                <w:lang w:val="ro-RO"/>
              </w:rPr>
              <w:t>2</w:t>
            </w:r>
          </w:p>
        </w:tc>
      </w:tr>
    </w:tbl>
    <w:p>
      <w:pPr>
        <w:pStyle w:val="Normal"/>
        <w:widowControl/>
        <w:bidi w:val="0"/>
        <w:ind w:left="0" w:right="0" w:hanging="0"/>
        <w:jc w:val="left"/>
        <w:textAlignment w:val="auto"/>
        <w:rPr>
          <w:rFonts w:ascii="Times New Roman" w:hAnsi="Times New Roman"/>
          <w:sz w:val="16"/>
          <w:szCs w:val="16"/>
          <w:lang w:val="en-US"/>
        </w:rPr>
      </w:pPr>
      <w:r>
        <w:rPr>
          <w:sz w:val="16"/>
          <w:szCs w:val="16"/>
          <w:lang w:val="en-US"/>
        </w:rPr>
      </w:r>
    </w:p>
    <w:p>
      <w:pPr>
        <w:pStyle w:val="Normal"/>
        <w:widowControl/>
        <w:bidi w:val="0"/>
        <w:ind w:left="0" w:right="0" w:hanging="0"/>
        <w:jc w:val="left"/>
        <w:textAlignment w:val="auto"/>
        <w:rPr>
          <w:rFonts w:ascii="Times New Roman" w:hAnsi="Times New Roman"/>
          <w:sz w:val="20"/>
          <w:szCs w:val="20"/>
          <w:lang w:val="en-US"/>
        </w:rPr>
      </w:pPr>
      <w:r>
        <w:rPr>
          <w:sz w:val="20"/>
          <w:szCs w:val="20"/>
          <w:lang w:val="en-US"/>
        </w:rPr>
      </w:r>
    </w:p>
    <w:p>
      <w:pPr>
        <w:pStyle w:val="Normal"/>
        <w:widowControl/>
        <w:bidi w:val="0"/>
        <w:ind w:left="0" w:right="0" w:hanging="0"/>
        <w:jc w:val="left"/>
        <w:textAlignment w:val="auto"/>
        <w:rPr>
          <w:rFonts w:ascii="Times New Roman" w:hAnsi="Times New Roman"/>
          <w:sz w:val="16"/>
          <w:szCs w:val="16"/>
          <w:lang w:val="en-US"/>
        </w:rPr>
      </w:pPr>
      <w:r>
        <w:rPr>
          <w:sz w:val="16"/>
          <w:szCs w:val="16"/>
          <w:lang w:val="en-US"/>
        </w:rPr>
      </w:r>
    </w:p>
    <w:p>
      <w:pPr>
        <w:pStyle w:val="Normal"/>
        <w:widowControl/>
        <w:bidi w:val="0"/>
        <w:ind w:left="0" w:right="0" w:hanging="0"/>
        <w:jc w:val="left"/>
        <w:textAlignment w:val="auto"/>
        <w:rPr>
          <w:rFonts w:ascii="Times New Roman" w:hAnsi="Times New Roman"/>
          <w:sz w:val="16"/>
          <w:szCs w:val="16"/>
          <w:lang w:val="en-US"/>
        </w:rPr>
      </w:pPr>
      <w:r>
        <w:rPr>
          <w:sz w:val="16"/>
          <w:szCs w:val="16"/>
          <w:lang w:val="en-US"/>
        </w:rPr>
      </w:r>
    </w:p>
    <w:p>
      <w:pPr>
        <w:pStyle w:val="Normal"/>
        <w:widowControl/>
        <w:bidi w:val="0"/>
        <w:ind w:left="0" w:right="0" w:hanging="0"/>
        <w:jc w:val="left"/>
        <w:textAlignment w:val="auto"/>
        <w:rPr>
          <w:rFonts w:ascii="Times New Roman" w:hAnsi="Times New Roman"/>
          <w:sz w:val="16"/>
          <w:szCs w:val="16"/>
          <w:lang w:val="en-US"/>
        </w:rPr>
      </w:pPr>
      <w:r>
        <w:rPr>
          <w:sz w:val="16"/>
          <w:szCs w:val="16"/>
          <w:lang w:val="en-US"/>
        </w:rPr>
      </w:r>
    </w:p>
    <w:p>
      <w:pPr>
        <w:pStyle w:val="Normal"/>
        <w:widowControl/>
        <w:tabs>
          <w:tab w:val="left" w:pos="4065" w:leader="none"/>
        </w:tabs>
        <w:bidi w:val="0"/>
        <w:ind w:left="0" w:right="0" w:hanging="0"/>
        <w:jc w:val="left"/>
        <w:textAlignment w:val="auto"/>
        <w:rPr>
          <w:lang w:val="en-US"/>
        </w:rPr>
      </w:pPr>
      <w:r>
        <w:rPr>
          <w:sz w:val="16"/>
          <w:szCs w:val="16"/>
          <w:lang w:val="en-US"/>
        </w:rPr>
        <w:tab/>
      </w:r>
    </w:p>
    <w:p>
      <w:pPr>
        <w:pStyle w:val="Normal"/>
        <w:widowControl/>
        <w:tabs>
          <w:tab w:val="left" w:pos="4065" w:leader="none"/>
        </w:tabs>
        <w:bidi w:val="0"/>
        <w:ind w:left="0" w:right="0" w:hanging="0"/>
        <w:jc w:val="left"/>
        <w:textAlignment w:val="auto"/>
        <w:rPr>
          <w:rFonts w:ascii="Times New Roman" w:hAnsi="Times New Roman"/>
          <w:sz w:val="16"/>
          <w:szCs w:val="16"/>
          <w:lang w:val="en-US"/>
        </w:rPr>
      </w:pPr>
      <w:r>
        <w:rPr>
          <w:sz w:val="16"/>
          <w:szCs w:val="16"/>
          <w:lang w:val="en-US"/>
        </w:rPr>
      </w:r>
    </w:p>
    <w:p>
      <w:pPr>
        <w:pStyle w:val="Normal"/>
        <w:widowControl/>
        <w:tabs>
          <w:tab w:val="left" w:pos="4065" w:leader="none"/>
        </w:tabs>
        <w:bidi w:val="0"/>
        <w:ind w:left="0" w:right="0" w:hanging="0"/>
        <w:jc w:val="left"/>
        <w:textAlignment w:val="auto"/>
        <w:rPr>
          <w:rFonts w:ascii="Times New Roman" w:hAnsi="Times New Roman"/>
          <w:sz w:val="16"/>
          <w:szCs w:val="16"/>
          <w:lang w:val="en-US"/>
        </w:rPr>
      </w:pPr>
      <w:r>
        <w:rPr>
          <w:sz w:val="16"/>
          <w:szCs w:val="16"/>
          <w:lang w:val="en-US"/>
        </w:rPr>
      </w:r>
    </w:p>
    <w:p>
      <w:pPr>
        <w:pStyle w:val="Normal"/>
        <w:widowControl/>
        <w:bidi w:val="0"/>
        <w:ind w:left="0" w:right="0" w:hanging="0"/>
        <w:jc w:val="left"/>
        <w:textAlignment w:val="auto"/>
        <w:rPr>
          <w:rFonts w:ascii="Times New Roman" w:hAnsi="Times New Roman"/>
          <w:sz w:val="16"/>
          <w:szCs w:val="16"/>
          <w:lang w:val="en-US"/>
        </w:rPr>
      </w:pPr>
      <w:r>
        <w:rPr>
          <w:sz w:val="16"/>
          <w:szCs w:val="16"/>
          <w:lang w:val="en-US"/>
        </w:rPr>
      </w:r>
    </w:p>
    <w:p>
      <w:pPr>
        <w:pStyle w:val="Normal"/>
        <w:widowControl/>
        <w:bidi w:val="0"/>
        <w:ind w:left="0" w:right="0" w:hanging="0"/>
        <w:jc w:val="left"/>
        <w:textAlignment w:val="auto"/>
        <w:rPr>
          <w:rFonts w:ascii="Times New Roman" w:hAnsi="Times New Roman"/>
          <w:sz w:val="16"/>
          <w:szCs w:val="16"/>
          <w:lang w:val="en-US"/>
        </w:rPr>
      </w:pPr>
      <w:r>
        <w:rPr>
          <w:sz w:val="16"/>
          <w:szCs w:val="16"/>
          <w:lang w:val="en-US"/>
        </w:rPr>
      </w:r>
    </w:p>
    <w:p>
      <w:pPr>
        <w:pStyle w:val="Normal"/>
        <w:widowControl/>
        <w:bidi w:val="0"/>
        <w:ind w:left="0" w:right="0" w:hanging="0"/>
        <w:jc w:val="left"/>
        <w:textAlignment w:val="auto"/>
        <w:rPr>
          <w:rFonts w:ascii="Times New Roman" w:hAnsi="Times New Roman"/>
          <w:sz w:val="16"/>
          <w:szCs w:val="16"/>
          <w:lang w:val="en-US"/>
        </w:rPr>
      </w:pPr>
      <w:r>
        <w:rPr>
          <w:sz w:val="16"/>
          <w:szCs w:val="16"/>
          <w:lang w:val="en-US"/>
        </w:rPr>
      </w:r>
    </w:p>
    <w:p>
      <w:pPr>
        <w:pStyle w:val="Normal"/>
        <w:widowControl/>
        <w:bidi w:val="0"/>
        <w:ind w:left="0" w:right="0" w:hanging="0"/>
        <w:jc w:val="left"/>
        <w:textAlignment w:val="auto"/>
        <w:rPr>
          <w:rFonts w:ascii="Times New Roman" w:hAnsi="Times New Roman"/>
          <w:sz w:val="16"/>
          <w:szCs w:val="16"/>
          <w:lang w:val="en-US"/>
        </w:rPr>
      </w:pPr>
      <w:r>
        <w:rPr>
          <w:sz w:val="16"/>
          <w:szCs w:val="16"/>
          <w:lang w:val="en-US"/>
        </w:rPr>
      </w:r>
    </w:p>
    <w:p>
      <w:pPr>
        <w:pStyle w:val="Normal"/>
        <w:widowControl/>
        <w:bidi w:val="0"/>
        <w:ind w:left="0" w:right="0" w:hanging="0"/>
        <w:jc w:val="left"/>
        <w:textAlignment w:val="auto"/>
        <w:rPr>
          <w:rFonts w:ascii="Times New Roman" w:hAnsi="Times New Roman"/>
          <w:sz w:val="16"/>
          <w:szCs w:val="16"/>
          <w:lang w:val="en-US"/>
        </w:rPr>
      </w:pPr>
      <w:r>
        <w:rPr>
          <w:sz w:val="16"/>
          <w:szCs w:val="16"/>
          <w:lang w:val="en-US"/>
        </w:rPr>
      </w:r>
    </w:p>
    <w:p>
      <w:pPr>
        <w:pStyle w:val="Normal"/>
        <w:widowControl/>
        <w:bidi w:val="0"/>
        <w:ind w:left="0" w:right="0" w:hanging="0"/>
        <w:jc w:val="left"/>
        <w:textAlignment w:val="auto"/>
        <w:rPr>
          <w:rFonts w:ascii="Times New Roman" w:hAnsi="Times New Roman"/>
          <w:sz w:val="16"/>
          <w:szCs w:val="16"/>
          <w:lang w:val="en-US"/>
        </w:rPr>
      </w:pPr>
      <w:r>
        <w:rPr>
          <w:sz w:val="16"/>
          <w:szCs w:val="16"/>
          <w:lang w:val="en-US"/>
        </w:rPr>
      </w:r>
    </w:p>
    <w:p>
      <w:pPr>
        <w:pStyle w:val="Normal"/>
        <w:widowControl/>
        <w:bidi w:val="0"/>
        <w:ind w:left="0" w:right="0" w:hanging="0"/>
        <w:jc w:val="left"/>
        <w:textAlignment w:val="auto"/>
        <w:rPr>
          <w:rFonts w:ascii="Times New Roman" w:hAnsi="Times New Roman"/>
          <w:sz w:val="16"/>
          <w:szCs w:val="16"/>
          <w:lang w:val="en-US"/>
        </w:rPr>
      </w:pPr>
      <w:r>
        <w:rPr>
          <w:sz w:val="16"/>
          <w:szCs w:val="16"/>
          <w:lang w:val="en-US"/>
        </w:rPr>
      </w:r>
    </w:p>
    <w:p>
      <w:pPr>
        <w:pStyle w:val="Normal"/>
        <w:widowControl/>
        <w:bidi w:val="0"/>
        <w:ind w:left="0" w:right="0" w:hanging="0"/>
        <w:jc w:val="left"/>
        <w:textAlignment w:val="auto"/>
        <w:rPr>
          <w:rFonts w:ascii="Times New Roman" w:hAnsi="Times New Roman"/>
          <w:sz w:val="16"/>
          <w:szCs w:val="16"/>
          <w:lang w:val="en-US"/>
        </w:rPr>
      </w:pPr>
      <w:r>
        <w:rPr>
          <w:sz w:val="16"/>
          <w:szCs w:val="16"/>
          <w:lang w:val="en-US"/>
        </w:rPr>
      </w:r>
    </w:p>
    <w:p>
      <w:pPr>
        <w:pStyle w:val="Normal"/>
        <w:widowControl/>
        <w:bidi w:val="0"/>
        <w:ind w:left="0" w:right="0" w:hanging="0"/>
        <w:jc w:val="left"/>
        <w:textAlignment w:val="auto"/>
        <w:rPr>
          <w:rFonts w:ascii="Times New Roman" w:hAnsi="Times New Roman"/>
          <w:sz w:val="16"/>
          <w:szCs w:val="16"/>
          <w:lang w:val="en-US"/>
        </w:rPr>
      </w:pPr>
      <w:r>
        <w:rPr>
          <w:sz w:val="16"/>
          <w:szCs w:val="16"/>
          <w:lang w:val="en-US"/>
        </w:rPr>
      </w:r>
    </w:p>
    <w:p>
      <w:pPr>
        <w:pStyle w:val="Normal"/>
        <w:widowControl/>
        <w:bidi w:val="0"/>
        <w:ind w:left="0" w:right="0" w:hanging="0"/>
        <w:jc w:val="left"/>
        <w:textAlignment w:val="auto"/>
        <w:rPr>
          <w:rFonts w:ascii="Times New Roman" w:hAnsi="Times New Roman"/>
          <w:sz w:val="16"/>
          <w:szCs w:val="16"/>
          <w:lang w:val="en-US"/>
        </w:rPr>
      </w:pPr>
      <w:r>
        <w:rPr>
          <w:sz w:val="16"/>
          <w:szCs w:val="16"/>
          <w:lang w:val="en-US"/>
        </w:rPr>
      </w:r>
    </w:p>
    <w:p>
      <w:pPr>
        <w:pStyle w:val="Normal"/>
        <w:widowControl/>
        <w:bidi w:val="0"/>
        <w:ind w:left="0" w:right="0" w:hanging="0"/>
        <w:jc w:val="left"/>
        <w:textAlignment w:val="auto"/>
        <w:rPr>
          <w:rFonts w:ascii="Times New Roman" w:hAnsi="Times New Roman"/>
          <w:sz w:val="16"/>
          <w:szCs w:val="16"/>
          <w:lang w:val="en-US"/>
        </w:rPr>
      </w:pPr>
      <w:r>
        <w:rPr>
          <w:sz w:val="16"/>
          <w:szCs w:val="16"/>
          <w:lang w:val="en-US"/>
        </w:rPr>
      </w:r>
    </w:p>
    <w:p>
      <w:pPr>
        <w:pStyle w:val="Normal"/>
        <w:widowControl/>
        <w:bidi w:val="0"/>
        <w:ind w:left="0" w:right="0" w:hanging="0"/>
        <w:jc w:val="left"/>
        <w:textAlignment w:val="auto"/>
        <w:rPr>
          <w:rFonts w:ascii="Times New Roman" w:hAnsi="Times New Roman"/>
          <w:sz w:val="16"/>
          <w:szCs w:val="16"/>
          <w:lang w:val="en-US"/>
        </w:rPr>
      </w:pPr>
      <w:r>
        <w:rPr>
          <w:sz w:val="16"/>
          <w:szCs w:val="16"/>
          <w:lang w:val="en-US"/>
        </w:rPr>
      </w:r>
    </w:p>
    <w:p>
      <w:pPr>
        <w:pStyle w:val="Normal"/>
        <w:widowControl/>
        <w:bidi w:val="0"/>
        <w:ind w:left="0" w:right="0" w:hanging="0"/>
        <w:jc w:val="left"/>
        <w:textAlignment w:val="auto"/>
        <w:rPr>
          <w:rFonts w:ascii="Times New Roman" w:hAnsi="Times New Roman"/>
          <w:sz w:val="16"/>
          <w:szCs w:val="16"/>
          <w:lang w:val="en-US"/>
        </w:rPr>
      </w:pPr>
      <w:r>
        <w:rPr>
          <w:sz w:val="16"/>
          <w:szCs w:val="16"/>
          <w:lang w:val="en-US"/>
        </w:rPr>
      </w:r>
    </w:p>
    <w:p>
      <w:pPr>
        <w:pStyle w:val="Normal"/>
        <w:widowControl/>
        <w:bidi w:val="0"/>
        <w:ind w:left="0" w:right="0" w:hanging="0"/>
        <w:jc w:val="left"/>
        <w:textAlignment w:val="auto"/>
        <w:rPr>
          <w:rFonts w:ascii="Times New Roman" w:hAnsi="Times New Roman"/>
          <w:sz w:val="16"/>
          <w:szCs w:val="16"/>
          <w:lang w:val="en-US"/>
        </w:rPr>
      </w:pPr>
      <w:r>
        <w:rPr>
          <w:sz w:val="16"/>
          <w:szCs w:val="16"/>
          <w:lang w:val="en-US"/>
        </w:rPr>
      </w:r>
    </w:p>
    <w:p>
      <w:pPr>
        <w:pStyle w:val="Normal"/>
        <w:widowControl/>
        <w:bidi w:val="0"/>
        <w:ind w:left="0" w:right="0" w:hanging="0"/>
        <w:jc w:val="left"/>
        <w:textAlignment w:val="auto"/>
        <w:rPr>
          <w:rFonts w:ascii="Times New Roman" w:hAnsi="Times New Roman"/>
          <w:sz w:val="16"/>
          <w:szCs w:val="16"/>
          <w:lang w:val="en-US"/>
        </w:rPr>
      </w:pPr>
      <w:r>
        <w:rPr>
          <w:sz w:val="16"/>
          <w:szCs w:val="16"/>
          <w:lang w:val="en-US"/>
        </w:rPr>
      </w:r>
    </w:p>
    <w:p>
      <w:pPr>
        <w:pStyle w:val="Normal"/>
        <w:widowControl/>
        <w:bidi w:val="0"/>
        <w:ind w:left="0" w:right="0" w:hanging="0"/>
        <w:jc w:val="left"/>
        <w:textAlignment w:val="auto"/>
        <w:rPr>
          <w:rFonts w:ascii="Times New Roman" w:hAnsi="Times New Roman"/>
          <w:sz w:val="16"/>
          <w:szCs w:val="16"/>
          <w:lang w:val="en-US"/>
        </w:rPr>
      </w:pPr>
      <w:r>
        <w:rPr>
          <w:sz w:val="16"/>
          <w:szCs w:val="16"/>
          <w:lang w:val="en-US"/>
        </w:rPr>
      </w:r>
    </w:p>
    <w:p>
      <w:pPr>
        <w:pStyle w:val="Normal"/>
        <w:widowControl/>
        <w:bidi w:val="0"/>
        <w:spacing w:before="0" w:after="240"/>
        <w:ind w:left="0" w:right="-2016" w:hanging="0"/>
        <w:jc w:val="center"/>
        <w:textAlignment w:val="auto"/>
        <w:rPr>
          <w:rFonts w:ascii="Times New Roman" w:hAnsi="Times New Roman"/>
          <w:sz w:val="22"/>
          <w:szCs w:val="22"/>
          <w:lang w:val="ro-MD"/>
        </w:rPr>
      </w:pPr>
      <w:r>
        <w:rPr>
          <w:sz w:val="22"/>
          <w:szCs w:val="22"/>
          <w:lang w:val="ro-MD"/>
        </w:rPr>
      </w:r>
    </w:p>
    <w:p>
      <w:pPr>
        <w:pStyle w:val="2"/>
        <w:keepNext/>
        <w:widowControl/>
        <w:numPr>
          <w:ilvl w:val="0"/>
          <w:numId w:val="0"/>
        </w:numPr>
        <w:bidi w:val="0"/>
        <w:ind w:left="0" w:right="0" w:hanging="0"/>
        <w:jc w:val="left"/>
        <w:textAlignment w:val="auto"/>
        <w:outlineLvl w:val="1"/>
        <w:rPr/>
      </w:pPr>
      <w:bookmarkStart w:id="430" w:name="_Toc311818473"/>
      <w:bookmarkStart w:id="431" w:name="_Toc469652037"/>
      <w:bookmarkStart w:id="432" w:name="_Toc375219618"/>
      <w:bookmarkStart w:id="433" w:name="_Toc311820816"/>
      <w:bookmarkStart w:id="434" w:name="_Toc311820492"/>
      <w:bookmarkStart w:id="435" w:name="_Toc311820012"/>
      <w:bookmarkStart w:id="436" w:name="_Toc311819743"/>
      <w:bookmarkStart w:id="437" w:name="_Toc311818805"/>
      <w:r>
        <w:rPr>
          <w:rFonts w:cs="Times New Roman CE" w:ascii="Times New Roman CE" w:hAnsi="Times New Roman CE"/>
          <w:i/>
          <w:sz w:val="26"/>
          <w:szCs w:val="26"/>
        </w:rPr>
        <w:t xml:space="preserve">Anexa II. </w:t>
      </w:r>
      <w:bookmarkEnd w:id="432"/>
      <w:bookmarkEnd w:id="433"/>
      <w:bookmarkEnd w:id="434"/>
      <w:bookmarkEnd w:id="435"/>
      <w:bookmarkEnd w:id="436"/>
      <w:bookmarkEnd w:id="437"/>
      <w:bookmarkEnd w:id="430"/>
      <w:bookmarkEnd w:id="431"/>
      <w:r>
        <w:rPr>
          <w:rFonts w:cs="Times New Roman CE" w:ascii="Times New Roman CE" w:hAnsi="Times New Roman CE"/>
          <w:i/>
          <w:sz w:val="26"/>
          <w:szCs w:val="26"/>
        </w:rPr>
        <w:t>Forma indicatorilor de activitate a laboratorului Algebră şi Topologie</w:t>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tbl>
      <w:tblPr>
        <w:tblW w:w="9498" w:type="dxa"/>
        <w:jc w:val="left"/>
        <w:tblInd w:w="-284" w:type="dxa"/>
        <w:tblBorders/>
        <w:tblCellMar>
          <w:top w:w="0" w:type="dxa"/>
          <w:left w:w="108" w:type="dxa"/>
          <w:bottom w:w="0" w:type="dxa"/>
          <w:right w:w="108" w:type="dxa"/>
        </w:tblCellMar>
      </w:tblPr>
      <w:tblGrid>
        <w:gridCol w:w="1151"/>
        <w:gridCol w:w="3667"/>
        <w:gridCol w:w="4680"/>
      </w:tblGrid>
      <w:tr>
        <w:trPr>
          <w:trHeight w:val="250" w:hRule="atLeast"/>
        </w:trPr>
        <w:tc>
          <w:tcPr>
            <w:tcW w:w="9498" w:type="dxa"/>
            <w:gridSpan w:val="3"/>
            <w:tcBorders/>
            <w:shd w:fill="auto" w:val="clear"/>
            <w:vAlign w:val="bottom"/>
          </w:tcPr>
          <w:p>
            <w:pPr>
              <w:pStyle w:val="Normal"/>
              <w:widowControl/>
              <w:bidi w:val="0"/>
              <w:ind w:left="0" w:right="0" w:hanging="0"/>
              <w:jc w:val="center"/>
              <w:textAlignment w:val="auto"/>
              <w:rPr/>
            </w:pPr>
            <w:r>
              <w:rPr>
                <w:b/>
                <w:bCs/>
              </w:rPr>
              <w:t>1. DATE GENERALE</w:t>
            </w:r>
          </w:p>
        </w:tc>
      </w:tr>
      <w:tr>
        <w:trPr>
          <w:trHeight w:val="264" w:hRule="atLeast"/>
        </w:trPr>
        <w:tc>
          <w:tcPr>
            <w:tcW w:w="1151" w:type="dxa"/>
            <w:tcBorders/>
            <w:shd w:fill="auto" w:val="clear"/>
            <w:vAlign w:val="bottom"/>
          </w:tcPr>
          <w:p>
            <w:pPr>
              <w:pStyle w:val="Normal"/>
              <w:widowControl/>
              <w:bidi w:val="0"/>
              <w:ind w:left="0" w:right="0" w:hanging="0"/>
              <w:jc w:val="center"/>
              <w:textAlignment w:val="auto"/>
              <w:rPr>
                <w:rFonts w:ascii="Times New Roman" w:hAnsi="Times New Roman"/>
                <w:b/>
                <w:b/>
                <w:bCs/>
              </w:rPr>
            </w:pPr>
            <w:r>
              <w:rPr>
                <w:b/>
                <w:bCs/>
              </w:rPr>
            </w:r>
          </w:p>
        </w:tc>
        <w:tc>
          <w:tcPr>
            <w:tcW w:w="3667" w:type="dxa"/>
            <w:tcBorders/>
            <w:shd w:fill="auto" w:val="clear"/>
            <w:vAlign w:val="bottom"/>
          </w:tcPr>
          <w:p>
            <w:pPr>
              <w:pStyle w:val="Normal"/>
              <w:widowControl/>
              <w:bidi w:val="0"/>
              <w:ind w:left="0" w:right="0" w:hanging="0"/>
              <w:jc w:val="center"/>
              <w:textAlignment w:val="auto"/>
              <w:rPr>
                <w:rFonts w:ascii="Times New Roman" w:hAnsi="Times New Roman"/>
                <w:b/>
                <w:b/>
                <w:bCs/>
              </w:rPr>
            </w:pPr>
            <w:r>
              <w:rPr>
                <w:b/>
                <w:bCs/>
              </w:rPr>
            </w:r>
          </w:p>
        </w:tc>
        <w:tc>
          <w:tcPr>
            <w:tcW w:w="4680" w:type="dxa"/>
            <w:tcBorders/>
            <w:shd w:fill="auto" w:val="clear"/>
            <w:vAlign w:val="bottom"/>
          </w:tcPr>
          <w:p>
            <w:pPr>
              <w:pStyle w:val="Normal"/>
              <w:widowControl/>
              <w:bidi w:val="0"/>
              <w:ind w:left="0" w:right="0" w:hanging="0"/>
              <w:jc w:val="center"/>
              <w:textAlignment w:val="auto"/>
              <w:rPr>
                <w:rFonts w:ascii="Times New Roman" w:hAnsi="Times New Roman"/>
                <w:b/>
                <w:b/>
                <w:bCs/>
              </w:rPr>
            </w:pPr>
            <w:r>
              <w:rPr>
                <w:b/>
                <w:bCs/>
              </w:rPr>
            </w:r>
          </w:p>
        </w:tc>
      </w:tr>
      <w:tr>
        <w:trPr>
          <w:trHeight w:val="264" w:hRule="atLeast"/>
        </w:trPr>
        <w:tc>
          <w:tcPr>
            <w:tcW w:w="115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pPr>
            <w:r>
              <w:rPr>
                <w:b/>
                <w:bCs/>
              </w:rPr>
              <w:t>1.1.</w:t>
            </w:r>
          </w:p>
        </w:tc>
        <w:tc>
          <w:tcPr>
            <w:tcW w:w="3667" w:type="dxa"/>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b/>
                <w:bCs/>
              </w:rPr>
              <w:t>Denumirea subdiviziunii</w:t>
            </w:r>
          </w:p>
        </w:tc>
        <w:tc>
          <w:tcPr>
            <w:tcW w:w="4680" w:type="dxa"/>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t>Labor</w:t>
            </w:r>
            <w:r>
              <w:rPr>
                <w:rFonts w:cs="Times New Roman CE" w:ascii="Times New Roman CE" w:hAnsi="Times New Roman CE"/>
              </w:rPr>
              <w:t>atorul Algebră şi Topologie</w:t>
            </w:r>
          </w:p>
        </w:tc>
      </w:tr>
      <w:tr>
        <w:trPr>
          <w:trHeight w:val="264" w:hRule="atLeast"/>
        </w:trPr>
        <w:tc>
          <w:tcPr>
            <w:tcW w:w="115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pPr>
            <w:r>
              <w:rPr>
                <w:b/>
                <w:bCs/>
              </w:rPr>
              <w:t>1.2.</w:t>
            </w:r>
          </w:p>
        </w:tc>
        <w:tc>
          <w:tcPr>
            <w:tcW w:w="36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rFonts w:cs="Times New Roman CE" w:ascii="Times New Roman CE" w:hAnsi="Times New Roman CE"/>
                <w:b/>
                <w:bCs/>
              </w:rPr>
              <w:t>Organizaţia</w:t>
            </w:r>
          </w:p>
        </w:tc>
        <w:tc>
          <w:tcPr>
            <w:tcW w:w="468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lang w:val="fr-FR"/>
              </w:rPr>
              <w:t>Institutul de Matematică şi Informatică</w:t>
            </w:r>
          </w:p>
        </w:tc>
      </w:tr>
      <w:tr>
        <w:trPr>
          <w:trHeight w:val="264" w:hRule="atLeast"/>
        </w:trPr>
        <w:tc>
          <w:tcPr>
            <w:tcW w:w="115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pPr>
            <w:r>
              <w:rPr>
                <w:b/>
                <w:bCs/>
              </w:rPr>
              <w:t>1.3.</w:t>
            </w:r>
          </w:p>
        </w:tc>
        <w:tc>
          <w:tcPr>
            <w:tcW w:w="8347" w:type="dxa"/>
            <w:gridSpan w:val="2"/>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pPr>
            <w:r>
              <w:rPr>
                <w:rFonts w:cs="Times New Roman CE" w:ascii="Times New Roman CE" w:hAnsi="Times New Roman CE"/>
                <w:b/>
                <w:bCs/>
              </w:rPr>
              <w:t>Conducătorul subdiviziunii:</w:t>
            </w:r>
          </w:p>
        </w:tc>
      </w:tr>
      <w:tr>
        <w:trPr>
          <w:trHeight w:val="264" w:hRule="atLeast"/>
        </w:trPr>
        <w:tc>
          <w:tcPr>
            <w:tcW w:w="115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1.3.1.</w:t>
            </w:r>
          </w:p>
        </w:tc>
        <w:tc>
          <w:tcPr>
            <w:tcW w:w="36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40"/>
              <w:jc w:val="left"/>
              <w:textAlignment w:val="auto"/>
              <w:rPr/>
            </w:pPr>
            <w:r>
              <w:rPr/>
              <w:t>Numele de familie</w:t>
            </w:r>
          </w:p>
        </w:tc>
        <w:tc>
          <w:tcPr>
            <w:tcW w:w="468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rFonts w:cs="Times New Roman CE" w:ascii="Times New Roman CE" w:hAnsi="Times New Roman CE"/>
              </w:rPr>
              <w:t xml:space="preserve"> </w:t>
            </w:r>
            <w:r>
              <w:rPr>
                <w:rFonts w:cs="Times New Roman CE" w:ascii="Times New Roman CE" w:hAnsi="Times New Roman CE"/>
              </w:rPr>
              <w:t>Izbaş</w:t>
            </w:r>
          </w:p>
        </w:tc>
      </w:tr>
      <w:tr>
        <w:trPr>
          <w:trHeight w:val="264" w:hRule="atLeast"/>
        </w:trPr>
        <w:tc>
          <w:tcPr>
            <w:tcW w:w="115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240"/>
              <w:jc w:val="left"/>
              <w:textAlignment w:val="auto"/>
              <w:rPr/>
            </w:pPr>
            <w:r>
              <w:rPr/>
              <w:t>1.3.2.</w:t>
            </w:r>
          </w:p>
        </w:tc>
        <w:tc>
          <w:tcPr>
            <w:tcW w:w="36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40"/>
              <w:jc w:val="left"/>
              <w:textAlignment w:val="auto"/>
              <w:rPr/>
            </w:pPr>
            <w:r>
              <w:rPr/>
              <w:t>Prenumele</w:t>
            </w:r>
          </w:p>
        </w:tc>
        <w:tc>
          <w:tcPr>
            <w:tcW w:w="468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t>Vladimir</w:t>
            </w:r>
          </w:p>
        </w:tc>
      </w:tr>
      <w:tr>
        <w:trPr>
          <w:trHeight w:val="264" w:hRule="atLeast"/>
        </w:trPr>
        <w:tc>
          <w:tcPr>
            <w:tcW w:w="115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240"/>
              <w:jc w:val="left"/>
              <w:textAlignment w:val="auto"/>
              <w:rPr/>
            </w:pPr>
            <w:r>
              <w:rPr/>
              <w:t xml:space="preserve">1.3.3. </w:t>
            </w:r>
          </w:p>
        </w:tc>
        <w:tc>
          <w:tcPr>
            <w:tcW w:w="36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40"/>
              <w:jc w:val="left"/>
              <w:textAlignment w:val="auto"/>
              <w:rPr/>
            </w:pPr>
            <w:r>
              <w:rPr>
                <w:rFonts w:cs="Times New Roman CE" w:ascii="Times New Roman CE" w:hAnsi="Times New Roman CE"/>
              </w:rPr>
              <w:t>Gradul ştiinţific</w:t>
            </w:r>
          </w:p>
        </w:tc>
        <w:tc>
          <w:tcPr>
            <w:tcW w:w="468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rFonts w:cs="Times New Roman CE" w:ascii="Times New Roman CE" w:hAnsi="Times New Roman CE"/>
              </w:rPr>
              <w:t>Doctor în stiinţă</w:t>
            </w:r>
          </w:p>
        </w:tc>
      </w:tr>
      <w:tr>
        <w:trPr>
          <w:trHeight w:val="264" w:hRule="atLeast"/>
        </w:trPr>
        <w:tc>
          <w:tcPr>
            <w:tcW w:w="115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240"/>
              <w:jc w:val="left"/>
              <w:textAlignment w:val="auto"/>
              <w:rPr/>
            </w:pPr>
            <w:r>
              <w:rPr/>
              <w:t xml:space="preserve">1.3.4. </w:t>
            </w:r>
          </w:p>
        </w:tc>
        <w:tc>
          <w:tcPr>
            <w:tcW w:w="36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40"/>
              <w:jc w:val="left"/>
              <w:textAlignment w:val="auto"/>
              <w:rPr/>
            </w:pPr>
            <w:r>
              <w:rPr>
                <w:rFonts w:cs="Times New Roman CE" w:ascii="Times New Roman CE" w:hAnsi="Times New Roman CE"/>
              </w:rPr>
              <w:t>Titlul ştiinţific/ştiinţifico-didactic</w:t>
            </w:r>
          </w:p>
        </w:tc>
        <w:tc>
          <w:tcPr>
            <w:tcW w:w="468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rFonts w:cs="Times New Roman CE" w:ascii="Times New Roman CE" w:hAnsi="Times New Roman CE"/>
              </w:rPr>
              <w:t>Conferenţiar cercetător</w:t>
            </w:r>
          </w:p>
        </w:tc>
      </w:tr>
      <w:tr>
        <w:trPr>
          <w:trHeight w:val="264" w:hRule="atLeast"/>
        </w:trPr>
        <w:tc>
          <w:tcPr>
            <w:tcW w:w="115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240"/>
              <w:jc w:val="left"/>
              <w:textAlignment w:val="auto"/>
              <w:rPr/>
            </w:pPr>
            <w:r>
              <w:rPr/>
              <w:t>1.3.5.</w:t>
            </w:r>
          </w:p>
        </w:tc>
        <w:tc>
          <w:tcPr>
            <w:tcW w:w="36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40"/>
              <w:jc w:val="left"/>
              <w:textAlignment w:val="auto"/>
              <w:rPr/>
            </w:pPr>
            <w:r>
              <w:rPr/>
              <w:t>Titlul academic</w:t>
            </w:r>
          </w:p>
        </w:tc>
        <w:tc>
          <w:tcPr>
            <w:tcW w:w="468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t> </w:t>
            </w:r>
          </w:p>
        </w:tc>
      </w:tr>
      <w:tr>
        <w:trPr>
          <w:trHeight w:val="264" w:hRule="atLeast"/>
        </w:trPr>
        <w:tc>
          <w:tcPr>
            <w:tcW w:w="115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pPr>
            <w:r>
              <w:rPr>
                <w:b/>
                <w:bCs/>
              </w:rPr>
              <w:t>1.4.</w:t>
            </w:r>
          </w:p>
        </w:tc>
        <w:tc>
          <w:tcPr>
            <w:tcW w:w="36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rFonts w:cs="Times New Roman CE" w:ascii="Times New Roman CE" w:hAnsi="Times New Roman CE"/>
                <w:b/>
                <w:bCs/>
              </w:rPr>
              <w:t>Anul creării</w:t>
            </w:r>
          </w:p>
        </w:tc>
        <w:tc>
          <w:tcPr>
            <w:tcW w:w="468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t>2009</w:t>
            </w:r>
          </w:p>
        </w:tc>
      </w:tr>
      <w:tr>
        <w:trPr>
          <w:trHeight w:val="264" w:hRule="atLeast"/>
        </w:trPr>
        <w:tc>
          <w:tcPr>
            <w:tcW w:w="115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pPr>
            <w:r>
              <w:rPr>
                <w:b/>
                <w:bCs/>
              </w:rPr>
              <w:t xml:space="preserve">1.5. </w:t>
            </w:r>
          </w:p>
        </w:tc>
        <w:tc>
          <w:tcPr>
            <w:tcW w:w="8347" w:type="dxa"/>
            <w:gridSpan w:val="2"/>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pPr>
            <w:r>
              <w:rPr>
                <w:b/>
                <w:bCs/>
              </w:rPr>
              <w:t>Date de contact:</w:t>
            </w:r>
          </w:p>
        </w:tc>
      </w:tr>
      <w:tr>
        <w:trPr>
          <w:trHeight w:val="264" w:hRule="atLeast"/>
        </w:trPr>
        <w:tc>
          <w:tcPr>
            <w:tcW w:w="115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240"/>
              <w:jc w:val="left"/>
              <w:textAlignment w:val="auto"/>
              <w:rPr/>
            </w:pPr>
            <w:r>
              <w:rPr/>
              <w:t>1.5.1.</w:t>
            </w:r>
          </w:p>
        </w:tc>
        <w:tc>
          <w:tcPr>
            <w:tcW w:w="36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40"/>
              <w:jc w:val="left"/>
              <w:textAlignment w:val="auto"/>
              <w:rPr/>
            </w:pPr>
            <w:r>
              <w:rPr/>
              <w:t>Telefon</w:t>
            </w:r>
          </w:p>
        </w:tc>
        <w:tc>
          <w:tcPr>
            <w:tcW w:w="468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ro-RO"/>
              </w:rPr>
            </w:pPr>
            <w:r>
              <w:rPr>
                <w:lang w:val="ro-RO"/>
              </w:rPr>
              <w:t xml:space="preserve">022 </w:t>
            </w:r>
            <w:r>
              <w:rPr/>
              <w:t xml:space="preserve">73 80 29,     </w:t>
            </w:r>
            <w:r>
              <w:rPr>
                <w:lang w:val="ro-RO"/>
              </w:rPr>
              <w:t xml:space="preserve">022 </w:t>
            </w:r>
            <w:r>
              <w:rPr/>
              <w:t>72 70 59</w:t>
            </w:r>
          </w:p>
        </w:tc>
      </w:tr>
      <w:tr>
        <w:trPr>
          <w:trHeight w:val="264" w:hRule="atLeast"/>
        </w:trPr>
        <w:tc>
          <w:tcPr>
            <w:tcW w:w="115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240"/>
              <w:jc w:val="left"/>
              <w:textAlignment w:val="auto"/>
              <w:rPr/>
            </w:pPr>
            <w:r>
              <w:rPr/>
              <w:t>1.5.2.</w:t>
            </w:r>
          </w:p>
        </w:tc>
        <w:tc>
          <w:tcPr>
            <w:tcW w:w="36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40"/>
              <w:jc w:val="left"/>
              <w:textAlignment w:val="auto"/>
              <w:rPr/>
            </w:pPr>
            <w:r>
              <w:rPr/>
              <w:t>Fax</w:t>
            </w:r>
          </w:p>
        </w:tc>
        <w:tc>
          <w:tcPr>
            <w:tcW w:w="468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ro-RO"/>
              </w:rPr>
            </w:pPr>
            <w:r>
              <w:rPr>
                <w:lang w:val="ro-RO"/>
              </w:rPr>
              <w:t xml:space="preserve">022 </w:t>
            </w:r>
            <w:r>
              <w:rPr/>
              <w:t>73 80 27</w:t>
            </w:r>
          </w:p>
        </w:tc>
      </w:tr>
      <w:tr>
        <w:trPr>
          <w:trHeight w:val="264" w:hRule="atLeast"/>
        </w:trPr>
        <w:tc>
          <w:tcPr>
            <w:tcW w:w="115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240"/>
              <w:jc w:val="left"/>
              <w:textAlignment w:val="auto"/>
              <w:rPr/>
            </w:pPr>
            <w:r>
              <w:rPr/>
              <w:t>1.5.3.</w:t>
            </w:r>
          </w:p>
        </w:tc>
        <w:tc>
          <w:tcPr>
            <w:tcW w:w="36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40"/>
              <w:jc w:val="left"/>
              <w:textAlignment w:val="auto"/>
              <w:rPr/>
            </w:pPr>
            <w:r>
              <w:rPr/>
              <w:t xml:space="preserve">E-mail </w:t>
            </w:r>
          </w:p>
        </w:tc>
        <w:tc>
          <w:tcPr>
            <w:tcW w:w="468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t>izbas@mail.md,  v</w:t>
            </w:r>
            <w:r>
              <w:rPr>
                <w:lang w:val="ro-RO"/>
              </w:rPr>
              <w:t>ladimir.</w:t>
            </w:r>
            <w:r>
              <w:rPr/>
              <w:t>izb</w:t>
            </w:r>
            <w:r>
              <w:rPr>
                <w:lang w:val="ro-RO"/>
              </w:rPr>
              <w:t>as</w:t>
            </w:r>
            <w:r>
              <w:rPr/>
              <w:t>@math.md</w:t>
            </w:r>
          </w:p>
        </w:tc>
      </w:tr>
      <w:tr>
        <w:trPr>
          <w:trHeight w:val="264" w:hRule="atLeast"/>
        </w:trPr>
        <w:tc>
          <w:tcPr>
            <w:tcW w:w="115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240"/>
              <w:jc w:val="left"/>
              <w:textAlignment w:val="auto"/>
              <w:rPr/>
            </w:pPr>
            <w:r>
              <w:rPr/>
              <w:t>1.5.4.</w:t>
            </w:r>
          </w:p>
        </w:tc>
        <w:tc>
          <w:tcPr>
            <w:tcW w:w="36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40"/>
              <w:jc w:val="left"/>
              <w:textAlignment w:val="auto"/>
              <w:rPr/>
            </w:pPr>
            <w:r>
              <w:rPr/>
              <w:t>Pagina WEB a subdiviziunii</w:t>
            </w:r>
          </w:p>
        </w:tc>
        <w:tc>
          <w:tcPr>
            <w:tcW w:w="468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t> </w:t>
            </w:r>
          </w:p>
        </w:tc>
      </w:tr>
      <w:tr>
        <w:trPr>
          <w:trHeight w:val="264" w:hRule="atLeast"/>
        </w:trPr>
        <w:tc>
          <w:tcPr>
            <w:tcW w:w="1151" w:type="dxa"/>
            <w:tcBorders>
              <w:left w:val="single" w:sz="8" w:space="0" w:color="000001"/>
              <w:right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pPr>
            <w:r>
              <w:rPr>
                <w:b/>
                <w:bCs/>
              </w:rPr>
              <w:t>1.6.</w:t>
            </w:r>
          </w:p>
        </w:tc>
        <w:tc>
          <w:tcPr>
            <w:tcW w:w="8347" w:type="dxa"/>
            <w:gridSpan w:val="2"/>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lang w:val="fr-FR"/>
              </w:rPr>
            </w:pPr>
            <w:r>
              <w:rPr>
                <w:rFonts w:cs="Times New Roman CE" w:ascii="Times New Roman CE" w:hAnsi="Times New Roman CE"/>
                <w:b/>
                <w:bCs/>
                <w:lang w:val="fr-FR"/>
              </w:rPr>
              <w:t>Persoana responsabilă de completarea formularului:</w:t>
            </w:r>
          </w:p>
        </w:tc>
      </w:tr>
      <w:tr>
        <w:trPr>
          <w:trHeight w:val="264" w:hRule="atLeast"/>
        </w:trPr>
        <w:tc>
          <w:tcPr>
            <w:tcW w:w="1151" w:type="dxa"/>
            <w:tcBorders>
              <w:top w:val="single" w:sz="8" w:space="0" w:color="000001"/>
              <w:left w:val="single" w:sz="8" w:space="0" w:color="000001"/>
              <w:right w:val="single" w:sz="8" w:space="0" w:color="000001"/>
              <w:insideV w:val="single" w:sz="8" w:space="0" w:color="000001"/>
            </w:tcBorders>
            <w:shd w:fill="auto" w:val="clear"/>
            <w:tcMar>
              <w:left w:w="98" w:type="dxa"/>
            </w:tcMar>
            <w:vAlign w:val="bottom"/>
          </w:tcPr>
          <w:p>
            <w:pPr>
              <w:pStyle w:val="Normal"/>
              <w:widowControl/>
              <w:bidi w:val="0"/>
              <w:ind w:left="0" w:right="0" w:firstLine="240"/>
              <w:jc w:val="left"/>
              <w:textAlignment w:val="auto"/>
              <w:rPr/>
            </w:pPr>
            <w:r>
              <w:rPr/>
              <w:t>1.6.1.</w:t>
            </w:r>
          </w:p>
        </w:tc>
        <w:tc>
          <w:tcPr>
            <w:tcW w:w="36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40"/>
              <w:jc w:val="left"/>
              <w:textAlignment w:val="auto"/>
              <w:rPr/>
            </w:pPr>
            <w:r>
              <w:rPr/>
              <w:t xml:space="preserve">Numele, prenumele </w:t>
            </w:r>
          </w:p>
        </w:tc>
        <w:tc>
          <w:tcPr>
            <w:tcW w:w="468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rFonts w:cs="Times New Roman CE" w:ascii="Times New Roman CE" w:hAnsi="Times New Roman CE"/>
              </w:rPr>
              <w:t xml:space="preserve"> </w:t>
            </w:r>
            <w:r>
              <w:rPr>
                <w:rFonts w:cs="Times New Roman CE" w:ascii="Times New Roman CE" w:hAnsi="Times New Roman CE"/>
              </w:rPr>
              <w:t>Izbaş Vladimir</w:t>
            </w:r>
          </w:p>
        </w:tc>
      </w:tr>
      <w:tr>
        <w:trPr>
          <w:trHeight w:val="264" w:hRule="atLeast"/>
        </w:trPr>
        <w:tc>
          <w:tcPr>
            <w:tcW w:w="115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240"/>
              <w:jc w:val="left"/>
              <w:textAlignment w:val="auto"/>
              <w:rPr/>
            </w:pPr>
            <w:r>
              <w:rPr/>
              <w:t>1.6.2.</w:t>
            </w:r>
          </w:p>
        </w:tc>
        <w:tc>
          <w:tcPr>
            <w:tcW w:w="36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40"/>
              <w:jc w:val="left"/>
              <w:textAlignment w:val="auto"/>
              <w:rPr/>
            </w:pPr>
            <w:r>
              <w:rPr/>
              <w:t xml:space="preserve">Telefon </w:t>
            </w:r>
          </w:p>
        </w:tc>
        <w:tc>
          <w:tcPr>
            <w:tcW w:w="468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ro-RO"/>
              </w:rPr>
            </w:pPr>
            <w:r>
              <w:rPr>
                <w:lang w:val="ro-RO"/>
              </w:rPr>
              <w:t xml:space="preserve">022 </w:t>
            </w:r>
            <w:r>
              <w:rPr/>
              <w:t xml:space="preserve">73 80 29,     </w:t>
            </w:r>
            <w:r>
              <w:rPr>
                <w:lang w:val="ro-RO"/>
              </w:rPr>
              <w:t xml:space="preserve">022 </w:t>
            </w:r>
            <w:r>
              <w:rPr/>
              <w:t>72 70 59</w:t>
            </w:r>
          </w:p>
        </w:tc>
      </w:tr>
      <w:tr>
        <w:trPr>
          <w:trHeight w:val="264" w:hRule="atLeast"/>
        </w:trPr>
        <w:tc>
          <w:tcPr>
            <w:tcW w:w="115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240"/>
              <w:jc w:val="left"/>
              <w:textAlignment w:val="auto"/>
              <w:rPr/>
            </w:pPr>
            <w:r>
              <w:rPr/>
              <w:t>1.6.3.</w:t>
            </w:r>
          </w:p>
        </w:tc>
        <w:tc>
          <w:tcPr>
            <w:tcW w:w="36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40"/>
              <w:jc w:val="left"/>
              <w:textAlignment w:val="auto"/>
              <w:rPr/>
            </w:pPr>
            <w:r>
              <w:rPr/>
              <w:t xml:space="preserve">E-mail </w:t>
            </w:r>
          </w:p>
        </w:tc>
        <w:tc>
          <w:tcPr>
            <w:tcW w:w="468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t>izbas@mail.md,  v</w:t>
            </w:r>
            <w:r>
              <w:rPr>
                <w:lang w:val="ro-RO"/>
              </w:rPr>
              <w:t>ladimir.</w:t>
            </w:r>
            <w:r>
              <w:rPr/>
              <w:t>izb</w:t>
            </w:r>
            <w:r>
              <w:rPr>
                <w:lang w:val="ro-RO"/>
              </w:rPr>
              <w:t>as</w:t>
            </w:r>
            <w:r>
              <w:rPr/>
              <w:t>@math.md</w:t>
            </w:r>
          </w:p>
        </w:tc>
      </w:tr>
    </w:tbl>
    <w:p>
      <w:pPr>
        <w:sectPr>
          <w:type w:val="nextPage"/>
          <w:pgSz w:w="11906" w:h="16838"/>
          <w:pgMar w:left="1560" w:right="720" w:header="0" w:top="284" w:footer="0" w:bottom="426" w:gutter="0"/>
          <w:pgNumType w:fmt="decimal"/>
          <w:formProt w:val="false"/>
          <w:textDirection w:val="lrTb"/>
          <w:docGrid w:type="default" w:linePitch="240" w:charSpace="4294961151"/>
        </w:sectPr>
        <w:pStyle w:val="Normal"/>
        <w:widowControl/>
        <w:bidi w:val="0"/>
        <w:ind w:left="0" w:right="0" w:hanging="0"/>
        <w:jc w:val="left"/>
        <w:textAlignment w:val="auto"/>
        <w:rPr>
          <w:rFonts w:ascii="Times New Roman" w:hAnsi="Times New Roman"/>
          <w:sz w:val="20"/>
          <w:szCs w:val="20"/>
        </w:rPr>
      </w:pPr>
      <w:r>
        <w:rPr>
          <w:sz w:val="20"/>
          <w:szCs w:val="20"/>
        </w:rPr>
      </w:r>
    </w:p>
    <w:p>
      <w:pPr>
        <w:pStyle w:val="Normal"/>
        <w:widowControl/>
        <w:bidi w:val="0"/>
        <w:spacing w:before="0" w:after="240"/>
        <w:ind w:left="0" w:right="-2016" w:hanging="0"/>
        <w:jc w:val="left"/>
        <w:textAlignment w:val="auto"/>
        <w:rPr>
          <w:rFonts w:ascii="Times New Roman" w:hAnsi="Times New Roman"/>
          <w:sz w:val="22"/>
          <w:szCs w:val="22"/>
        </w:rPr>
      </w:pPr>
      <w:r>
        <w:rPr>
          <w:sz w:val="22"/>
          <w:szCs w:val="22"/>
        </w:rPr>
      </w:r>
    </w:p>
    <w:p>
      <w:pPr>
        <w:pStyle w:val="Normal"/>
        <w:widowControl/>
        <w:bidi w:val="0"/>
        <w:spacing w:before="0" w:after="240"/>
        <w:ind w:left="0" w:right="-2016" w:hanging="0"/>
        <w:jc w:val="left"/>
        <w:textAlignment w:val="auto"/>
        <w:rPr>
          <w:rFonts w:ascii="Times New Roman" w:hAnsi="Times New Roman"/>
          <w:sz w:val="22"/>
          <w:szCs w:val="22"/>
        </w:rPr>
      </w:pPr>
      <w:r>
        <w:rPr>
          <w:sz w:val="22"/>
          <w:szCs w:val="22"/>
        </w:rPr>
      </w:r>
    </w:p>
    <w:tbl>
      <w:tblPr>
        <w:tblW w:w="9606" w:type="dxa"/>
        <w:jc w:val="left"/>
        <w:tblInd w:w="-109" w:type="dxa"/>
        <w:tblBorders>
          <w:top w:val="single" w:sz="8" w:space="0" w:color="000001"/>
          <w:left w:val="single" w:sz="8" w:space="0" w:color="000001"/>
          <w:bottom w:val="single" w:sz="8" w:space="0" w:color="000001"/>
          <w:insideH w:val="single" w:sz="8" w:space="0" w:color="000001"/>
        </w:tblBorders>
        <w:tblCellMar>
          <w:top w:w="0" w:type="dxa"/>
          <w:left w:w="98" w:type="dxa"/>
          <w:bottom w:w="0" w:type="dxa"/>
          <w:right w:w="108" w:type="dxa"/>
        </w:tblCellMar>
      </w:tblPr>
      <w:tblGrid>
        <w:gridCol w:w="1242"/>
        <w:gridCol w:w="4574"/>
        <w:gridCol w:w="1805"/>
        <w:gridCol w:w="329"/>
        <w:gridCol w:w="1655"/>
      </w:tblGrid>
      <w:tr>
        <w:trPr>
          <w:trHeight w:val="330" w:hRule="atLeast"/>
        </w:trPr>
        <w:tc>
          <w:tcPr>
            <w:tcW w:w="7950" w:type="dxa"/>
            <w:gridSpan w:val="4"/>
            <w:tcBorders>
              <w:top w:val="single" w:sz="8" w:space="0" w:color="000001"/>
              <w:left w:val="single" w:sz="8" w:space="0" w:color="000001"/>
              <w:bottom w:val="single" w:sz="8" w:space="0" w:color="000001"/>
              <w:insideH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bookmarkStart w:id="438" w:name="RANGE!A1:D16"/>
            <w:bookmarkEnd w:id="438"/>
            <w:r>
              <w:rPr>
                <w:b/>
                <w:bCs/>
                <w:lang w:val="fr-FR"/>
              </w:rPr>
              <w:t>2.1. CADRUL TEMATIC DE CERCETARE PE ANUL 2016</w:t>
            </w:r>
          </w:p>
        </w:tc>
        <w:tc>
          <w:tcPr>
            <w:tcW w:w="1655" w:type="dxa"/>
            <w:tcBorders>
              <w:top w:val="single" w:sz="8" w:space="0" w:color="000001"/>
              <w:right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lang w:val="fr-FR"/>
              </w:rPr>
              <w:t> </w:t>
            </w:r>
          </w:p>
        </w:tc>
      </w:tr>
      <w:tr>
        <w:trPr>
          <w:trHeight w:val="570" w:hRule="atLeast"/>
        </w:trPr>
        <w:tc>
          <w:tcPr>
            <w:tcW w:w="1242" w:type="dxa"/>
            <w:vMerge w:val="restart"/>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pPr>
            <w:r>
              <w:rPr>
                <w:b/>
                <w:bCs/>
              </w:rPr>
              <w:t>Nr. d/o</w:t>
            </w:r>
          </w:p>
        </w:tc>
        <w:tc>
          <w:tcPr>
            <w:tcW w:w="4574" w:type="dxa"/>
            <w:vMerge w:val="restart"/>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center"/>
              <w:textAlignment w:val="auto"/>
              <w:rPr/>
            </w:pPr>
            <w:r>
              <w:rPr>
                <w:b/>
                <w:bCs/>
              </w:rPr>
              <w:t> </w:t>
            </w:r>
          </w:p>
        </w:tc>
        <w:tc>
          <w:tcPr>
            <w:tcW w:w="3789"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pPr>
            <w:r>
              <w:rPr>
                <w:rFonts w:cs="Times New Roman CE" w:ascii="Times New Roman CE" w:hAnsi="Times New Roman CE"/>
                <w:b/>
                <w:bCs/>
              </w:rPr>
              <w:t>Numărul de proiecte</w:t>
            </w:r>
          </w:p>
        </w:tc>
      </w:tr>
      <w:tr>
        <w:trPr>
          <w:trHeight w:val="375" w:hRule="atLeast"/>
        </w:trPr>
        <w:tc>
          <w:tcPr>
            <w:tcW w:w="1242" w:type="dxa"/>
            <w:vMerge w:val="continue"/>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b/>
                <w:b/>
                <w:bCs/>
              </w:rPr>
            </w:pPr>
            <w:r>
              <w:rPr>
                <w:b/>
                <w:bCs/>
              </w:rPr>
            </w:r>
          </w:p>
        </w:tc>
        <w:tc>
          <w:tcPr>
            <w:tcW w:w="4574" w:type="dxa"/>
            <w:vMerge w:val="continue"/>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b/>
                <w:b/>
                <w:bCs/>
              </w:rPr>
            </w:pPr>
            <w:r>
              <w:rPr>
                <w:b/>
                <w:bCs/>
              </w:rPr>
            </w:r>
          </w:p>
        </w:tc>
        <w:tc>
          <w:tcPr>
            <w:tcW w:w="1805" w:type="dxa"/>
            <w:tcBorders>
              <w:bottom w:val="single" w:sz="8" w:space="0" w:color="000001"/>
              <w:insideH w:val="single" w:sz="8" w:space="0" w:color="000001"/>
            </w:tcBorders>
            <w:shd w:fill="auto" w:val="clear"/>
            <w:vAlign w:val="center"/>
          </w:tcPr>
          <w:p>
            <w:pPr>
              <w:pStyle w:val="Normal"/>
              <w:widowControl/>
              <w:bidi w:val="0"/>
              <w:ind w:left="0" w:right="0" w:hanging="0"/>
              <w:jc w:val="center"/>
              <w:textAlignment w:val="auto"/>
              <w:rPr/>
            </w:pPr>
            <w:r>
              <w:rPr>
                <w:b/>
                <w:bCs/>
              </w:rPr>
              <w:t>fundamentale</w:t>
            </w:r>
          </w:p>
        </w:tc>
        <w:tc>
          <w:tcPr>
            <w:tcW w:w="1984"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pPr>
            <w:r>
              <w:rPr>
                <w:b/>
                <w:bCs/>
              </w:rPr>
              <w:t>aplicative</w:t>
            </w:r>
          </w:p>
        </w:tc>
      </w:tr>
      <w:tr>
        <w:trPr>
          <w:trHeight w:val="330" w:hRule="atLeast"/>
        </w:trPr>
        <w:tc>
          <w:tcPr>
            <w:tcW w:w="124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b/>
                <w:bCs/>
              </w:rPr>
              <w:t>2.1.</w:t>
            </w:r>
          </w:p>
        </w:tc>
        <w:tc>
          <w:tcPr>
            <w:tcW w:w="4574"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b/>
                <w:bCs/>
              </w:rPr>
              <w:t xml:space="preserve">TOTAL </w:t>
            </w:r>
          </w:p>
        </w:tc>
        <w:tc>
          <w:tcPr>
            <w:tcW w:w="1805" w:type="dxa"/>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ro-RO"/>
              </w:rPr>
            </w:pPr>
            <w:r>
              <w:rPr>
                <w:b/>
                <w:bCs/>
                <w:lang w:val="ro-RO"/>
              </w:rPr>
              <w:t>1</w:t>
            </w:r>
          </w:p>
        </w:tc>
        <w:tc>
          <w:tcPr>
            <w:tcW w:w="1984"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b/>
                <w:bCs/>
              </w:rPr>
              <w:t>0</w:t>
            </w:r>
          </w:p>
        </w:tc>
      </w:tr>
      <w:tr>
        <w:trPr>
          <w:trHeight w:val="330" w:hRule="atLeast"/>
        </w:trPr>
        <w:tc>
          <w:tcPr>
            <w:tcW w:w="124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b/>
                <w:bCs/>
              </w:rPr>
              <w:t>2.1.1.</w:t>
            </w:r>
          </w:p>
        </w:tc>
        <w:tc>
          <w:tcPr>
            <w:tcW w:w="457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rFonts w:cs="Times New Roman CE" w:ascii="Times New Roman CE" w:hAnsi="Times New Roman CE"/>
                <w:b/>
                <w:bCs/>
              </w:rPr>
              <w:t>Cercetări ştiinţifice fundamentale, total</w:t>
            </w:r>
          </w:p>
        </w:tc>
        <w:tc>
          <w:tcPr>
            <w:tcW w:w="1805" w:type="dxa"/>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ro-RO"/>
              </w:rPr>
            </w:pPr>
            <w:r>
              <w:rPr>
                <w:b/>
                <w:bCs/>
                <w:lang w:val="ro-RO"/>
              </w:rPr>
              <w:t>1</w:t>
            </w:r>
          </w:p>
        </w:tc>
        <w:tc>
          <w:tcPr>
            <w:tcW w:w="1984"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b/>
                <w:bCs/>
              </w:rPr>
              <w:t>0</w:t>
            </w:r>
          </w:p>
        </w:tc>
      </w:tr>
      <w:tr>
        <w:trPr>
          <w:trHeight w:val="330" w:hRule="atLeast"/>
        </w:trPr>
        <w:tc>
          <w:tcPr>
            <w:tcW w:w="124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 </w:t>
            </w:r>
          </w:p>
        </w:tc>
        <w:tc>
          <w:tcPr>
            <w:tcW w:w="4574"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 xml:space="preserve">Inclusiv </w:t>
            </w:r>
          </w:p>
        </w:tc>
        <w:tc>
          <w:tcPr>
            <w:tcW w:w="1805" w:type="dxa"/>
            <w:tcBorders>
              <w:bottom w:val="single" w:sz="8" w:space="0" w:color="000001"/>
              <w:insideH w:val="single" w:sz="8" w:space="0" w:color="000001"/>
            </w:tcBorders>
            <w:shd w:color="auto" w:fill="C0C0C0"/>
          </w:tcPr>
          <w:p>
            <w:pPr>
              <w:pStyle w:val="Normal"/>
              <w:widowControl/>
              <w:bidi w:val="0"/>
              <w:ind w:left="0" w:right="0" w:hanging="0"/>
              <w:jc w:val="center"/>
              <w:textAlignment w:val="auto"/>
              <w:rPr/>
            </w:pPr>
            <w:r>
              <w:rPr>
                <w:b/>
                <w:bCs/>
              </w:rPr>
              <w:t> </w:t>
            </w:r>
          </w:p>
        </w:tc>
        <w:tc>
          <w:tcPr>
            <w:tcW w:w="1984" w:type="dxa"/>
            <w:gridSpan w:val="2"/>
            <w:tcBorders>
              <w:left w:val="single" w:sz="8" w:space="0" w:color="000001"/>
              <w:bottom w:val="single" w:sz="8" w:space="0" w:color="000001"/>
              <w:right w:val="single" w:sz="8" w:space="0" w:color="000001"/>
              <w:insideH w:val="single" w:sz="8" w:space="0" w:color="000001"/>
              <w:insideV w:val="single" w:sz="8" w:space="0" w:color="000001"/>
            </w:tcBorders>
            <w:shd w:color="auto" w:fill="C0C0C0"/>
            <w:tcMar>
              <w:left w:w="98" w:type="dxa"/>
            </w:tcMar>
          </w:tcPr>
          <w:p>
            <w:pPr>
              <w:pStyle w:val="Normal"/>
              <w:widowControl/>
              <w:bidi w:val="0"/>
              <w:ind w:left="0" w:right="0" w:hanging="0"/>
              <w:jc w:val="center"/>
              <w:textAlignment w:val="auto"/>
              <w:rPr/>
            </w:pPr>
            <w:r>
              <w:rPr>
                <w:b/>
                <w:bCs/>
              </w:rPr>
              <w:t> </w:t>
            </w:r>
          </w:p>
        </w:tc>
      </w:tr>
      <w:tr>
        <w:trPr>
          <w:trHeight w:val="315" w:hRule="atLeast"/>
        </w:trPr>
        <w:tc>
          <w:tcPr>
            <w:tcW w:w="124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2.1.1.1.</w:t>
            </w:r>
          </w:p>
        </w:tc>
        <w:tc>
          <w:tcPr>
            <w:tcW w:w="4574"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40"/>
              <w:jc w:val="left"/>
              <w:textAlignment w:val="auto"/>
              <w:rPr/>
            </w:pPr>
            <w:r>
              <w:rPr>
                <w:rFonts w:cs="Times New Roman CE" w:ascii="Times New Roman CE" w:hAnsi="Times New Roman CE"/>
              </w:rPr>
              <w:t>Proiecte de cercetări instituţionale</w:t>
            </w:r>
          </w:p>
        </w:tc>
        <w:tc>
          <w:tcPr>
            <w:tcW w:w="1805"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ro-RO"/>
              </w:rPr>
            </w:pPr>
            <w:r>
              <w:rPr>
                <w:lang w:val="ro-RO"/>
              </w:rPr>
              <w:t>1</w:t>
            </w:r>
          </w:p>
        </w:tc>
        <w:tc>
          <w:tcPr>
            <w:tcW w:w="1984"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0</w:t>
            </w:r>
          </w:p>
        </w:tc>
      </w:tr>
      <w:tr>
        <w:trPr>
          <w:trHeight w:val="315" w:hRule="atLeast"/>
        </w:trPr>
        <w:tc>
          <w:tcPr>
            <w:tcW w:w="124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2.1.1.2.</w:t>
            </w:r>
          </w:p>
        </w:tc>
        <w:tc>
          <w:tcPr>
            <w:tcW w:w="4574"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40"/>
              <w:jc w:val="left"/>
              <w:textAlignment w:val="auto"/>
              <w:rPr>
                <w:lang w:val="fr-FR"/>
              </w:rPr>
            </w:pPr>
            <w:r>
              <w:rPr>
                <w:lang w:val="fr-FR"/>
              </w:rPr>
              <w:t>Proiecte din cadrul programelor de stat</w:t>
            </w:r>
          </w:p>
        </w:tc>
        <w:tc>
          <w:tcPr>
            <w:tcW w:w="1805"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0</w:t>
            </w:r>
          </w:p>
        </w:tc>
        <w:tc>
          <w:tcPr>
            <w:tcW w:w="1984"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0</w:t>
            </w:r>
          </w:p>
        </w:tc>
      </w:tr>
      <w:tr>
        <w:trPr>
          <w:trHeight w:val="315" w:hRule="atLeast"/>
        </w:trPr>
        <w:tc>
          <w:tcPr>
            <w:tcW w:w="124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2.1.1.3.</w:t>
            </w:r>
          </w:p>
        </w:tc>
        <w:tc>
          <w:tcPr>
            <w:tcW w:w="4574"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40"/>
              <w:jc w:val="left"/>
              <w:textAlignment w:val="auto"/>
              <w:rPr/>
            </w:pPr>
            <w:r>
              <w:rPr>
                <w:rFonts w:cs="Times New Roman CE" w:ascii="Times New Roman CE" w:hAnsi="Times New Roman CE"/>
              </w:rPr>
              <w:t>Proiecte pentru tineri cercetători</w:t>
            </w:r>
          </w:p>
        </w:tc>
        <w:tc>
          <w:tcPr>
            <w:tcW w:w="1805"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0</w:t>
            </w:r>
          </w:p>
        </w:tc>
        <w:tc>
          <w:tcPr>
            <w:tcW w:w="1984"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0</w:t>
            </w:r>
          </w:p>
        </w:tc>
      </w:tr>
      <w:tr>
        <w:trPr>
          <w:trHeight w:val="315" w:hRule="atLeast"/>
        </w:trPr>
        <w:tc>
          <w:tcPr>
            <w:tcW w:w="124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2.1.1.4.</w:t>
            </w:r>
          </w:p>
        </w:tc>
        <w:tc>
          <w:tcPr>
            <w:tcW w:w="4574"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40"/>
              <w:jc w:val="left"/>
              <w:textAlignment w:val="auto"/>
              <w:rPr/>
            </w:pPr>
            <w:r>
              <w:rPr/>
              <w:t>Proiecte pentru procurarea echipamentului</w:t>
            </w:r>
          </w:p>
        </w:tc>
        <w:tc>
          <w:tcPr>
            <w:tcW w:w="1805"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0</w:t>
            </w:r>
          </w:p>
        </w:tc>
        <w:tc>
          <w:tcPr>
            <w:tcW w:w="1984"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0</w:t>
            </w:r>
          </w:p>
        </w:tc>
      </w:tr>
      <w:tr>
        <w:trPr>
          <w:trHeight w:val="330" w:hRule="atLeast"/>
        </w:trPr>
        <w:tc>
          <w:tcPr>
            <w:tcW w:w="124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2.1.2.</w:t>
            </w:r>
          </w:p>
        </w:tc>
        <w:tc>
          <w:tcPr>
            <w:tcW w:w="4574"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41"/>
              <w:jc w:val="left"/>
              <w:textAlignment w:val="auto"/>
              <w:rPr/>
            </w:pPr>
            <w:r>
              <w:rPr>
                <w:rFonts w:cs="Times New Roman CE" w:ascii="Times New Roman CE" w:hAnsi="Times New Roman CE"/>
                <w:b/>
                <w:bCs/>
              </w:rPr>
              <w:t>Proiecte/granturi internaţionale</w:t>
            </w:r>
          </w:p>
        </w:tc>
        <w:tc>
          <w:tcPr>
            <w:tcW w:w="1805" w:type="dxa"/>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b/>
                <w:bCs/>
              </w:rPr>
              <w:t>0</w:t>
            </w:r>
          </w:p>
        </w:tc>
        <w:tc>
          <w:tcPr>
            <w:tcW w:w="1984"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b/>
                <w:bCs/>
              </w:rPr>
              <w:t>0</w:t>
            </w:r>
          </w:p>
        </w:tc>
      </w:tr>
      <w:tr>
        <w:trPr>
          <w:trHeight w:val="315" w:hRule="atLeast"/>
        </w:trPr>
        <w:tc>
          <w:tcPr>
            <w:tcW w:w="124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2.1.2.1.</w:t>
            </w:r>
          </w:p>
        </w:tc>
        <w:tc>
          <w:tcPr>
            <w:tcW w:w="4574"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40"/>
              <w:jc w:val="left"/>
              <w:textAlignment w:val="auto"/>
              <w:rPr/>
            </w:pPr>
            <w:r>
              <w:rPr/>
              <w:t xml:space="preserve">  </w:t>
            </w:r>
            <w:r>
              <w:rPr/>
              <w:t>Bilaterale</w:t>
            </w:r>
          </w:p>
        </w:tc>
        <w:tc>
          <w:tcPr>
            <w:tcW w:w="1805"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0</w:t>
            </w:r>
          </w:p>
        </w:tc>
        <w:tc>
          <w:tcPr>
            <w:tcW w:w="1984"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0</w:t>
            </w:r>
          </w:p>
        </w:tc>
      </w:tr>
      <w:tr>
        <w:trPr>
          <w:trHeight w:val="315" w:hRule="atLeast"/>
        </w:trPr>
        <w:tc>
          <w:tcPr>
            <w:tcW w:w="124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2.1.2.2.</w:t>
            </w:r>
          </w:p>
        </w:tc>
        <w:tc>
          <w:tcPr>
            <w:tcW w:w="4574"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40"/>
              <w:jc w:val="left"/>
              <w:textAlignment w:val="auto"/>
              <w:rPr/>
            </w:pPr>
            <w:r>
              <w:rPr/>
              <w:t xml:space="preserve">  </w:t>
            </w:r>
            <w:r>
              <w:rPr/>
              <w:t>PC6/PC7</w:t>
            </w:r>
          </w:p>
        </w:tc>
        <w:tc>
          <w:tcPr>
            <w:tcW w:w="1805"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0</w:t>
            </w:r>
          </w:p>
        </w:tc>
        <w:tc>
          <w:tcPr>
            <w:tcW w:w="1984"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0</w:t>
            </w:r>
          </w:p>
        </w:tc>
      </w:tr>
      <w:tr>
        <w:trPr>
          <w:trHeight w:val="315" w:hRule="atLeast"/>
        </w:trPr>
        <w:tc>
          <w:tcPr>
            <w:tcW w:w="124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2.1.2.3.</w:t>
            </w:r>
          </w:p>
        </w:tc>
        <w:tc>
          <w:tcPr>
            <w:tcW w:w="4574"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40"/>
              <w:jc w:val="left"/>
              <w:textAlignment w:val="auto"/>
              <w:rPr>
                <w:lang w:val="fr-FR"/>
              </w:rPr>
            </w:pPr>
            <w:r>
              <w:rPr>
                <w:lang w:val="fr-FR"/>
              </w:rPr>
              <w:t xml:space="preserve">  </w:t>
            </w:r>
            <w:r>
              <w:rPr>
                <w:lang w:val="fr-FR"/>
              </w:rPr>
              <w:t>Alte proiecte/granturi (de specificat)</w:t>
            </w:r>
          </w:p>
        </w:tc>
        <w:tc>
          <w:tcPr>
            <w:tcW w:w="1805"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0</w:t>
            </w:r>
          </w:p>
        </w:tc>
        <w:tc>
          <w:tcPr>
            <w:tcW w:w="1984"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0</w:t>
            </w:r>
          </w:p>
        </w:tc>
      </w:tr>
      <w:tr>
        <w:trPr>
          <w:trHeight w:val="315" w:hRule="atLeast"/>
        </w:trPr>
        <w:tc>
          <w:tcPr>
            <w:tcW w:w="124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2.1.3.</w:t>
            </w:r>
          </w:p>
        </w:tc>
        <w:tc>
          <w:tcPr>
            <w:tcW w:w="4574"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rFonts w:cs="Times New Roman CE" w:ascii="Times New Roman CE" w:hAnsi="Times New Roman CE"/>
                <w:b/>
                <w:bCs/>
              </w:rPr>
              <w:t>Proiecte/granturi naţionale</w:t>
            </w:r>
          </w:p>
        </w:tc>
        <w:tc>
          <w:tcPr>
            <w:tcW w:w="1805"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0</w:t>
            </w:r>
          </w:p>
        </w:tc>
        <w:tc>
          <w:tcPr>
            <w:tcW w:w="1984"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0</w:t>
            </w:r>
          </w:p>
        </w:tc>
      </w:tr>
      <w:tr>
        <w:trPr>
          <w:trHeight w:val="315" w:hRule="atLeast"/>
        </w:trPr>
        <w:tc>
          <w:tcPr>
            <w:tcW w:w="124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2.1.4.</w:t>
            </w:r>
          </w:p>
        </w:tc>
        <w:tc>
          <w:tcPr>
            <w:tcW w:w="4574"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rFonts w:cs="Times New Roman CE" w:ascii="Times New Roman CE" w:hAnsi="Times New Roman CE"/>
                <w:b/>
                <w:bCs/>
              </w:rPr>
              <w:t>Contracte cu agenţi economici</w:t>
            </w:r>
          </w:p>
        </w:tc>
        <w:tc>
          <w:tcPr>
            <w:tcW w:w="1805"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0</w:t>
            </w:r>
          </w:p>
        </w:tc>
        <w:tc>
          <w:tcPr>
            <w:tcW w:w="1984"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0</w:t>
            </w:r>
          </w:p>
        </w:tc>
      </w:tr>
    </w:tbl>
    <w:p>
      <w:pPr>
        <w:pStyle w:val="Normal"/>
        <w:widowControl/>
        <w:tabs>
          <w:tab w:val="left" w:pos="4215" w:leader="none"/>
        </w:tabs>
        <w:bidi w:val="0"/>
        <w:ind w:left="0" w:right="0" w:hanging="0"/>
        <w:jc w:val="left"/>
        <w:textAlignment w:val="auto"/>
        <w:rPr>
          <w:rFonts w:ascii="Times New Roman" w:hAnsi="Times New Roman"/>
        </w:rPr>
      </w:pPr>
      <w:r>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sectPr>
          <w:type w:val="nextPage"/>
          <w:pgSz w:w="11906" w:h="16838"/>
          <w:pgMar w:left="1560" w:right="720" w:header="0" w:top="284" w:footer="0" w:bottom="426" w:gutter="0"/>
          <w:pgNumType w:fmt="decimal"/>
          <w:formProt w:val="false"/>
          <w:textDirection w:val="lrTb"/>
          <w:docGrid w:type="default" w:linePitch="240" w:charSpace="4294961151"/>
        </w:sect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rPr>
      </w:pPr>
      <w:r>
        <w:rPr>
          <w:sz w:val="22"/>
          <w:szCs w:val="22"/>
        </w:rPr>
      </w:r>
    </w:p>
    <w:p>
      <w:pPr>
        <w:pStyle w:val="Normal"/>
        <w:widowControl/>
        <w:bidi w:val="0"/>
        <w:spacing w:before="0" w:after="240"/>
        <w:ind w:left="0" w:right="-2016" w:hanging="0"/>
        <w:jc w:val="left"/>
        <w:textAlignment w:val="auto"/>
        <w:rPr>
          <w:rFonts w:ascii="Times New Roman" w:hAnsi="Times New Roman"/>
          <w:sz w:val="22"/>
          <w:szCs w:val="22"/>
          <w:lang w:val="en-US"/>
        </w:rPr>
      </w:pPr>
      <w:r>
        <w:rPr>
          <w:sz w:val="22"/>
          <w:szCs w:val="22"/>
          <w:lang w:val="en-US"/>
        </w:rPr>
      </w:r>
    </w:p>
    <w:tbl>
      <w:tblPr>
        <w:tblW w:w="10730" w:type="dxa"/>
        <w:jc w:val="left"/>
        <w:tblInd w:w="-851" w:type="dxa"/>
        <w:tblBorders/>
        <w:tblCellMar>
          <w:top w:w="0" w:type="dxa"/>
          <w:left w:w="108" w:type="dxa"/>
          <w:bottom w:w="0" w:type="dxa"/>
          <w:right w:w="108" w:type="dxa"/>
        </w:tblCellMar>
      </w:tblPr>
      <w:tblGrid>
        <w:gridCol w:w="275"/>
        <w:gridCol w:w="491"/>
        <w:gridCol w:w="8"/>
        <w:gridCol w:w="89"/>
        <w:gridCol w:w="669"/>
        <w:gridCol w:w="932"/>
        <w:gridCol w:w="1"/>
        <w:gridCol w:w="156"/>
        <w:gridCol w:w="718"/>
        <w:gridCol w:w="1"/>
        <w:gridCol w:w="155"/>
        <w:gridCol w:w="426"/>
        <w:gridCol w:w="1"/>
        <w:gridCol w:w="582"/>
        <w:gridCol w:w="1"/>
        <w:gridCol w:w="290"/>
        <w:gridCol w:w="292"/>
        <w:gridCol w:w="1"/>
        <w:gridCol w:w="581"/>
        <w:gridCol w:w="1"/>
        <w:gridCol w:w="581"/>
        <w:gridCol w:w="1"/>
        <w:gridCol w:w="1"/>
        <w:gridCol w:w="727"/>
        <w:gridCol w:w="2"/>
        <w:gridCol w:w="871"/>
        <w:gridCol w:w="1"/>
        <w:gridCol w:w="1"/>
        <w:gridCol w:w="580"/>
        <w:gridCol w:w="1"/>
        <w:gridCol w:w="2"/>
        <w:gridCol w:w="358"/>
        <w:gridCol w:w="5"/>
        <w:gridCol w:w="218"/>
        <w:gridCol w:w="1"/>
        <w:gridCol w:w="1"/>
        <w:gridCol w:w="108"/>
        <w:gridCol w:w="398"/>
        <w:gridCol w:w="24"/>
        <w:gridCol w:w="1"/>
        <w:gridCol w:w="62"/>
        <w:gridCol w:w="143"/>
        <w:gridCol w:w="1"/>
        <w:gridCol w:w="2"/>
        <w:gridCol w:w="571"/>
        <w:gridCol w:w="28"/>
        <w:gridCol w:w="1"/>
        <w:gridCol w:w="369"/>
      </w:tblGrid>
      <w:tr>
        <w:trPr>
          <w:trHeight w:val="255" w:hRule="atLeast"/>
        </w:trPr>
        <w:tc>
          <w:tcPr>
            <w:tcW w:w="9129" w:type="dxa"/>
            <w:gridSpan w:val="37"/>
            <w:tcBorders/>
            <w:shd w:fill="auto" w:val="clear"/>
            <w:vAlign w:val="bottom"/>
          </w:tcPr>
          <w:p>
            <w:pPr>
              <w:pStyle w:val="Normal"/>
              <w:widowControl/>
              <w:bidi w:val="0"/>
              <w:ind w:left="0" w:right="0" w:hanging="0"/>
              <w:jc w:val="center"/>
              <w:textAlignment w:val="auto"/>
              <w:rPr>
                <w:lang w:val="en-US"/>
              </w:rPr>
            </w:pPr>
            <w:r>
              <w:rPr>
                <w:rFonts w:cs="Times New Roman CE" w:ascii="Times New Roman CE" w:hAnsi="Times New Roman CE"/>
                <w:b/>
                <w:bCs/>
                <w:sz w:val="20"/>
                <w:szCs w:val="20"/>
                <w:lang w:val="en-US" w:eastAsia="en-US"/>
              </w:rPr>
              <w:t xml:space="preserve">3. RESURSE UMANE ŞI RETRIBUIREA MUNCII </w:t>
            </w:r>
          </w:p>
        </w:tc>
        <w:tc>
          <w:tcPr>
            <w:tcW w:w="1600" w:type="dxa"/>
            <w:gridSpan w:val="11"/>
            <w:tcBorders/>
            <w:shd w:fill="auto" w:val="clear"/>
            <w:vAlign w:val="bottom"/>
          </w:tcPr>
          <w:p>
            <w:pPr>
              <w:pStyle w:val="Normal"/>
              <w:widowControl/>
              <w:bidi w:val="0"/>
              <w:ind w:left="0" w:right="0" w:hanging="0"/>
              <w:jc w:val="left"/>
              <w:textAlignment w:val="auto"/>
              <w:rPr>
                <w:rFonts w:ascii="Times New Roman" w:hAnsi="Times New Roman"/>
                <w:lang w:val="en-US"/>
              </w:rPr>
            </w:pPr>
            <w:r>
              <w:rPr>
                <w:lang w:val="en-US"/>
              </w:rPr>
            </w:r>
          </w:p>
        </w:tc>
      </w:tr>
      <w:tr>
        <w:trPr>
          <w:trHeight w:val="360" w:hRule="atLeast"/>
        </w:trPr>
        <w:tc>
          <w:tcPr>
            <w:tcW w:w="9129" w:type="dxa"/>
            <w:gridSpan w:val="37"/>
            <w:tcBorders>
              <w:bottom w:val="single" w:sz="8" w:space="0" w:color="000001"/>
              <w:insideH w:val="single" w:sz="8" w:space="0" w:color="000001"/>
            </w:tcBorders>
            <w:shd w:fill="auto" w:val="clear"/>
            <w:vAlign w:val="bottom"/>
          </w:tcPr>
          <w:p>
            <w:pPr>
              <w:pStyle w:val="Normal"/>
              <w:widowControl/>
              <w:bidi w:val="0"/>
              <w:ind w:left="0" w:right="0" w:hanging="0"/>
              <w:jc w:val="center"/>
              <w:textAlignment w:val="auto"/>
              <w:rPr>
                <w:lang w:val="fr-FR"/>
              </w:rPr>
            </w:pPr>
            <w:r>
              <w:rPr>
                <w:rFonts w:cs="Times New Roman CE" w:ascii="Times New Roman CE" w:hAnsi="Times New Roman CE"/>
                <w:b/>
                <w:bCs/>
                <w:sz w:val="20"/>
                <w:szCs w:val="20"/>
                <w:lang w:val="fr-FR" w:eastAsia="en-US"/>
              </w:rPr>
              <w:t>3.1. Resurse umane şi structura personalului după ocupaţie, v</w:t>
            </w:r>
            <w:r>
              <w:rPr>
                <w:b/>
                <w:bCs/>
                <w:sz w:val="20"/>
                <w:szCs w:val="20"/>
                <w:lang w:val="fr-FR" w:eastAsia="en-US"/>
              </w:rPr>
              <w:t>â</w:t>
            </w:r>
            <w:r>
              <w:rPr>
                <w:rFonts w:cs="Times New Roman CE" w:ascii="Times New Roman CE" w:hAnsi="Times New Roman CE"/>
                <w:b/>
                <w:bCs/>
                <w:sz w:val="20"/>
                <w:szCs w:val="20"/>
                <w:lang w:val="fr-FR" w:eastAsia="en-US"/>
              </w:rPr>
              <w:t>rstă şi gen</w:t>
            </w:r>
            <w:r>
              <w:rPr>
                <w:b/>
                <w:bCs/>
                <w:sz w:val="20"/>
                <w:szCs w:val="20"/>
                <w:lang w:val="fr-FR" w:eastAsia="en-US"/>
              </w:rPr>
              <w:t xml:space="preserve"> 2016</w:t>
            </w:r>
          </w:p>
        </w:tc>
        <w:tc>
          <w:tcPr>
            <w:tcW w:w="1600" w:type="dxa"/>
            <w:gridSpan w:val="11"/>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rFonts w:ascii="Times New Roman" w:hAnsi="Times New Roman"/>
                <w:lang w:val="fr-FR"/>
              </w:rPr>
            </w:pPr>
            <w:r>
              <w:rPr>
                <w:lang w:val="fr-FR"/>
              </w:rPr>
            </w:r>
          </w:p>
        </w:tc>
      </w:tr>
      <w:tr>
        <w:trPr>
          <w:trHeight w:val="270" w:hRule="atLeast"/>
        </w:trPr>
        <w:tc>
          <w:tcPr>
            <w:tcW w:w="2464" w:type="dxa"/>
            <w:gridSpan w:val="6"/>
            <w:vMerge w:val="restart"/>
            <w:tcBorders>
              <w:top w:val="single" w:sz="8" w:space="0" w:color="000001"/>
              <w:left w:val="single" w:sz="8" w:space="0" w:color="000001"/>
              <w:bottom w:val="single" w:sz="8" w:space="0" w:color="000001"/>
              <w:insideH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color w:val="000000"/>
                <w:sz w:val="20"/>
                <w:szCs w:val="20"/>
                <w:lang w:val="en-US" w:eastAsia="en-US"/>
              </w:rPr>
              <w:t>Categorii de personal</w:t>
            </w:r>
          </w:p>
        </w:tc>
        <w:tc>
          <w:tcPr>
            <w:tcW w:w="875" w:type="dxa"/>
            <w:gridSpan w:val="3"/>
            <w:vMerge w:val="restart"/>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extDirection w:val="btLr"/>
            <w:vAlign w:val="center"/>
          </w:tcPr>
          <w:p>
            <w:pPr>
              <w:pStyle w:val="Normal"/>
              <w:widowControl/>
              <w:bidi w:val="0"/>
              <w:ind w:left="0" w:right="0" w:hanging="0"/>
              <w:jc w:val="center"/>
              <w:textAlignment w:val="auto"/>
              <w:rPr>
                <w:lang w:val="en-US"/>
              </w:rPr>
            </w:pPr>
            <w:r>
              <w:rPr>
                <w:sz w:val="20"/>
                <w:szCs w:val="20"/>
                <w:lang w:val="en-US" w:eastAsia="en-US"/>
              </w:rPr>
              <w:t>Unitati conform statelor de personal</w:t>
            </w:r>
          </w:p>
        </w:tc>
        <w:tc>
          <w:tcPr>
            <w:tcW w:w="7390" w:type="dxa"/>
            <w:gridSpan w:val="39"/>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1055" w:hanging="0"/>
              <w:jc w:val="center"/>
              <w:textAlignment w:val="auto"/>
              <w:rPr>
                <w:lang w:val="en-US"/>
              </w:rPr>
            </w:pPr>
            <w:r>
              <w:rPr>
                <w:b/>
                <w:bCs/>
                <w:sz w:val="20"/>
                <w:szCs w:val="20"/>
                <w:lang w:val="en-US" w:eastAsia="en-US"/>
              </w:rPr>
              <w:t>Persoane fizice</w:t>
            </w:r>
          </w:p>
        </w:tc>
      </w:tr>
      <w:tr>
        <w:trPr>
          <w:trHeight w:val="1400" w:hRule="atLeast"/>
        </w:trPr>
        <w:tc>
          <w:tcPr>
            <w:tcW w:w="2465" w:type="dxa"/>
            <w:gridSpan w:val="7"/>
            <w:vMerge w:val="continue"/>
            <w:tcBorders>
              <w:top w:val="single" w:sz="8" w:space="0" w:color="000001"/>
              <w:left w:val="single" w:sz="8" w:space="0" w:color="000001"/>
              <w:bottom w:val="single" w:sz="8" w:space="0" w:color="000001"/>
              <w:insideH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color w:val="000000"/>
                <w:sz w:val="20"/>
                <w:szCs w:val="20"/>
                <w:lang w:val="en-US" w:eastAsia="en-US"/>
              </w:rPr>
            </w:pPr>
            <w:r>
              <w:rPr>
                <w:color w:val="000000"/>
                <w:sz w:val="20"/>
                <w:szCs w:val="20"/>
                <w:lang w:val="en-US" w:eastAsia="en-US"/>
              </w:rPr>
            </w:r>
          </w:p>
        </w:tc>
        <w:tc>
          <w:tcPr>
            <w:tcW w:w="875" w:type="dxa"/>
            <w:gridSpan w:val="3"/>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c>
          <w:tcPr>
            <w:tcW w:w="582" w:type="dxa"/>
            <w:gridSpan w:val="3"/>
            <w:vMerge w:val="restart"/>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extDirection w:val="btLr"/>
            <w:vAlign w:val="center"/>
          </w:tcPr>
          <w:p>
            <w:pPr>
              <w:pStyle w:val="Normal"/>
              <w:widowControl/>
              <w:bidi w:val="0"/>
              <w:ind w:left="0" w:right="0" w:hanging="0"/>
              <w:jc w:val="center"/>
              <w:textAlignment w:val="auto"/>
              <w:rPr>
                <w:lang w:val="en-US"/>
              </w:rPr>
            </w:pPr>
            <w:r>
              <w:rPr>
                <w:rFonts w:cs="Times New Roman CE" w:ascii="Times New Roman CE" w:hAnsi="Times New Roman CE"/>
                <w:sz w:val="20"/>
                <w:szCs w:val="20"/>
                <w:lang w:val="en-US" w:eastAsia="en-US"/>
              </w:rPr>
              <w:t>De bază</w:t>
            </w:r>
          </w:p>
        </w:tc>
        <w:tc>
          <w:tcPr>
            <w:tcW w:w="3932" w:type="dxa"/>
            <w:gridSpan w:val="14"/>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inclusiv</w:t>
            </w:r>
          </w:p>
        </w:tc>
        <w:tc>
          <w:tcPr>
            <w:tcW w:w="582"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extDirection w:val="btLr"/>
            <w:vAlign w:val="center"/>
          </w:tcPr>
          <w:p>
            <w:pPr>
              <w:pStyle w:val="Normal"/>
              <w:widowControl/>
              <w:bidi w:val="0"/>
              <w:ind w:left="0" w:right="0" w:hanging="0"/>
              <w:jc w:val="center"/>
              <w:textAlignment w:val="auto"/>
              <w:rPr>
                <w:lang w:val="en-US"/>
              </w:rPr>
            </w:pPr>
            <w:r>
              <w:rPr>
                <w:sz w:val="20"/>
                <w:szCs w:val="20"/>
                <w:lang w:val="en-US" w:eastAsia="en-US"/>
              </w:rPr>
              <w:t>Cumul intern</w:t>
            </w:r>
          </w:p>
        </w:tc>
        <w:tc>
          <w:tcPr>
            <w:tcW w:w="584" w:type="dxa"/>
            <w:gridSpan w:val="5"/>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extDirection w:val="btLr"/>
            <w:vAlign w:val="center"/>
          </w:tcPr>
          <w:p>
            <w:pPr>
              <w:pStyle w:val="Normal"/>
              <w:widowControl/>
              <w:bidi w:val="0"/>
              <w:ind w:left="0" w:right="0" w:hanging="0"/>
              <w:jc w:val="center"/>
              <w:textAlignment w:val="auto"/>
              <w:rPr>
                <w:lang w:val="en-US"/>
              </w:rPr>
            </w:pPr>
            <w:r>
              <w:rPr>
                <w:sz w:val="20"/>
                <w:szCs w:val="20"/>
                <w:lang w:val="en-US" w:eastAsia="en-US"/>
              </w:rPr>
              <w:t>Cumul extern</w:t>
            </w:r>
          </w:p>
        </w:tc>
        <w:tc>
          <w:tcPr>
            <w:tcW w:w="738" w:type="dxa"/>
            <w:gridSpan w:val="8"/>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extDirection w:val="btLr"/>
            <w:vAlign w:val="center"/>
          </w:tcPr>
          <w:p>
            <w:pPr>
              <w:pStyle w:val="Normal"/>
              <w:widowControl/>
              <w:bidi w:val="0"/>
              <w:ind w:left="0" w:right="0" w:hanging="0"/>
              <w:jc w:val="center"/>
              <w:textAlignment w:val="auto"/>
              <w:rPr>
                <w:lang w:val="en-US"/>
              </w:rPr>
            </w:pPr>
            <w:r>
              <w:rPr>
                <w:rFonts w:cs="Times New Roman CE" w:ascii="Times New Roman CE" w:hAnsi="Times New Roman CE"/>
                <w:sz w:val="20"/>
                <w:szCs w:val="20"/>
                <w:lang w:val="en-US" w:eastAsia="en-US"/>
              </w:rPr>
              <w:t>Acord de muncă (netitulari)</w:t>
            </w:r>
          </w:p>
        </w:tc>
        <w:tc>
          <w:tcPr>
            <w:tcW w:w="971" w:type="dxa"/>
            <w:gridSpan w:val="5"/>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extDirection w:val="btLr"/>
            <w:vAlign w:val="center"/>
          </w:tcPr>
          <w:p>
            <w:pPr>
              <w:pStyle w:val="Normal"/>
              <w:widowControl/>
              <w:bidi w:val="0"/>
              <w:ind w:left="0" w:right="0" w:hanging="0"/>
              <w:jc w:val="center"/>
              <w:textAlignment w:val="auto"/>
              <w:rPr>
                <w:lang w:val="fr-FR"/>
              </w:rPr>
            </w:pPr>
            <w:r>
              <w:rPr>
                <w:rFonts w:cs="Times New Roman CE" w:ascii="Times New Roman CE" w:hAnsi="Times New Roman CE"/>
                <w:sz w:val="20"/>
                <w:szCs w:val="20"/>
                <w:lang w:val="fr-FR" w:eastAsia="en-US"/>
              </w:rPr>
              <w:t>Total (fară cumul intern şi acord de muncă)</w:t>
            </w:r>
          </w:p>
        </w:tc>
      </w:tr>
      <w:tr>
        <w:trPr>
          <w:trHeight w:val="542" w:hRule="atLeast"/>
        </w:trPr>
        <w:tc>
          <w:tcPr>
            <w:tcW w:w="2465" w:type="dxa"/>
            <w:gridSpan w:val="7"/>
            <w:vMerge w:val="continue"/>
            <w:tcBorders>
              <w:top w:val="single" w:sz="8" w:space="0" w:color="000001"/>
              <w:left w:val="single" w:sz="8" w:space="0" w:color="000001"/>
              <w:bottom w:val="single" w:sz="8" w:space="0" w:color="000001"/>
              <w:insideH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color w:val="000000"/>
                <w:sz w:val="20"/>
                <w:szCs w:val="20"/>
                <w:lang w:val="fr-FR" w:eastAsia="en-US"/>
              </w:rPr>
            </w:pPr>
            <w:r>
              <w:rPr>
                <w:color w:val="000000"/>
                <w:sz w:val="20"/>
                <w:szCs w:val="20"/>
                <w:lang w:val="fr-FR" w:eastAsia="en-US"/>
              </w:rPr>
            </w:r>
          </w:p>
        </w:tc>
        <w:tc>
          <w:tcPr>
            <w:tcW w:w="875" w:type="dxa"/>
            <w:gridSpan w:val="3"/>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fr-FR" w:eastAsia="en-US"/>
              </w:rPr>
            </w:pPr>
            <w:r>
              <w:rPr>
                <w:sz w:val="20"/>
                <w:szCs w:val="20"/>
                <w:lang w:val="fr-FR" w:eastAsia="en-US"/>
              </w:rPr>
            </w:r>
          </w:p>
        </w:tc>
        <w:tc>
          <w:tcPr>
            <w:tcW w:w="582" w:type="dxa"/>
            <w:gridSpan w:val="3"/>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fr-FR" w:eastAsia="en-US"/>
              </w:rPr>
            </w:pPr>
            <w:r>
              <w:rPr>
                <w:sz w:val="20"/>
                <w:szCs w:val="20"/>
                <w:lang w:val="fr-FR" w:eastAsia="en-US"/>
              </w:rPr>
            </w:r>
          </w:p>
        </w:tc>
        <w:tc>
          <w:tcPr>
            <w:tcW w:w="583"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rFonts w:cs="Times New Roman CE" w:ascii="Times New Roman CE" w:hAnsi="Times New Roman CE"/>
                <w:sz w:val="20"/>
                <w:szCs w:val="20"/>
                <w:lang w:val="en-US" w:eastAsia="en-US"/>
              </w:rPr>
              <w:t>Pînă la 25</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20"/>
                <w:szCs w:val="20"/>
                <w:lang w:val="en-US" w:eastAsia="en-US"/>
              </w:rPr>
              <w:t>25-34</w:t>
            </w:r>
          </w:p>
        </w:tc>
        <w:tc>
          <w:tcPr>
            <w:tcW w:w="582"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20"/>
                <w:szCs w:val="20"/>
                <w:lang w:val="en-US" w:eastAsia="en-US"/>
              </w:rPr>
              <w:t>35-44</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20"/>
                <w:szCs w:val="20"/>
                <w:lang w:val="en-US" w:eastAsia="en-US"/>
              </w:rPr>
              <w:t>45-54</w:t>
            </w:r>
          </w:p>
        </w:tc>
        <w:tc>
          <w:tcPr>
            <w:tcW w:w="729"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20"/>
                <w:szCs w:val="20"/>
                <w:lang w:val="en-US" w:eastAsia="en-US"/>
              </w:rPr>
              <w:t>55-64</w:t>
            </w:r>
          </w:p>
        </w:tc>
        <w:tc>
          <w:tcPr>
            <w:tcW w:w="873" w:type="dxa"/>
            <w:gridSpan w:val="3"/>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rFonts w:cs="Times New Roman CE" w:ascii="Times New Roman CE" w:hAnsi="Times New Roman CE"/>
                <w:sz w:val="20"/>
                <w:szCs w:val="20"/>
                <w:lang w:val="en-US" w:eastAsia="en-US"/>
              </w:rPr>
              <w:t>65 şi peste</w:t>
            </w:r>
          </w:p>
        </w:tc>
        <w:tc>
          <w:tcPr>
            <w:tcW w:w="583"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c>
          <w:tcPr>
            <w:tcW w:w="583" w:type="dxa"/>
            <w:gridSpan w:val="5"/>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c>
          <w:tcPr>
            <w:tcW w:w="739" w:type="dxa"/>
            <w:gridSpan w:val="8"/>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c>
          <w:tcPr>
            <w:tcW w:w="969" w:type="dxa"/>
            <w:gridSpan w:val="4"/>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r>
      <w:tr>
        <w:trPr>
          <w:trHeight w:val="253" w:hRule="atLeast"/>
        </w:trPr>
        <w:tc>
          <w:tcPr>
            <w:tcW w:w="2465" w:type="dxa"/>
            <w:gridSpan w:val="7"/>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lang w:val="en-US"/>
              </w:rPr>
            </w:pPr>
            <w:r>
              <w:rPr>
                <w:color w:val="000000"/>
                <w:sz w:val="20"/>
                <w:szCs w:val="20"/>
                <w:lang w:val="en-US" w:eastAsia="en-US"/>
              </w:rPr>
              <w:t>Conducatori</w:t>
            </w:r>
          </w:p>
        </w:tc>
        <w:tc>
          <w:tcPr>
            <w:tcW w:w="875"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1</w:t>
            </w:r>
          </w:p>
        </w:tc>
        <w:tc>
          <w:tcPr>
            <w:tcW w:w="582"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18"/>
                <w:szCs w:val="18"/>
              </w:rPr>
              <w:t>1</w:t>
            </w:r>
          </w:p>
        </w:tc>
        <w:tc>
          <w:tcPr>
            <w:tcW w:w="583"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18"/>
                <w:szCs w:val="18"/>
              </w:rPr>
              <w:t> </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18"/>
                <w:szCs w:val="18"/>
              </w:rPr>
              <w:t> </w:t>
            </w:r>
          </w:p>
        </w:tc>
        <w:tc>
          <w:tcPr>
            <w:tcW w:w="582"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18"/>
                <w:szCs w:val="18"/>
              </w:rPr>
              <w:t> </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18"/>
                <w:szCs w:val="18"/>
              </w:rPr>
              <w:t> </w:t>
            </w:r>
          </w:p>
        </w:tc>
        <w:tc>
          <w:tcPr>
            <w:tcW w:w="72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1</w:t>
            </w:r>
          </w:p>
        </w:tc>
        <w:tc>
          <w:tcPr>
            <w:tcW w:w="873" w:type="dxa"/>
            <w:gridSpan w:val="3"/>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18"/>
                <w:szCs w:val="18"/>
              </w:rPr>
              <w:t> </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18"/>
                <w:szCs w:val="18"/>
              </w:rPr>
              <w:t> </w:t>
            </w:r>
          </w:p>
        </w:tc>
        <w:tc>
          <w:tcPr>
            <w:tcW w:w="583" w:type="dxa"/>
            <w:gridSpan w:val="5"/>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18"/>
                <w:szCs w:val="18"/>
              </w:rPr>
              <w:t> </w:t>
            </w:r>
          </w:p>
        </w:tc>
        <w:tc>
          <w:tcPr>
            <w:tcW w:w="739" w:type="dxa"/>
            <w:gridSpan w:val="8"/>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18"/>
                <w:szCs w:val="18"/>
              </w:rPr>
              <w:t> </w:t>
            </w:r>
          </w:p>
        </w:tc>
        <w:tc>
          <w:tcPr>
            <w:tcW w:w="969" w:type="dxa"/>
            <w:gridSpan w:val="4"/>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sz w:val="18"/>
                <w:szCs w:val="18"/>
              </w:rPr>
              <w:t>1</w:t>
            </w:r>
          </w:p>
        </w:tc>
      </w:tr>
      <w:tr>
        <w:trPr>
          <w:trHeight w:val="270" w:hRule="atLeast"/>
        </w:trPr>
        <w:tc>
          <w:tcPr>
            <w:tcW w:w="275" w:type="dxa"/>
            <w:tcBorders>
              <w:left w:val="single" w:sz="8" w:space="0" w:color="000001"/>
              <w:bottom w:val="single" w:sz="8" w:space="0" w:color="000001"/>
              <w:insideH w:val="single" w:sz="8" w:space="0" w:color="000001"/>
            </w:tcBorders>
            <w:shd w:fill="auto" w:val="clear"/>
            <w:tcMar>
              <w:left w:w="98" w:type="dxa"/>
            </w:tcMar>
            <w:vAlign w:val="center"/>
          </w:tcPr>
          <w:p>
            <w:pPr>
              <w:pStyle w:val="Normal"/>
              <w:widowControl/>
              <w:bidi w:val="0"/>
              <w:ind w:left="0" w:right="0" w:hanging="0"/>
              <w:jc w:val="left"/>
              <w:textAlignment w:val="auto"/>
              <w:rPr>
                <w:lang w:val="en-US"/>
              </w:rPr>
            </w:pPr>
            <w:r>
              <w:rPr>
                <w:color w:val="000000"/>
                <w:sz w:val="20"/>
                <w:szCs w:val="20"/>
                <w:lang w:val="en-US" w:eastAsia="en-US"/>
              </w:rPr>
              <w:t> </w:t>
            </w:r>
          </w:p>
        </w:tc>
        <w:tc>
          <w:tcPr>
            <w:tcW w:w="2189" w:type="dxa"/>
            <w:gridSpan w:val="5"/>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extDirection w:val="btLr"/>
            <w:vAlign w:val="center"/>
          </w:tcPr>
          <w:p>
            <w:pPr>
              <w:pStyle w:val="Normal"/>
              <w:widowControl/>
              <w:bidi w:val="0"/>
              <w:ind w:left="0" w:right="0" w:hanging="0"/>
              <w:jc w:val="center"/>
              <w:textAlignment w:val="auto"/>
              <w:rPr/>
            </w:pPr>
            <w:r>
              <w:rPr>
                <w:rFonts w:cs="Arial" w:ascii="Arial" w:hAnsi="Arial"/>
                <w:sz w:val="20"/>
                <w:szCs w:val="20"/>
              </w:rPr>
              <w:t> </w:t>
            </w:r>
          </w:p>
        </w:tc>
        <w:tc>
          <w:tcPr>
            <w:tcW w:w="875" w:type="dxa"/>
            <w:gridSpan w:val="3"/>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pPr>
            <w:r>
              <w:rPr>
                <w:sz w:val="18"/>
                <w:szCs w:val="18"/>
              </w:rPr>
              <w:t>0</w:t>
            </w:r>
          </w:p>
        </w:tc>
        <w:tc>
          <w:tcPr>
            <w:tcW w:w="582" w:type="dxa"/>
            <w:gridSpan w:val="3"/>
            <w:tcBorders>
              <w:bottom w:val="single" w:sz="8" w:space="0" w:color="000001"/>
              <w:right w:val="single" w:sz="8" w:space="0" w:color="000001"/>
              <w:insideH w:val="single" w:sz="8" w:space="0" w:color="000001"/>
              <w:insideV w:val="single" w:sz="8" w:space="0" w:color="000001"/>
            </w:tcBorders>
            <w:shd w:color="auto" w:fill="CCFFCC"/>
            <w:textDirection w:val="btLr"/>
            <w:vAlign w:val="center"/>
          </w:tcPr>
          <w:p>
            <w:pPr>
              <w:pStyle w:val="Normal"/>
              <w:widowControl/>
              <w:bidi w:val="0"/>
              <w:ind w:left="0" w:right="0" w:hanging="0"/>
              <w:jc w:val="center"/>
              <w:textAlignment w:val="auto"/>
              <w:rPr/>
            </w:pPr>
            <w:r>
              <w:rPr>
                <w:sz w:val="18"/>
                <w:szCs w:val="18"/>
              </w:rPr>
              <w:t> </w:t>
            </w:r>
          </w:p>
        </w:tc>
        <w:tc>
          <w:tcPr>
            <w:tcW w:w="583"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18"/>
                <w:szCs w:val="18"/>
              </w:rPr>
              <w:t> </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18"/>
                <w:szCs w:val="18"/>
              </w:rPr>
              <w:t> </w:t>
            </w:r>
          </w:p>
        </w:tc>
        <w:tc>
          <w:tcPr>
            <w:tcW w:w="582"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18"/>
                <w:szCs w:val="18"/>
              </w:rPr>
              <w:t> </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18"/>
                <w:szCs w:val="18"/>
              </w:rPr>
              <w:t> </w:t>
            </w:r>
          </w:p>
        </w:tc>
        <w:tc>
          <w:tcPr>
            <w:tcW w:w="728"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18"/>
                <w:szCs w:val="18"/>
              </w:rPr>
              <w:t> </w:t>
            </w:r>
          </w:p>
        </w:tc>
        <w:tc>
          <w:tcPr>
            <w:tcW w:w="874" w:type="dxa"/>
            <w:gridSpan w:val="3"/>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18"/>
                <w:szCs w:val="18"/>
              </w:rPr>
              <w:t> </w:t>
            </w:r>
          </w:p>
        </w:tc>
        <w:tc>
          <w:tcPr>
            <w:tcW w:w="582" w:type="dxa"/>
            <w:gridSpan w:val="3"/>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18"/>
                <w:szCs w:val="18"/>
              </w:rPr>
              <w:t> </w:t>
            </w:r>
          </w:p>
        </w:tc>
        <w:tc>
          <w:tcPr>
            <w:tcW w:w="584" w:type="dxa"/>
            <w:gridSpan w:val="5"/>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18"/>
                <w:szCs w:val="18"/>
              </w:rPr>
              <w:t> </w:t>
            </w:r>
          </w:p>
        </w:tc>
        <w:tc>
          <w:tcPr>
            <w:tcW w:w="738" w:type="dxa"/>
            <w:gridSpan w:val="8"/>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0</w:t>
            </w:r>
          </w:p>
        </w:tc>
        <w:tc>
          <w:tcPr>
            <w:tcW w:w="971" w:type="dxa"/>
            <w:gridSpan w:val="5"/>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18"/>
                <w:szCs w:val="18"/>
                <w:lang w:val="en-US" w:eastAsia="en-US"/>
              </w:rPr>
              <w:t>0</w:t>
            </w:r>
          </w:p>
        </w:tc>
      </w:tr>
      <w:tr>
        <w:trPr>
          <w:trHeight w:val="275" w:hRule="atLeast"/>
        </w:trPr>
        <w:tc>
          <w:tcPr>
            <w:tcW w:w="2465" w:type="dxa"/>
            <w:gridSpan w:val="7"/>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lang w:val="en-US"/>
              </w:rPr>
            </w:pPr>
            <w:r>
              <w:rPr>
                <w:rFonts w:cs="Times New Roman CE" w:ascii="Times New Roman CE" w:hAnsi="Times New Roman CE"/>
                <w:sz w:val="20"/>
                <w:szCs w:val="20"/>
                <w:lang w:val="en-US" w:eastAsia="en-US"/>
              </w:rPr>
              <w:t>Cercetători</w:t>
            </w:r>
          </w:p>
        </w:tc>
        <w:tc>
          <w:tcPr>
            <w:tcW w:w="875"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180"/>
              <w:jc w:val="left"/>
              <w:textAlignment w:val="auto"/>
              <w:rPr/>
            </w:pPr>
            <w:r>
              <w:rPr>
                <w:sz w:val="18"/>
                <w:szCs w:val="18"/>
              </w:rPr>
              <w:t>11,5</w:t>
            </w:r>
          </w:p>
        </w:tc>
        <w:tc>
          <w:tcPr>
            <w:tcW w:w="582"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18"/>
                <w:szCs w:val="18"/>
              </w:rPr>
              <w:t>10</w:t>
            </w:r>
          </w:p>
        </w:tc>
        <w:tc>
          <w:tcPr>
            <w:tcW w:w="583"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2"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1</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2</w:t>
            </w:r>
          </w:p>
        </w:tc>
        <w:tc>
          <w:tcPr>
            <w:tcW w:w="72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3</w:t>
            </w:r>
          </w:p>
        </w:tc>
        <w:tc>
          <w:tcPr>
            <w:tcW w:w="87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4</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3" w:type="dxa"/>
            <w:gridSpan w:val="5"/>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4</w:t>
            </w:r>
          </w:p>
        </w:tc>
        <w:tc>
          <w:tcPr>
            <w:tcW w:w="739" w:type="dxa"/>
            <w:gridSpan w:val="8"/>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969" w:type="dxa"/>
            <w:gridSpan w:val="4"/>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sz w:val="18"/>
                <w:szCs w:val="18"/>
              </w:rPr>
              <w:t>14</w:t>
            </w:r>
          </w:p>
        </w:tc>
      </w:tr>
      <w:tr>
        <w:trPr>
          <w:trHeight w:val="250" w:hRule="atLeast"/>
        </w:trPr>
        <w:tc>
          <w:tcPr>
            <w:tcW w:w="27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lang w:val="en-US"/>
              </w:rPr>
            </w:pPr>
            <w:r>
              <w:rPr>
                <w:sz w:val="20"/>
                <w:szCs w:val="20"/>
                <w:lang w:val="en-US" w:eastAsia="en-US"/>
              </w:rPr>
              <w:t> </w:t>
            </w:r>
          </w:p>
        </w:tc>
        <w:tc>
          <w:tcPr>
            <w:tcW w:w="2189" w:type="dxa"/>
            <w:gridSpan w:val="5"/>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40"/>
              <w:jc w:val="left"/>
              <w:textAlignment w:val="auto"/>
              <w:rPr/>
            </w:pPr>
            <w:r>
              <w:rPr>
                <w:rFonts w:cs="Arial" w:ascii="Arial" w:hAnsi="Arial"/>
              </w:rPr>
              <w:t>3</w:t>
            </w:r>
          </w:p>
        </w:tc>
        <w:tc>
          <w:tcPr>
            <w:tcW w:w="875" w:type="dxa"/>
            <w:gridSpan w:val="3"/>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pPr>
            <w:r>
              <w:rPr>
                <w:sz w:val="18"/>
                <w:szCs w:val="18"/>
              </w:rPr>
              <w:t>1</w:t>
            </w:r>
          </w:p>
        </w:tc>
        <w:tc>
          <w:tcPr>
            <w:tcW w:w="582"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18"/>
                <w:szCs w:val="18"/>
              </w:rPr>
              <w:t> </w:t>
            </w:r>
          </w:p>
        </w:tc>
        <w:tc>
          <w:tcPr>
            <w:tcW w:w="583"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2"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1</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728"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874"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2"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2</w:t>
            </w:r>
          </w:p>
        </w:tc>
        <w:tc>
          <w:tcPr>
            <w:tcW w:w="584" w:type="dxa"/>
            <w:gridSpan w:val="5"/>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738" w:type="dxa"/>
            <w:gridSpan w:val="8"/>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3</w:t>
            </w:r>
          </w:p>
        </w:tc>
        <w:tc>
          <w:tcPr>
            <w:tcW w:w="971" w:type="dxa"/>
            <w:gridSpan w:val="5"/>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18"/>
                <w:szCs w:val="18"/>
                <w:lang w:val="en-US" w:eastAsia="en-US"/>
              </w:rPr>
              <w:t>3</w:t>
            </w:r>
          </w:p>
        </w:tc>
      </w:tr>
      <w:tr>
        <w:trPr>
          <w:trHeight w:val="127" w:hRule="atLeast"/>
        </w:trPr>
        <w:tc>
          <w:tcPr>
            <w:tcW w:w="2465" w:type="dxa"/>
            <w:gridSpan w:val="7"/>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right"/>
              <w:textAlignment w:val="auto"/>
              <w:rPr>
                <w:lang w:val="en-US"/>
              </w:rPr>
            </w:pPr>
            <w:r>
              <w:rPr>
                <w:i/>
                <w:iCs/>
                <w:sz w:val="20"/>
                <w:szCs w:val="20"/>
                <w:lang w:val="en-US" w:eastAsia="en-US"/>
              </w:rPr>
              <w:t>din ei</w:t>
            </w:r>
            <w:r>
              <w:rPr>
                <w:sz w:val="20"/>
                <w:szCs w:val="20"/>
                <w:lang w:val="en-US" w:eastAsia="en-US"/>
              </w:rPr>
              <w:t>:</w:t>
            </w:r>
          </w:p>
        </w:tc>
        <w:tc>
          <w:tcPr>
            <w:tcW w:w="875" w:type="dxa"/>
            <w:gridSpan w:val="3"/>
            <w:tcBorders>
              <w:bottom w:val="single" w:sz="8" w:space="0" w:color="000001"/>
              <w:insideH w:val="single" w:sz="8" w:space="0" w:color="000001"/>
            </w:tcBorders>
            <w:shd w:color="auto" w:fill="C0C0C0"/>
          </w:tcPr>
          <w:p>
            <w:pPr>
              <w:pStyle w:val="Normal"/>
              <w:widowControl/>
              <w:bidi w:val="0"/>
              <w:ind w:left="0" w:right="0" w:firstLine="180"/>
              <w:jc w:val="right"/>
              <w:textAlignment w:val="auto"/>
              <w:rPr/>
            </w:pPr>
            <w:r>
              <w:rPr>
                <w:i/>
                <w:iCs/>
                <w:sz w:val="18"/>
                <w:szCs w:val="18"/>
              </w:rPr>
              <w:t> </w:t>
            </w:r>
          </w:p>
        </w:tc>
        <w:tc>
          <w:tcPr>
            <w:tcW w:w="582" w:type="dxa"/>
            <w:gridSpan w:val="3"/>
            <w:tcBorders>
              <w:bottom w:val="single" w:sz="8" w:space="0" w:color="000001"/>
              <w:insideH w:val="single" w:sz="8" w:space="0" w:color="000001"/>
            </w:tcBorders>
            <w:shd w:color="auto" w:fill="C0C0C0"/>
          </w:tcPr>
          <w:p>
            <w:pPr>
              <w:pStyle w:val="Normal"/>
              <w:widowControl/>
              <w:bidi w:val="0"/>
              <w:ind w:left="0" w:right="0" w:firstLine="180"/>
              <w:jc w:val="right"/>
              <w:textAlignment w:val="auto"/>
              <w:rPr/>
            </w:pPr>
            <w:r>
              <w:rPr>
                <w:i/>
                <w:iCs/>
                <w:sz w:val="18"/>
                <w:szCs w:val="18"/>
              </w:rPr>
              <w:t> </w:t>
            </w:r>
          </w:p>
        </w:tc>
        <w:tc>
          <w:tcPr>
            <w:tcW w:w="583" w:type="dxa"/>
            <w:gridSpan w:val="2"/>
            <w:tcBorders>
              <w:bottom w:val="single" w:sz="8" w:space="0" w:color="000001"/>
              <w:insideH w:val="single" w:sz="8" w:space="0" w:color="000001"/>
            </w:tcBorders>
            <w:shd w:color="auto" w:fill="C0C0C0"/>
          </w:tcPr>
          <w:p>
            <w:pPr>
              <w:pStyle w:val="Normal"/>
              <w:widowControl/>
              <w:bidi w:val="0"/>
              <w:ind w:left="0" w:right="0" w:firstLine="180"/>
              <w:jc w:val="right"/>
              <w:textAlignment w:val="auto"/>
              <w:rPr/>
            </w:pPr>
            <w:r>
              <w:rPr>
                <w:i/>
                <w:iCs/>
                <w:sz w:val="18"/>
                <w:szCs w:val="18"/>
              </w:rPr>
              <w:t> </w:t>
            </w:r>
          </w:p>
        </w:tc>
        <w:tc>
          <w:tcPr>
            <w:tcW w:w="583" w:type="dxa"/>
            <w:gridSpan w:val="3"/>
            <w:tcBorders>
              <w:bottom w:val="single" w:sz="8" w:space="0" w:color="000001"/>
              <w:insideH w:val="single" w:sz="8" w:space="0" w:color="000001"/>
            </w:tcBorders>
            <w:shd w:color="auto" w:fill="C0C0C0"/>
          </w:tcPr>
          <w:p>
            <w:pPr>
              <w:pStyle w:val="Normal"/>
              <w:widowControl/>
              <w:bidi w:val="0"/>
              <w:ind w:left="0" w:right="0" w:firstLine="180"/>
              <w:jc w:val="right"/>
              <w:textAlignment w:val="auto"/>
              <w:rPr/>
            </w:pPr>
            <w:r>
              <w:rPr>
                <w:i/>
                <w:iCs/>
                <w:sz w:val="18"/>
                <w:szCs w:val="18"/>
              </w:rPr>
              <w:t> </w:t>
            </w:r>
          </w:p>
        </w:tc>
        <w:tc>
          <w:tcPr>
            <w:tcW w:w="582" w:type="dxa"/>
            <w:gridSpan w:val="2"/>
            <w:tcBorders>
              <w:bottom w:val="single" w:sz="8" w:space="0" w:color="000001"/>
              <w:insideH w:val="single" w:sz="8" w:space="0" w:color="000001"/>
            </w:tcBorders>
            <w:shd w:color="auto" w:fill="C0C0C0"/>
          </w:tcPr>
          <w:p>
            <w:pPr>
              <w:pStyle w:val="Normal"/>
              <w:widowControl/>
              <w:bidi w:val="0"/>
              <w:ind w:left="0" w:right="0" w:firstLine="180"/>
              <w:jc w:val="right"/>
              <w:textAlignment w:val="auto"/>
              <w:rPr/>
            </w:pPr>
            <w:r>
              <w:rPr>
                <w:i/>
                <w:iCs/>
                <w:sz w:val="18"/>
                <w:szCs w:val="18"/>
              </w:rPr>
              <w:t> </w:t>
            </w:r>
          </w:p>
        </w:tc>
        <w:tc>
          <w:tcPr>
            <w:tcW w:w="583" w:type="dxa"/>
            <w:gridSpan w:val="3"/>
            <w:tcBorders>
              <w:bottom w:val="single" w:sz="8" w:space="0" w:color="000001"/>
              <w:insideH w:val="single" w:sz="8" w:space="0" w:color="000001"/>
            </w:tcBorders>
            <w:shd w:color="auto" w:fill="C0C0C0"/>
          </w:tcPr>
          <w:p>
            <w:pPr>
              <w:pStyle w:val="Normal"/>
              <w:widowControl/>
              <w:bidi w:val="0"/>
              <w:ind w:left="0" w:right="0" w:firstLine="180"/>
              <w:jc w:val="right"/>
              <w:textAlignment w:val="auto"/>
              <w:rPr/>
            </w:pPr>
            <w:r>
              <w:rPr>
                <w:i/>
                <w:iCs/>
                <w:sz w:val="18"/>
                <w:szCs w:val="18"/>
              </w:rPr>
              <w:t> </w:t>
            </w:r>
          </w:p>
        </w:tc>
        <w:tc>
          <w:tcPr>
            <w:tcW w:w="729" w:type="dxa"/>
            <w:gridSpan w:val="2"/>
            <w:tcBorders>
              <w:bottom w:val="single" w:sz="8" w:space="0" w:color="000001"/>
              <w:insideH w:val="single" w:sz="8" w:space="0" w:color="000001"/>
            </w:tcBorders>
            <w:shd w:color="auto" w:fill="C0C0C0"/>
          </w:tcPr>
          <w:p>
            <w:pPr>
              <w:pStyle w:val="Normal"/>
              <w:widowControl/>
              <w:bidi w:val="0"/>
              <w:ind w:left="0" w:right="0" w:firstLine="180"/>
              <w:jc w:val="right"/>
              <w:textAlignment w:val="auto"/>
              <w:rPr/>
            </w:pPr>
            <w:r>
              <w:rPr>
                <w:i/>
                <w:iCs/>
                <w:sz w:val="18"/>
                <w:szCs w:val="18"/>
              </w:rPr>
              <w:t> </w:t>
            </w:r>
          </w:p>
        </w:tc>
        <w:tc>
          <w:tcPr>
            <w:tcW w:w="873" w:type="dxa"/>
            <w:gridSpan w:val="3"/>
            <w:tcBorders>
              <w:bottom w:val="single" w:sz="8" w:space="0" w:color="000001"/>
              <w:insideH w:val="single" w:sz="8" w:space="0" w:color="000001"/>
            </w:tcBorders>
            <w:shd w:color="auto" w:fill="C0C0C0"/>
          </w:tcPr>
          <w:p>
            <w:pPr>
              <w:pStyle w:val="Normal"/>
              <w:widowControl/>
              <w:bidi w:val="0"/>
              <w:ind w:left="0" w:right="0" w:firstLine="180"/>
              <w:jc w:val="right"/>
              <w:textAlignment w:val="auto"/>
              <w:rPr/>
            </w:pPr>
            <w:r>
              <w:rPr>
                <w:i/>
                <w:iCs/>
                <w:sz w:val="18"/>
                <w:szCs w:val="18"/>
              </w:rPr>
              <w:t> </w:t>
            </w:r>
          </w:p>
        </w:tc>
        <w:tc>
          <w:tcPr>
            <w:tcW w:w="583" w:type="dxa"/>
            <w:gridSpan w:val="3"/>
            <w:tcBorders>
              <w:bottom w:val="single" w:sz="8" w:space="0" w:color="000001"/>
              <w:insideH w:val="single" w:sz="8" w:space="0" w:color="000001"/>
            </w:tcBorders>
            <w:shd w:color="auto" w:fill="C0C0C0"/>
          </w:tcPr>
          <w:p>
            <w:pPr>
              <w:pStyle w:val="Normal"/>
              <w:widowControl/>
              <w:bidi w:val="0"/>
              <w:ind w:left="0" w:right="0" w:firstLine="180"/>
              <w:jc w:val="right"/>
              <w:textAlignment w:val="auto"/>
              <w:rPr/>
            </w:pPr>
            <w:r>
              <w:rPr>
                <w:i/>
                <w:iCs/>
                <w:sz w:val="18"/>
                <w:szCs w:val="18"/>
              </w:rPr>
              <w:t> </w:t>
            </w:r>
          </w:p>
        </w:tc>
        <w:tc>
          <w:tcPr>
            <w:tcW w:w="583" w:type="dxa"/>
            <w:gridSpan w:val="5"/>
            <w:tcBorders>
              <w:bottom w:val="single" w:sz="8" w:space="0" w:color="000001"/>
              <w:insideH w:val="single" w:sz="8" w:space="0" w:color="000001"/>
            </w:tcBorders>
            <w:shd w:color="auto" w:fill="C0C0C0"/>
          </w:tcPr>
          <w:p>
            <w:pPr>
              <w:pStyle w:val="Normal"/>
              <w:widowControl/>
              <w:bidi w:val="0"/>
              <w:ind w:left="0" w:right="0" w:firstLine="180"/>
              <w:jc w:val="right"/>
              <w:textAlignment w:val="auto"/>
              <w:rPr/>
            </w:pPr>
            <w:r>
              <w:rPr>
                <w:i/>
                <w:iCs/>
                <w:sz w:val="18"/>
                <w:szCs w:val="18"/>
              </w:rPr>
              <w:t> </w:t>
            </w:r>
          </w:p>
        </w:tc>
        <w:tc>
          <w:tcPr>
            <w:tcW w:w="739" w:type="dxa"/>
            <w:gridSpan w:val="8"/>
            <w:tcBorders>
              <w:bottom w:val="single" w:sz="8" w:space="0" w:color="000001"/>
              <w:insideH w:val="single" w:sz="8" w:space="0" w:color="000001"/>
            </w:tcBorders>
            <w:shd w:color="auto" w:fill="C0C0C0"/>
          </w:tcPr>
          <w:p>
            <w:pPr>
              <w:pStyle w:val="Normal"/>
              <w:widowControl/>
              <w:bidi w:val="0"/>
              <w:ind w:left="0" w:right="0" w:firstLine="180"/>
              <w:jc w:val="right"/>
              <w:textAlignment w:val="auto"/>
              <w:rPr/>
            </w:pPr>
            <w:r>
              <w:rPr>
                <w:i/>
                <w:iCs/>
                <w:sz w:val="18"/>
                <w:szCs w:val="18"/>
              </w:rPr>
              <w:t> </w:t>
            </w:r>
          </w:p>
        </w:tc>
        <w:tc>
          <w:tcPr>
            <w:tcW w:w="969" w:type="dxa"/>
            <w:gridSpan w:val="4"/>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180"/>
              <w:jc w:val="right"/>
              <w:textAlignment w:val="auto"/>
              <w:rPr/>
            </w:pPr>
            <w:r>
              <w:rPr>
                <w:i/>
                <w:iCs/>
                <w:sz w:val="18"/>
                <w:szCs w:val="18"/>
              </w:rPr>
              <w:t> </w:t>
            </w:r>
          </w:p>
        </w:tc>
      </w:tr>
      <w:tr>
        <w:trPr>
          <w:trHeight w:val="130" w:hRule="atLeast"/>
        </w:trPr>
        <w:tc>
          <w:tcPr>
            <w:tcW w:w="2465" w:type="dxa"/>
            <w:gridSpan w:val="7"/>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lang w:val="en-US"/>
              </w:rPr>
            </w:pPr>
            <w:r>
              <w:rPr>
                <w:rFonts w:cs="Times New Roman CE" w:ascii="Times New Roman CE" w:hAnsi="Times New Roman CE"/>
                <w:sz w:val="20"/>
                <w:szCs w:val="20"/>
                <w:lang w:val="en-US" w:eastAsia="en-US"/>
              </w:rPr>
              <w:t>Doctori habilitaţi</w:t>
            </w:r>
          </w:p>
        </w:tc>
        <w:tc>
          <w:tcPr>
            <w:tcW w:w="875" w:type="dxa"/>
            <w:gridSpan w:val="3"/>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180"/>
              <w:jc w:val="left"/>
              <w:textAlignment w:val="auto"/>
              <w:rPr/>
            </w:pPr>
            <w:r>
              <w:rPr>
                <w:sz w:val="18"/>
                <w:szCs w:val="18"/>
              </w:rPr>
              <w:t>4</w:t>
            </w:r>
          </w:p>
        </w:tc>
        <w:tc>
          <w:tcPr>
            <w:tcW w:w="582"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18"/>
                <w:szCs w:val="18"/>
              </w:rPr>
              <w:t>4</w:t>
            </w:r>
          </w:p>
        </w:tc>
        <w:tc>
          <w:tcPr>
            <w:tcW w:w="583"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2"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72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1</w:t>
            </w:r>
          </w:p>
        </w:tc>
        <w:tc>
          <w:tcPr>
            <w:tcW w:w="87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3</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3" w:type="dxa"/>
            <w:gridSpan w:val="5"/>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739" w:type="dxa"/>
            <w:gridSpan w:val="8"/>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969" w:type="dxa"/>
            <w:gridSpan w:val="4"/>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sz w:val="18"/>
                <w:szCs w:val="18"/>
              </w:rPr>
              <w:t>4</w:t>
            </w:r>
          </w:p>
        </w:tc>
      </w:tr>
      <w:tr>
        <w:trPr>
          <w:trHeight w:val="205" w:hRule="atLeast"/>
        </w:trPr>
        <w:tc>
          <w:tcPr>
            <w:tcW w:w="27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lang w:val="en-US"/>
              </w:rPr>
            </w:pPr>
            <w:r>
              <w:rPr>
                <w:sz w:val="20"/>
                <w:szCs w:val="20"/>
                <w:lang w:val="en-US" w:eastAsia="en-US"/>
              </w:rPr>
              <w:t> </w:t>
            </w:r>
          </w:p>
        </w:tc>
        <w:tc>
          <w:tcPr>
            <w:tcW w:w="2189" w:type="dxa"/>
            <w:gridSpan w:val="5"/>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40"/>
              <w:jc w:val="left"/>
              <w:textAlignment w:val="auto"/>
              <w:rPr/>
            </w:pPr>
            <w:r>
              <w:rPr>
                <w:rFonts w:cs="Arial" w:ascii="Arial" w:hAnsi="Arial"/>
              </w:rPr>
              <w:t> </w:t>
            </w:r>
          </w:p>
        </w:tc>
        <w:tc>
          <w:tcPr>
            <w:tcW w:w="875" w:type="dxa"/>
            <w:gridSpan w:val="3"/>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pPr>
            <w:r>
              <w:rPr>
                <w:sz w:val="18"/>
                <w:szCs w:val="18"/>
              </w:rPr>
              <w:t>0</w:t>
            </w:r>
          </w:p>
        </w:tc>
        <w:tc>
          <w:tcPr>
            <w:tcW w:w="582"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18"/>
                <w:szCs w:val="18"/>
              </w:rPr>
              <w:t> </w:t>
            </w:r>
          </w:p>
        </w:tc>
        <w:tc>
          <w:tcPr>
            <w:tcW w:w="583"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2"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728"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874"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2"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4" w:type="dxa"/>
            <w:gridSpan w:val="5"/>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738" w:type="dxa"/>
            <w:gridSpan w:val="8"/>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0</w:t>
            </w:r>
          </w:p>
        </w:tc>
        <w:tc>
          <w:tcPr>
            <w:tcW w:w="971" w:type="dxa"/>
            <w:gridSpan w:val="5"/>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18"/>
                <w:szCs w:val="18"/>
                <w:lang w:val="en-US" w:eastAsia="en-US"/>
              </w:rPr>
              <w:t>0</w:t>
            </w:r>
          </w:p>
        </w:tc>
      </w:tr>
      <w:tr>
        <w:trPr>
          <w:trHeight w:val="222" w:hRule="atLeast"/>
        </w:trPr>
        <w:tc>
          <w:tcPr>
            <w:tcW w:w="2465" w:type="dxa"/>
            <w:gridSpan w:val="7"/>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lang w:val="en-US"/>
              </w:rPr>
            </w:pPr>
            <w:r>
              <w:rPr>
                <w:rFonts w:cs="Times New Roman CE" w:ascii="Times New Roman CE" w:hAnsi="Times New Roman CE"/>
                <w:sz w:val="20"/>
                <w:szCs w:val="20"/>
                <w:lang w:val="en-US" w:eastAsia="en-US"/>
              </w:rPr>
              <w:t>Doctori în ştiinţe</w:t>
            </w:r>
          </w:p>
        </w:tc>
        <w:tc>
          <w:tcPr>
            <w:tcW w:w="875" w:type="dxa"/>
            <w:gridSpan w:val="3"/>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180"/>
              <w:jc w:val="left"/>
              <w:textAlignment w:val="auto"/>
              <w:rPr/>
            </w:pPr>
            <w:r>
              <w:rPr>
                <w:sz w:val="18"/>
                <w:szCs w:val="18"/>
              </w:rPr>
              <w:t>11</w:t>
            </w:r>
          </w:p>
        </w:tc>
        <w:tc>
          <w:tcPr>
            <w:tcW w:w="582"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18"/>
                <w:szCs w:val="18"/>
              </w:rPr>
              <w:t>6</w:t>
            </w:r>
          </w:p>
        </w:tc>
        <w:tc>
          <w:tcPr>
            <w:tcW w:w="583"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2"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1</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3</w:t>
            </w:r>
          </w:p>
        </w:tc>
        <w:tc>
          <w:tcPr>
            <w:tcW w:w="72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1</w:t>
            </w:r>
          </w:p>
        </w:tc>
        <w:tc>
          <w:tcPr>
            <w:tcW w:w="87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1</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3" w:type="dxa"/>
            <w:gridSpan w:val="5"/>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4</w:t>
            </w:r>
          </w:p>
        </w:tc>
        <w:tc>
          <w:tcPr>
            <w:tcW w:w="739" w:type="dxa"/>
            <w:gridSpan w:val="8"/>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969" w:type="dxa"/>
            <w:gridSpan w:val="4"/>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sz w:val="18"/>
                <w:szCs w:val="18"/>
              </w:rPr>
              <w:t>10</w:t>
            </w:r>
          </w:p>
        </w:tc>
      </w:tr>
      <w:tr>
        <w:trPr>
          <w:trHeight w:val="254" w:hRule="atLeast"/>
        </w:trPr>
        <w:tc>
          <w:tcPr>
            <w:tcW w:w="27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lang w:val="en-US"/>
              </w:rPr>
            </w:pPr>
            <w:r>
              <w:rPr>
                <w:sz w:val="20"/>
                <w:szCs w:val="20"/>
                <w:lang w:val="en-US" w:eastAsia="en-US"/>
              </w:rPr>
              <w:t> </w:t>
            </w:r>
          </w:p>
        </w:tc>
        <w:tc>
          <w:tcPr>
            <w:tcW w:w="2189" w:type="dxa"/>
            <w:gridSpan w:val="5"/>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40"/>
              <w:jc w:val="left"/>
              <w:textAlignment w:val="auto"/>
              <w:rPr/>
            </w:pPr>
            <w:r>
              <w:rPr>
                <w:rFonts w:cs="Arial" w:ascii="Arial" w:hAnsi="Arial"/>
              </w:rPr>
              <w:t>2</w:t>
            </w:r>
          </w:p>
        </w:tc>
        <w:tc>
          <w:tcPr>
            <w:tcW w:w="875" w:type="dxa"/>
            <w:gridSpan w:val="3"/>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pPr>
            <w:r>
              <w:rPr>
                <w:sz w:val="18"/>
                <w:szCs w:val="18"/>
              </w:rPr>
              <w:t>1</w:t>
            </w:r>
          </w:p>
        </w:tc>
        <w:tc>
          <w:tcPr>
            <w:tcW w:w="582"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18"/>
                <w:szCs w:val="18"/>
              </w:rPr>
              <w:t> </w:t>
            </w:r>
          </w:p>
        </w:tc>
        <w:tc>
          <w:tcPr>
            <w:tcW w:w="583"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2"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1</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728"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874"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2"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2</w:t>
            </w:r>
          </w:p>
        </w:tc>
        <w:tc>
          <w:tcPr>
            <w:tcW w:w="584" w:type="dxa"/>
            <w:gridSpan w:val="5"/>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738" w:type="dxa"/>
            <w:gridSpan w:val="8"/>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3</w:t>
            </w:r>
          </w:p>
        </w:tc>
        <w:tc>
          <w:tcPr>
            <w:tcW w:w="971" w:type="dxa"/>
            <w:gridSpan w:val="5"/>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18"/>
                <w:szCs w:val="18"/>
                <w:lang w:val="en-US" w:eastAsia="en-US"/>
              </w:rPr>
              <w:t>3</w:t>
            </w:r>
          </w:p>
        </w:tc>
      </w:tr>
      <w:tr>
        <w:trPr>
          <w:trHeight w:val="272" w:hRule="atLeast"/>
        </w:trPr>
        <w:tc>
          <w:tcPr>
            <w:tcW w:w="2465" w:type="dxa"/>
            <w:gridSpan w:val="7"/>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lang w:val="en-US"/>
              </w:rPr>
            </w:pPr>
            <w:r>
              <w:rPr>
                <w:sz w:val="20"/>
                <w:szCs w:val="20"/>
                <w:lang w:val="en-US" w:eastAsia="en-US"/>
              </w:rPr>
              <w:t xml:space="preserve">Postdoctoranzi </w:t>
            </w:r>
          </w:p>
        </w:tc>
        <w:tc>
          <w:tcPr>
            <w:tcW w:w="875" w:type="dxa"/>
            <w:gridSpan w:val="3"/>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180"/>
              <w:jc w:val="left"/>
              <w:textAlignment w:val="auto"/>
              <w:rPr/>
            </w:pPr>
            <w:r>
              <w:rPr>
                <w:sz w:val="18"/>
                <w:szCs w:val="18"/>
              </w:rPr>
              <w:t> </w:t>
            </w:r>
          </w:p>
        </w:tc>
        <w:tc>
          <w:tcPr>
            <w:tcW w:w="582"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18"/>
                <w:szCs w:val="18"/>
              </w:rPr>
              <w:t>0</w:t>
            </w:r>
          </w:p>
        </w:tc>
        <w:tc>
          <w:tcPr>
            <w:tcW w:w="583"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2"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72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87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3" w:type="dxa"/>
            <w:gridSpan w:val="5"/>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739" w:type="dxa"/>
            <w:gridSpan w:val="8"/>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969" w:type="dxa"/>
            <w:gridSpan w:val="4"/>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sz w:val="18"/>
                <w:szCs w:val="18"/>
              </w:rPr>
              <w:t>0</w:t>
            </w:r>
          </w:p>
        </w:tc>
      </w:tr>
      <w:tr>
        <w:trPr>
          <w:trHeight w:val="152" w:hRule="atLeast"/>
        </w:trPr>
        <w:tc>
          <w:tcPr>
            <w:tcW w:w="2465" w:type="dxa"/>
            <w:gridSpan w:val="7"/>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lang w:val="en-US"/>
              </w:rPr>
            </w:pPr>
            <w:r>
              <w:rPr>
                <w:sz w:val="20"/>
                <w:szCs w:val="20"/>
                <w:lang w:val="en-US" w:eastAsia="en-US"/>
              </w:rPr>
              <w:t xml:space="preserve">Doctoranzi </w:t>
            </w:r>
          </w:p>
        </w:tc>
        <w:tc>
          <w:tcPr>
            <w:tcW w:w="875" w:type="dxa"/>
            <w:gridSpan w:val="3"/>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180"/>
              <w:jc w:val="left"/>
              <w:textAlignment w:val="auto"/>
              <w:rPr/>
            </w:pPr>
            <w:r>
              <w:rPr>
                <w:sz w:val="18"/>
                <w:szCs w:val="18"/>
              </w:rPr>
              <w:t> </w:t>
            </w:r>
          </w:p>
        </w:tc>
        <w:tc>
          <w:tcPr>
            <w:tcW w:w="582"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18"/>
                <w:szCs w:val="18"/>
              </w:rPr>
              <w:t>0</w:t>
            </w:r>
          </w:p>
        </w:tc>
        <w:tc>
          <w:tcPr>
            <w:tcW w:w="583"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2"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72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87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3" w:type="dxa"/>
            <w:gridSpan w:val="5"/>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739" w:type="dxa"/>
            <w:gridSpan w:val="8"/>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969" w:type="dxa"/>
            <w:gridSpan w:val="4"/>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sz w:val="18"/>
                <w:szCs w:val="18"/>
              </w:rPr>
              <w:t>0</w:t>
            </w:r>
          </w:p>
        </w:tc>
      </w:tr>
      <w:tr>
        <w:trPr>
          <w:trHeight w:val="184" w:hRule="atLeast"/>
        </w:trPr>
        <w:tc>
          <w:tcPr>
            <w:tcW w:w="27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lang w:val="en-US"/>
              </w:rPr>
            </w:pPr>
            <w:r>
              <w:rPr>
                <w:sz w:val="20"/>
                <w:szCs w:val="20"/>
                <w:lang w:val="en-US" w:eastAsia="en-US"/>
              </w:rPr>
              <w:t> </w:t>
            </w:r>
          </w:p>
        </w:tc>
        <w:tc>
          <w:tcPr>
            <w:tcW w:w="2189" w:type="dxa"/>
            <w:gridSpan w:val="5"/>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40"/>
              <w:jc w:val="left"/>
              <w:textAlignment w:val="auto"/>
              <w:rPr/>
            </w:pPr>
            <w:r>
              <w:rPr>
                <w:rFonts w:cs="Arial" w:ascii="Arial" w:hAnsi="Arial"/>
              </w:rPr>
              <w:t> </w:t>
            </w:r>
          </w:p>
        </w:tc>
        <w:tc>
          <w:tcPr>
            <w:tcW w:w="875" w:type="dxa"/>
            <w:gridSpan w:val="3"/>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pPr>
            <w:r>
              <w:rPr>
                <w:sz w:val="18"/>
                <w:szCs w:val="18"/>
              </w:rPr>
              <w:t>0</w:t>
            </w:r>
          </w:p>
        </w:tc>
        <w:tc>
          <w:tcPr>
            <w:tcW w:w="582"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18"/>
                <w:szCs w:val="18"/>
              </w:rPr>
              <w:t> </w:t>
            </w:r>
          </w:p>
        </w:tc>
        <w:tc>
          <w:tcPr>
            <w:tcW w:w="583"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2"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728"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874"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2"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4" w:type="dxa"/>
            <w:gridSpan w:val="5"/>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738" w:type="dxa"/>
            <w:gridSpan w:val="8"/>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0</w:t>
            </w:r>
          </w:p>
        </w:tc>
        <w:tc>
          <w:tcPr>
            <w:tcW w:w="971" w:type="dxa"/>
            <w:gridSpan w:val="5"/>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18"/>
                <w:szCs w:val="18"/>
                <w:lang w:val="en-US" w:eastAsia="en-US"/>
              </w:rPr>
              <w:t>0</w:t>
            </w:r>
          </w:p>
        </w:tc>
      </w:tr>
      <w:tr>
        <w:trPr>
          <w:trHeight w:val="216" w:hRule="atLeast"/>
        </w:trPr>
        <w:tc>
          <w:tcPr>
            <w:tcW w:w="2465" w:type="dxa"/>
            <w:gridSpan w:val="7"/>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lang w:val="en-US"/>
              </w:rPr>
            </w:pPr>
            <w:r>
              <w:rPr>
                <w:sz w:val="20"/>
                <w:szCs w:val="20"/>
                <w:lang w:val="en-US" w:eastAsia="en-US"/>
              </w:rPr>
              <w:t xml:space="preserve">Masteranzi </w:t>
            </w:r>
          </w:p>
        </w:tc>
        <w:tc>
          <w:tcPr>
            <w:tcW w:w="875" w:type="dxa"/>
            <w:gridSpan w:val="3"/>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180"/>
              <w:jc w:val="left"/>
              <w:textAlignment w:val="auto"/>
              <w:rPr/>
            </w:pPr>
            <w:r>
              <w:rPr>
                <w:sz w:val="18"/>
                <w:szCs w:val="18"/>
              </w:rPr>
              <w:t> </w:t>
            </w:r>
          </w:p>
        </w:tc>
        <w:tc>
          <w:tcPr>
            <w:tcW w:w="582"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18"/>
                <w:szCs w:val="18"/>
              </w:rPr>
              <w:t>0</w:t>
            </w:r>
          </w:p>
        </w:tc>
        <w:tc>
          <w:tcPr>
            <w:tcW w:w="583"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2"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72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87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3" w:type="dxa"/>
            <w:gridSpan w:val="5"/>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739" w:type="dxa"/>
            <w:gridSpan w:val="8"/>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969" w:type="dxa"/>
            <w:gridSpan w:val="4"/>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sz w:val="18"/>
                <w:szCs w:val="18"/>
              </w:rPr>
              <w:t>0</w:t>
            </w:r>
          </w:p>
        </w:tc>
      </w:tr>
      <w:tr>
        <w:trPr>
          <w:trHeight w:val="248" w:hRule="atLeast"/>
        </w:trPr>
        <w:tc>
          <w:tcPr>
            <w:tcW w:w="27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lang w:val="en-US"/>
              </w:rPr>
            </w:pPr>
            <w:r>
              <w:rPr>
                <w:sz w:val="20"/>
                <w:szCs w:val="20"/>
                <w:lang w:val="en-US" w:eastAsia="en-US"/>
              </w:rPr>
              <w:t> </w:t>
            </w:r>
          </w:p>
        </w:tc>
        <w:tc>
          <w:tcPr>
            <w:tcW w:w="2189" w:type="dxa"/>
            <w:gridSpan w:val="5"/>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40"/>
              <w:jc w:val="left"/>
              <w:textAlignment w:val="auto"/>
              <w:rPr/>
            </w:pPr>
            <w:r>
              <w:rPr>
                <w:rFonts w:cs="Arial" w:ascii="Arial" w:hAnsi="Arial"/>
              </w:rPr>
              <w:t> </w:t>
            </w:r>
          </w:p>
        </w:tc>
        <w:tc>
          <w:tcPr>
            <w:tcW w:w="875" w:type="dxa"/>
            <w:gridSpan w:val="3"/>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pPr>
            <w:r>
              <w:rPr>
                <w:sz w:val="18"/>
                <w:szCs w:val="18"/>
              </w:rPr>
              <w:t>0</w:t>
            </w:r>
          </w:p>
        </w:tc>
        <w:tc>
          <w:tcPr>
            <w:tcW w:w="582"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18"/>
                <w:szCs w:val="18"/>
              </w:rPr>
              <w:t> </w:t>
            </w:r>
          </w:p>
        </w:tc>
        <w:tc>
          <w:tcPr>
            <w:tcW w:w="583"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2"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728"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874"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2"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4" w:type="dxa"/>
            <w:gridSpan w:val="5"/>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738" w:type="dxa"/>
            <w:gridSpan w:val="8"/>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0</w:t>
            </w:r>
          </w:p>
        </w:tc>
        <w:tc>
          <w:tcPr>
            <w:tcW w:w="971" w:type="dxa"/>
            <w:gridSpan w:val="5"/>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18"/>
                <w:szCs w:val="18"/>
                <w:lang w:val="en-US" w:eastAsia="en-US"/>
              </w:rPr>
              <w:t>0</w:t>
            </w:r>
          </w:p>
        </w:tc>
      </w:tr>
      <w:tr>
        <w:trPr>
          <w:trHeight w:val="315" w:hRule="atLeast"/>
        </w:trPr>
        <w:tc>
          <w:tcPr>
            <w:tcW w:w="2465" w:type="dxa"/>
            <w:gridSpan w:val="7"/>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Ingineri şi specialişti cu </w:t>
            </w:r>
            <w:r>
              <w:rPr>
                <w:color w:val="000000"/>
                <w:sz w:val="20"/>
                <w:szCs w:val="20"/>
                <w:lang w:val="en-US" w:eastAsia="en-US"/>
              </w:rPr>
              <w:t>studii superioare</w:t>
            </w:r>
            <w:r>
              <w:rPr>
                <w:sz w:val="20"/>
                <w:szCs w:val="20"/>
                <w:lang w:val="en-US" w:eastAsia="en-US"/>
              </w:rPr>
              <w:t xml:space="preserve"> </w:t>
            </w:r>
          </w:p>
        </w:tc>
        <w:tc>
          <w:tcPr>
            <w:tcW w:w="875"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180"/>
              <w:jc w:val="left"/>
              <w:textAlignment w:val="auto"/>
              <w:rPr/>
            </w:pPr>
            <w:r>
              <w:rPr>
                <w:sz w:val="18"/>
                <w:szCs w:val="18"/>
              </w:rPr>
              <w:t>3,5</w:t>
            </w:r>
          </w:p>
        </w:tc>
        <w:tc>
          <w:tcPr>
            <w:tcW w:w="582"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18"/>
                <w:szCs w:val="18"/>
              </w:rPr>
              <w:t>4</w:t>
            </w:r>
          </w:p>
        </w:tc>
        <w:tc>
          <w:tcPr>
            <w:tcW w:w="583"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3</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1</w:t>
            </w:r>
          </w:p>
        </w:tc>
        <w:tc>
          <w:tcPr>
            <w:tcW w:w="582"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72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87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3" w:type="dxa"/>
            <w:gridSpan w:val="5"/>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1</w:t>
            </w:r>
          </w:p>
        </w:tc>
        <w:tc>
          <w:tcPr>
            <w:tcW w:w="739" w:type="dxa"/>
            <w:gridSpan w:val="8"/>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969" w:type="dxa"/>
            <w:gridSpan w:val="4"/>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sz w:val="18"/>
                <w:szCs w:val="18"/>
              </w:rPr>
              <w:t>5</w:t>
            </w:r>
          </w:p>
        </w:tc>
      </w:tr>
      <w:tr>
        <w:trPr>
          <w:trHeight w:val="217" w:hRule="atLeast"/>
        </w:trPr>
        <w:tc>
          <w:tcPr>
            <w:tcW w:w="27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lang w:val="en-US"/>
              </w:rPr>
            </w:pPr>
            <w:r>
              <w:rPr>
                <w:sz w:val="20"/>
                <w:szCs w:val="20"/>
                <w:lang w:val="en-US" w:eastAsia="en-US"/>
              </w:rPr>
              <w:t> </w:t>
            </w:r>
          </w:p>
        </w:tc>
        <w:tc>
          <w:tcPr>
            <w:tcW w:w="2189" w:type="dxa"/>
            <w:gridSpan w:val="5"/>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40"/>
              <w:jc w:val="left"/>
              <w:textAlignment w:val="auto"/>
              <w:rPr/>
            </w:pPr>
            <w:r>
              <w:rPr>
                <w:rFonts w:cs="Arial" w:ascii="Arial" w:hAnsi="Arial"/>
              </w:rPr>
              <w:t>1,5</w:t>
            </w:r>
          </w:p>
        </w:tc>
        <w:tc>
          <w:tcPr>
            <w:tcW w:w="875" w:type="dxa"/>
            <w:gridSpan w:val="3"/>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pPr>
            <w:r>
              <w:rPr>
                <w:sz w:val="18"/>
                <w:szCs w:val="18"/>
              </w:rPr>
              <w:t>2</w:t>
            </w:r>
          </w:p>
        </w:tc>
        <w:tc>
          <w:tcPr>
            <w:tcW w:w="582"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18"/>
                <w:szCs w:val="18"/>
              </w:rPr>
              <w:t>2</w:t>
            </w:r>
          </w:p>
        </w:tc>
        <w:tc>
          <w:tcPr>
            <w:tcW w:w="583"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2"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728"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874"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2"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4" w:type="dxa"/>
            <w:gridSpan w:val="5"/>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738" w:type="dxa"/>
            <w:gridSpan w:val="8"/>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2</w:t>
            </w:r>
          </w:p>
        </w:tc>
        <w:tc>
          <w:tcPr>
            <w:tcW w:w="971" w:type="dxa"/>
            <w:gridSpan w:val="5"/>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18"/>
                <w:szCs w:val="18"/>
                <w:lang w:val="en-US" w:eastAsia="en-US"/>
              </w:rPr>
              <w:t>2</w:t>
            </w:r>
          </w:p>
        </w:tc>
      </w:tr>
      <w:tr>
        <w:trPr>
          <w:trHeight w:val="248" w:hRule="atLeast"/>
        </w:trPr>
        <w:tc>
          <w:tcPr>
            <w:tcW w:w="2465" w:type="dxa"/>
            <w:gridSpan w:val="7"/>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Tehnicieni, laboranţi </w:t>
            </w:r>
          </w:p>
        </w:tc>
        <w:tc>
          <w:tcPr>
            <w:tcW w:w="875"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180"/>
              <w:jc w:val="left"/>
              <w:textAlignment w:val="auto"/>
              <w:rPr/>
            </w:pPr>
            <w:r>
              <w:rPr>
                <w:sz w:val="18"/>
                <w:szCs w:val="18"/>
              </w:rPr>
              <w:t> </w:t>
            </w:r>
          </w:p>
        </w:tc>
        <w:tc>
          <w:tcPr>
            <w:tcW w:w="582"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18"/>
                <w:szCs w:val="18"/>
              </w:rPr>
              <w:t>0</w:t>
            </w:r>
          </w:p>
        </w:tc>
        <w:tc>
          <w:tcPr>
            <w:tcW w:w="583"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2"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72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87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3" w:type="dxa"/>
            <w:gridSpan w:val="5"/>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739" w:type="dxa"/>
            <w:gridSpan w:val="8"/>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969" w:type="dxa"/>
            <w:gridSpan w:val="4"/>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sz w:val="18"/>
                <w:szCs w:val="18"/>
              </w:rPr>
              <w:t>0</w:t>
            </w:r>
          </w:p>
        </w:tc>
      </w:tr>
      <w:tr>
        <w:trPr>
          <w:trHeight w:val="252" w:hRule="atLeast"/>
        </w:trPr>
        <w:tc>
          <w:tcPr>
            <w:tcW w:w="27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lang w:val="en-US"/>
              </w:rPr>
            </w:pPr>
            <w:r>
              <w:rPr>
                <w:sz w:val="20"/>
                <w:szCs w:val="20"/>
                <w:lang w:val="en-US" w:eastAsia="en-US"/>
              </w:rPr>
              <w:t> </w:t>
            </w:r>
          </w:p>
        </w:tc>
        <w:tc>
          <w:tcPr>
            <w:tcW w:w="2189" w:type="dxa"/>
            <w:gridSpan w:val="5"/>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40"/>
              <w:jc w:val="left"/>
              <w:textAlignment w:val="auto"/>
              <w:rPr/>
            </w:pPr>
            <w:r>
              <w:rPr>
                <w:rFonts w:cs="Arial" w:ascii="Arial" w:hAnsi="Arial"/>
              </w:rPr>
              <w:t> </w:t>
            </w:r>
          </w:p>
        </w:tc>
        <w:tc>
          <w:tcPr>
            <w:tcW w:w="875" w:type="dxa"/>
            <w:gridSpan w:val="3"/>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pPr>
            <w:r>
              <w:rPr>
                <w:sz w:val="18"/>
                <w:szCs w:val="18"/>
              </w:rPr>
              <w:t>0</w:t>
            </w:r>
          </w:p>
        </w:tc>
        <w:tc>
          <w:tcPr>
            <w:tcW w:w="582"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18"/>
                <w:szCs w:val="18"/>
              </w:rPr>
              <w:t> </w:t>
            </w:r>
          </w:p>
        </w:tc>
        <w:tc>
          <w:tcPr>
            <w:tcW w:w="583"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2"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728"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874"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2"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4" w:type="dxa"/>
            <w:gridSpan w:val="5"/>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738" w:type="dxa"/>
            <w:gridSpan w:val="8"/>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0</w:t>
            </w:r>
          </w:p>
        </w:tc>
        <w:tc>
          <w:tcPr>
            <w:tcW w:w="971" w:type="dxa"/>
            <w:gridSpan w:val="5"/>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18"/>
                <w:szCs w:val="18"/>
                <w:lang w:val="en-US" w:eastAsia="en-US"/>
              </w:rPr>
              <w:t>0</w:t>
            </w:r>
          </w:p>
        </w:tc>
      </w:tr>
      <w:tr>
        <w:trPr>
          <w:trHeight w:val="270" w:hRule="atLeast"/>
        </w:trPr>
        <w:tc>
          <w:tcPr>
            <w:tcW w:w="2465" w:type="dxa"/>
            <w:gridSpan w:val="7"/>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Alte categorii de salariaţi </w:t>
            </w:r>
          </w:p>
        </w:tc>
        <w:tc>
          <w:tcPr>
            <w:tcW w:w="875"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180"/>
              <w:jc w:val="left"/>
              <w:textAlignment w:val="auto"/>
              <w:rPr/>
            </w:pPr>
            <w:r>
              <w:rPr>
                <w:sz w:val="18"/>
                <w:szCs w:val="18"/>
              </w:rPr>
              <w:t> </w:t>
            </w:r>
          </w:p>
        </w:tc>
        <w:tc>
          <w:tcPr>
            <w:tcW w:w="582"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18"/>
                <w:szCs w:val="18"/>
              </w:rPr>
              <w:t>0</w:t>
            </w:r>
          </w:p>
        </w:tc>
        <w:tc>
          <w:tcPr>
            <w:tcW w:w="583"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2"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72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87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3" w:type="dxa"/>
            <w:gridSpan w:val="5"/>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739" w:type="dxa"/>
            <w:gridSpan w:val="8"/>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969" w:type="dxa"/>
            <w:gridSpan w:val="4"/>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sz w:val="18"/>
                <w:szCs w:val="18"/>
              </w:rPr>
              <w:t>0</w:t>
            </w:r>
          </w:p>
        </w:tc>
      </w:tr>
      <w:tr>
        <w:trPr>
          <w:trHeight w:val="78" w:hRule="atLeast"/>
        </w:trPr>
        <w:tc>
          <w:tcPr>
            <w:tcW w:w="27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lang w:val="en-US"/>
              </w:rPr>
            </w:pPr>
            <w:r>
              <w:rPr>
                <w:sz w:val="20"/>
                <w:szCs w:val="20"/>
                <w:lang w:val="en-US" w:eastAsia="en-US"/>
              </w:rPr>
              <w:t> </w:t>
            </w:r>
          </w:p>
        </w:tc>
        <w:tc>
          <w:tcPr>
            <w:tcW w:w="2189" w:type="dxa"/>
            <w:gridSpan w:val="5"/>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40"/>
              <w:jc w:val="left"/>
              <w:textAlignment w:val="auto"/>
              <w:rPr/>
            </w:pPr>
            <w:r>
              <w:rPr>
                <w:rFonts w:cs="Arial" w:ascii="Arial" w:hAnsi="Arial"/>
              </w:rPr>
              <w:t> </w:t>
            </w:r>
          </w:p>
        </w:tc>
        <w:tc>
          <w:tcPr>
            <w:tcW w:w="875" w:type="dxa"/>
            <w:gridSpan w:val="3"/>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pPr>
            <w:r>
              <w:rPr>
                <w:sz w:val="18"/>
                <w:szCs w:val="18"/>
              </w:rPr>
              <w:t>0</w:t>
            </w:r>
          </w:p>
        </w:tc>
        <w:tc>
          <w:tcPr>
            <w:tcW w:w="582"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18"/>
                <w:szCs w:val="18"/>
              </w:rPr>
              <w:t> </w:t>
            </w:r>
          </w:p>
        </w:tc>
        <w:tc>
          <w:tcPr>
            <w:tcW w:w="583"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2"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728"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874"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2"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4" w:type="dxa"/>
            <w:gridSpan w:val="5"/>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738" w:type="dxa"/>
            <w:gridSpan w:val="8"/>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0</w:t>
            </w:r>
          </w:p>
        </w:tc>
        <w:tc>
          <w:tcPr>
            <w:tcW w:w="971" w:type="dxa"/>
            <w:gridSpan w:val="5"/>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18"/>
                <w:szCs w:val="18"/>
                <w:lang w:val="en-US" w:eastAsia="en-US"/>
              </w:rPr>
              <w:t>0</w:t>
            </w:r>
          </w:p>
        </w:tc>
      </w:tr>
      <w:tr>
        <w:trPr>
          <w:trHeight w:val="150" w:hRule="atLeast"/>
        </w:trPr>
        <w:tc>
          <w:tcPr>
            <w:tcW w:w="2465" w:type="dxa"/>
            <w:gridSpan w:val="7"/>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1"/>
              <w:jc w:val="left"/>
              <w:textAlignment w:val="auto"/>
              <w:rPr>
                <w:lang w:val="en-US"/>
              </w:rPr>
            </w:pPr>
            <w:r>
              <w:rPr>
                <w:b/>
                <w:bCs/>
                <w:sz w:val="20"/>
                <w:szCs w:val="20"/>
                <w:lang w:val="en-US" w:eastAsia="en-US"/>
              </w:rPr>
              <w:t>Total</w:t>
            </w:r>
          </w:p>
        </w:tc>
        <w:tc>
          <w:tcPr>
            <w:tcW w:w="875"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181"/>
              <w:jc w:val="right"/>
              <w:textAlignment w:val="auto"/>
              <w:rPr/>
            </w:pPr>
            <w:r>
              <w:rPr>
                <w:b/>
                <w:bCs/>
                <w:sz w:val="18"/>
                <w:szCs w:val="18"/>
              </w:rPr>
              <w:t>15</w:t>
            </w:r>
          </w:p>
        </w:tc>
        <w:tc>
          <w:tcPr>
            <w:tcW w:w="582"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18"/>
                <w:szCs w:val="18"/>
              </w:rPr>
              <w:t>14</w:t>
            </w:r>
          </w:p>
        </w:tc>
        <w:tc>
          <w:tcPr>
            <w:tcW w:w="583"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18"/>
                <w:szCs w:val="18"/>
              </w:rPr>
              <w:t>3</w:t>
            </w:r>
          </w:p>
        </w:tc>
        <w:tc>
          <w:tcPr>
            <w:tcW w:w="583"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18"/>
                <w:szCs w:val="18"/>
              </w:rPr>
              <w:t>1</w:t>
            </w:r>
          </w:p>
        </w:tc>
        <w:tc>
          <w:tcPr>
            <w:tcW w:w="582"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18"/>
                <w:szCs w:val="18"/>
              </w:rPr>
              <w:t>1</w:t>
            </w:r>
          </w:p>
        </w:tc>
        <w:tc>
          <w:tcPr>
            <w:tcW w:w="583"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18"/>
                <w:szCs w:val="18"/>
              </w:rPr>
              <w:t>2</w:t>
            </w:r>
          </w:p>
        </w:tc>
        <w:tc>
          <w:tcPr>
            <w:tcW w:w="729"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18"/>
                <w:szCs w:val="18"/>
              </w:rPr>
              <w:t>3</w:t>
            </w:r>
          </w:p>
        </w:tc>
        <w:tc>
          <w:tcPr>
            <w:tcW w:w="873"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18"/>
                <w:szCs w:val="18"/>
              </w:rPr>
              <w:t>4</w:t>
            </w:r>
          </w:p>
        </w:tc>
        <w:tc>
          <w:tcPr>
            <w:tcW w:w="583"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18"/>
                <w:szCs w:val="18"/>
              </w:rPr>
              <w:t>0</w:t>
            </w:r>
          </w:p>
        </w:tc>
        <w:tc>
          <w:tcPr>
            <w:tcW w:w="583" w:type="dxa"/>
            <w:gridSpan w:val="5"/>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18"/>
                <w:szCs w:val="18"/>
              </w:rPr>
              <w:t>5</w:t>
            </w:r>
          </w:p>
        </w:tc>
        <w:tc>
          <w:tcPr>
            <w:tcW w:w="739" w:type="dxa"/>
            <w:gridSpan w:val="8"/>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18"/>
                <w:szCs w:val="18"/>
              </w:rPr>
              <w:t>0</w:t>
            </w:r>
          </w:p>
        </w:tc>
        <w:tc>
          <w:tcPr>
            <w:tcW w:w="969" w:type="dxa"/>
            <w:gridSpan w:val="4"/>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18"/>
                <w:szCs w:val="18"/>
              </w:rPr>
              <w:t>19</w:t>
            </w:r>
          </w:p>
        </w:tc>
      </w:tr>
      <w:tr>
        <w:trPr>
          <w:trHeight w:val="196" w:hRule="atLeast"/>
        </w:trPr>
        <w:tc>
          <w:tcPr>
            <w:tcW w:w="27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lang w:val="en-US"/>
              </w:rPr>
            </w:pPr>
            <w:r>
              <w:rPr>
                <w:sz w:val="20"/>
                <w:szCs w:val="20"/>
                <w:lang w:val="en-US" w:eastAsia="en-US"/>
              </w:rPr>
              <w:t> </w:t>
            </w:r>
          </w:p>
        </w:tc>
        <w:tc>
          <w:tcPr>
            <w:tcW w:w="2189" w:type="dxa"/>
            <w:gridSpan w:val="5"/>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0"/>
              <w:jc w:val="left"/>
              <w:textAlignment w:val="auto"/>
              <w:rPr>
                <w:lang w:val="ro-RO"/>
              </w:rPr>
            </w:pPr>
            <w:r>
              <w:rPr>
                <w:rFonts w:cs="Arial" w:ascii="Arial" w:hAnsi="Arial"/>
                <w:sz w:val="20"/>
                <w:szCs w:val="20"/>
                <w:lang w:val="ro-RO"/>
              </w:rPr>
              <w:t>Total femei</w:t>
            </w:r>
          </w:p>
        </w:tc>
        <w:tc>
          <w:tcPr>
            <w:tcW w:w="875" w:type="dxa"/>
            <w:gridSpan w:val="3"/>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pPr>
            <w:r>
              <w:rPr>
                <w:sz w:val="18"/>
                <w:szCs w:val="18"/>
              </w:rPr>
              <w:t>3</w:t>
            </w:r>
          </w:p>
        </w:tc>
        <w:tc>
          <w:tcPr>
            <w:tcW w:w="582"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18"/>
                <w:szCs w:val="18"/>
              </w:rPr>
              <w:t>2</w:t>
            </w:r>
          </w:p>
        </w:tc>
        <w:tc>
          <w:tcPr>
            <w:tcW w:w="583"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18"/>
                <w:szCs w:val="18"/>
              </w:rPr>
              <w:t>0</w:t>
            </w:r>
          </w:p>
        </w:tc>
        <w:tc>
          <w:tcPr>
            <w:tcW w:w="583"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18"/>
                <w:szCs w:val="18"/>
              </w:rPr>
              <w:t>0</w:t>
            </w:r>
          </w:p>
        </w:tc>
        <w:tc>
          <w:tcPr>
            <w:tcW w:w="582"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18"/>
                <w:szCs w:val="18"/>
              </w:rPr>
              <w:t>1</w:t>
            </w:r>
          </w:p>
        </w:tc>
        <w:tc>
          <w:tcPr>
            <w:tcW w:w="583"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18"/>
                <w:szCs w:val="18"/>
              </w:rPr>
              <w:t>0</w:t>
            </w:r>
          </w:p>
        </w:tc>
        <w:tc>
          <w:tcPr>
            <w:tcW w:w="728"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18"/>
                <w:szCs w:val="18"/>
              </w:rPr>
              <w:t>0</w:t>
            </w:r>
          </w:p>
        </w:tc>
        <w:tc>
          <w:tcPr>
            <w:tcW w:w="874"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18"/>
                <w:szCs w:val="18"/>
              </w:rPr>
              <w:t>0</w:t>
            </w:r>
          </w:p>
        </w:tc>
        <w:tc>
          <w:tcPr>
            <w:tcW w:w="582"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18"/>
                <w:szCs w:val="18"/>
              </w:rPr>
              <w:t>2</w:t>
            </w:r>
          </w:p>
        </w:tc>
        <w:tc>
          <w:tcPr>
            <w:tcW w:w="584" w:type="dxa"/>
            <w:gridSpan w:val="5"/>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18"/>
                <w:szCs w:val="18"/>
              </w:rPr>
              <w:t>0</w:t>
            </w:r>
          </w:p>
        </w:tc>
        <w:tc>
          <w:tcPr>
            <w:tcW w:w="738" w:type="dxa"/>
            <w:gridSpan w:val="8"/>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18"/>
                <w:szCs w:val="18"/>
              </w:rPr>
              <w:t>5</w:t>
            </w:r>
          </w:p>
        </w:tc>
        <w:tc>
          <w:tcPr>
            <w:tcW w:w="971" w:type="dxa"/>
            <w:gridSpan w:val="5"/>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18"/>
                <w:szCs w:val="18"/>
                <w:lang w:val="en-US" w:eastAsia="en-US"/>
              </w:rPr>
              <w:t>5</w:t>
            </w:r>
          </w:p>
        </w:tc>
      </w:tr>
      <w:tr>
        <w:trPr>
          <w:trHeight w:val="87" w:hRule="atLeast"/>
        </w:trPr>
        <w:tc>
          <w:tcPr>
            <w:tcW w:w="2465" w:type="dxa"/>
            <w:gridSpan w:val="7"/>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sz w:val="20"/>
                <w:szCs w:val="20"/>
                <w:lang w:val="en-US" w:eastAsia="en-US"/>
              </w:rPr>
              <w:t>Din ei membrii academiei</w:t>
            </w:r>
          </w:p>
        </w:tc>
        <w:tc>
          <w:tcPr>
            <w:tcW w:w="875" w:type="dxa"/>
            <w:gridSpan w:val="3"/>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180"/>
              <w:jc w:val="left"/>
              <w:textAlignment w:val="auto"/>
              <w:rPr/>
            </w:pPr>
            <w:r>
              <w:rPr>
                <w:sz w:val="18"/>
                <w:szCs w:val="18"/>
              </w:rPr>
              <w:t>2</w:t>
            </w:r>
          </w:p>
        </w:tc>
        <w:tc>
          <w:tcPr>
            <w:tcW w:w="582"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18"/>
                <w:szCs w:val="18"/>
              </w:rPr>
              <w:t>2</w:t>
            </w:r>
          </w:p>
        </w:tc>
        <w:tc>
          <w:tcPr>
            <w:tcW w:w="583"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2"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72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87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2</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3" w:type="dxa"/>
            <w:gridSpan w:val="5"/>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739" w:type="dxa"/>
            <w:gridSpan w:val="8"/>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969" w:type="dxa"/>
            <w:gridSpan w:val="4"/>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sz w:val="18"/>
                <w:szCs w:val="18"/>
              </w:rPr>
              <w:t>2</w:t>
            </w:r>
          </w:p>
        </w:tc>
      </w:tr>
      <w:tr>
        <w:trPr>
          <w:trHeight w:val="118" w:hRule="atLeast"/>
        </w:trPr>
        <w:tc>
          <w:tcPr>
            <w:tcW w:w="27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lang w:val="en-US"/>
              </w:rPr>
            </w:pPr>
            <w:r>
              <w:rPr>
                <w:sz w:val="20"/>
                <w:szCs w:val="20"/>
                <w:lang w:val="en-US" w:eastAsia="en-US"/>
              </w:rPr>
              <w:t> </w:t>
            </w:r>
          </w:p>
        </w:tc>
        <w:tc>
          <w:tcPr>
            <w:tcW w:w="2189" w:type="dxa"/>
            <w:gridSpan w:val="5"/>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40"/>
              <w:jc w:val="left"/>
              <w:textAlignment w:val="auto"/>
              <w:rPr/>
            </w:pPr>
            <w:r>
              <w:rPr>
                <w:rFonts w:cs="Arial" w:ascii="Arial" w:hAnsi="Arial"/>
              </w:rPr>
              <w:t> </w:t>
            </w:r>
          </w:p>
        </w:tc>
        <w:tc>
          <w:tcPr>
            <w:tcW w:w="875" w:type="dxa"/>
            <w:gridSpan w:val="3"/>
            <w:tcBorders>
              <w:bottom w:val="single" w:sz="8" w:space="0" w:color="000001"/>
              <w:right w:val="single" w:sz="8" w:space="0" w:color="000001"/>
              <w:insideH w:val="single" w:sz="8" w:space="0" w:color="000001"/>
              <w:insideV w:val="single" w:sz="8" w:space="0" w:color="000001"/>
            </w:tcBorders>
            <w:shd w:color="auto" w:fill="C0C0C0"/>
            <w:vAlign w:val="bottom"/>
          </w:tcPr>
          <w:p>
            <w:pPr>
              <w:pStyle w:val="Normal"/>
              <w:widowControl/>
              <w:bidi w:val="0"/>
              <w:ind w:left="0" w:right="0" w:hanging="0"/>
              <w:jc w:val="center"/>
              <w:textAlignment w:val="auto"/>
              <w:rPr/>
            </w:pPr>
            <w:r>
              <w:rPr>
                <w:sz w:val="18"/>
                <w:szCs w:val="18"/>
              </w:rPr>
              <w:t>0</w:t>
            </w:r>
          </w:p>
        </w:tc>
        <w:tc>
          <w:tcPr>
            <w:tcW w:w="582"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18"/>
                <w:szCs w:val="18"/>
              </w:rPr>
              <w:t> </w:t>
            </w:r>
          </w:p>
        </w:tc>
        <w:tc>
          <w:tcPr>
            <w:tcW w:w="583"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2"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728"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874"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2"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584" w:type="dxa"/>
            <w:gridSpan w:val="5"/>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738" w:type="dxa"/>
            <w:gridSpan w:val="8"/>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0</w:t>
            </w:r>
          </w:p>
        </w:tc>
        <w:tc>
          <w:tcPr>
            <w:tcW w:w="971" w:type="dxa"/>
            <w:gridSpan w:val="5"/>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18"/>
                <w:szCs w:val="18"/>
                <w:lang w:val="en-US" w:eastAsia="en-US"/>
              </w:rPr>
              <w:t>0</w:t>
            </w:r>
          </w:p>
        </w:tc>
      </w:tr>
      <w:tr>
        <w:trPr>
          <w:trHeight w:val="270" w:hRule="atLeast"/>
        </w:trPr>
        <w:tc>
          <w:tcPr>
            <w:tcW w:w="7853" w:type="dxa"/>
            <w:gridSpan w:val="26"/>
            <w:tcBorders>
              <w:bottom w:val="single" w:sz="8" w:space="0" w:color="000001"/>
              <w:insideH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3.2. Retribuirea muncii colaboratorilor 2016</w:t>
            </w:r>
          </w:p>
        </w:tc>
        <w:tc>
          <w:tcPr>
            <w:tcW w:w="582" w:type="dxa"/>
            <w:gridSpan w:val="3"/>
            <w:tcBorders/>
            <w:shd w:fill="auto" w:val="clear"/>
            <w:vAlign w:val="bottom"/>
          </w:tcPr>
          <w:p>
            <w:pPr>
              <w:pStyle w:val="Normal"/>
              <w:widowControl/>
              <w:bidi w:val="0"/>
              <w:ind w:left="0" w:right="0" w:hanging="0"/>
              <w:jc w:val="center"/>
              <w:textAlignment w:val="auto"/>
              <w:rPr>
                <w:rFonts w:ascii="Arial" w:hAnsi="Arial" w:cs="Arial"/>
                <w:b/>
                <w:b/>
                <w:bCs/>
                <w:sz w:val="20"/>
                <w:szCs w:val="20"/>
                <w:lang w:val="en-US" w:eastAsia="en-US"/>
              </w:rPr>
            </w:pPr>
            <w:r>
              <w:rPr>
                <w:rFonts w:cs="Arial" w:ascii="Arial" w:hAnsi="Arial"/>
                <w:b/>
                <w:bCs/>
                <w:sz w:val="20"/>
                <w:szCs w:val="20"/>
                <w:lang w:val="en-US" w:eastAsia="en-US"/>
              </w:rPr>
            </w:r>
          </w:p>
        </w:tc>
        <w:tc>
          <w:tcPr>
            <w:tcW w:w="584" w:type="dxa"/>
            <w:gridSpan w:val="5"/>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738" w:type="dxa"/>
            <w:gridSpan w:val="8"/>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972" w:type="dxa"/>
            <w:gridSpan w:val="6"/>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r>
      <w:tr>
        <w:trPr>
          <w:trHeight w:val="282" w:hRule="atLeast"/>
        </w:trPr>
        <w:tc>
          <w:tcPr>
            <w:tcW w:w="2621" w:type="dxa"/>
            <w:gridSpan w:val="8"/>
            <w:vMerge w:val="restart"/>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18"/>
                <w:szCs w:val="18"/>
                <w:lang w:val="en-US" w:eastAsia="en-US"/>
              </w:rPr>
              <w:t>Categorii de personal</w:t>
            </w:r>
          </w:p>
        </w:tc>
        <w:tc>
          <w:tcPr>
            <w:tcW w:w="5232" w:type="dxa"/>
            <w:gridSpan w:val="18"/>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rFonts w:cs="Times New Roman CE" w:ascii="Times New Roman CE" w:hAnsi="Times New Roman CE"/>
                <w:b/>
                <w:bCs/>
                <w:sz w:val="18"/>
                <w:szCs w:val="18"/>
                <w:lang w:val="en-US" w:eastAsia="en-US"/>
              </w:rPr>
              <w:t xml:space="preserve">Salariul mediu lunar calculat </w:t>
            </w:r>
            <w:r>
              <w:rPr/>
              <w:br/>
            </w:r>
            <w:r>
              <w:rPr>
                <w:rFonts w:cs="Times New Roman CE" w:ascii="Times New Roman CE" w:hAnsi="Times New Roman CE"/>
                <w:b/>
                <w:bCs/>
                <w:sz w:val="18"/>
                <w:szCs w:val="18"/>
                <w:lang w:val="en-US" w:eastAsia="en-US"/>
              </w:rPr>
              <w:t xml:space="preserve">(cu sporuri şi premii) </w:t>
            </w:r>
            <w:r>
              <w:rPr>
                <w:b/>
                <w:bCs/>
                <w:color w:val="FF0000"/>
                <w:sz w:val="18"/>
                <w:szCs w:val="18"/>
                <w:lang w:val="en-US" w:eastAsia="en-US"/>
              </w:rPr>
              <w:t xml:space="preserve"> per unitate</w:t>
            </w:r>
            <w:r>
              <w:rPr>
                <w:b/>
                <w:bCs/>
                <w:sz w:val="18"/>
                <w:szCs w:val="18"/>
                <w:lang w:val="en-US" w:eastAsia="en-US"/>
              </w:rPr>
              <w:t>, lei</w:t>
            </w:r>
          </w:p>
        </w:tc>
        <w:tc>
          <w:tcPr>
            <w:tcW w:w="582"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584" w:type="dxa"/>
            <w:gridSpan w:val="5"/>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738" w:type="dxa"/>
            <w:gridSpan w:val="8"/>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972" w:type="dxa"/>
            <w:gridSpan w:val="6"/>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r>
      <w:tr>
        <w:trPr>
          <w:trHeight w:val="232" w:hRule="atLeast"/>
        </w:trPr>
        <w:tc>
          <w:tcPr>
            <w:tcW w:w="2621" w:type="dxa"/>
            <w:gridSpan w:val="8"/>
            <w:vMerge w:val="continue"/>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5232" w:type="dxa"/>
            <w:gridSpan w:val="18"/>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Tipul de angajare</w:t>
            </w:r>
          </w:p>
        </w:tc>
        <w:tc>
          <w:tcPr>
            <w:tcW w:w="582"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584" w:type="dxa"/>
            <w:gridSpan w:val="5"/>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738" w:type="dxa"/>
            <w:gridSpan w:val="8"/>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972" w:type="dxa"/>
            <w:gridSpan w:val="6"/>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r>
      <w:tr>
        <w:trPr>
          <w:trHeight w:val="250" w:hRule="atLeast"/>
        </w:trPr>
        <w:tc>
          <w:tcPr>
            <w:tcW w:w="2621" w:type="dxa"/>
            <w:gridSpan w:val="8"/>
            <w:vMerge w:val="continue"/>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874"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rFonts w:cs="Times New Roman CE" w:ascii="Times New Roman CE" w:hAnsi="Times New Roman CE"/>
                <w:sz w:val="18"/>
                <w:szCs w:val="18"/>
                <w:lang w:val="en-US" w:eastAsia="en-US"/>
              </w:rPr>
              <w:t>De bază</w:t>
            </w:r>
          </w:p>
        </w:tc>
        <w:tc>
          <w:tcPr>
            <w:tcW w:w="1300"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Cumul intern</w:t>
            </w:r>
          </w:p>
        </w:tc>
        <w:tc>
          <w:tcPr>
            <w:tcW w:w="1456"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eastAsia="en-US"/>
              </w:rPr>
              <w:t>Cumul extern</w:t>
            </w:r>
          </w:p>
        </w:tc>
        <w:tc>
          <w:tcPr>
            <w:tcW w:w="1602"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rFonts w:cs="Times New Roman CE" w:ascii="Times New Roman CE" w:hAnsi="Times New Roman CE"/>
                <w:sz w:val="18"/>
                <w:szCs w:val="18"/>
                <w:lang w:val="en-US" w:eastAsia="en-US"/>
              </w:rPr>
              <w:t>Acord de muncă</w:t>
            </w:r>
          </w:p>
        </w:tc>
        <w:tc>
          <w:tcPr>
            <w:tcW w:w="582"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584" w:type="dxa"/>
            <w:gridSpan w:val="5"/>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738" w:type="dxa"/>
            <w:gridSpan w:val="8"/>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972" w:type="dxa"/>
            <w:gridSpan w:val="6"/>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r>
      <w:tr>
        <w:trPr>
          <w:trHeight w:val="270" w:hRule="atLeast"/>
        </w:trPr>
        <w:tc>
          <w:tcPr>
            <w:tcW w:w="2621" w:type="dxa"/>
            <w:gridSpan w:val="8"/>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eastAsia="en-US"/>
              </w:rPr>
              <w:t>Şef de subdiviziune</w:t>
            </w:r>
          </w:p>
        </w:tc>
        <w:tc>
          <w:tcPr>
            <w:tcW w:w="874"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6448,38</w:t>
            </w:r>
          </w:p>
        </w:tc>
        <w:tc>
          <w:tcPr>
            <w:tcW w:w="1300"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1456"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1602"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582"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584" w:type="dxa"/>
            <w:gridSpan w:val="5"/>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738" w:type="dxa"/>
            <w:gridSpan w:val="8"/>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972" w:type="dxa"/>
            <w:gridSpan w:val="6"/>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r>
      <w:tr>
        <w:trPr>
          <w:trHeight w:val="270" w:hRule="atLeast"/>
        </w:trPr>
        <w:tc>
          <w:tcPr>
            <w:tcW w:w="2621" w:type="dxa"/>
            <w:gridSpan w:val="8"/>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eastAsia="en-US"/>
              </w:rPr>
              <w:t>Consultanţi ştiinţifici</w:t>
            </w:r>
          </w:p>
        </w:tc>
        <w:tc>
          <w:tcPr>
            <w:tcW w:w="874"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5015,67</w:t>
            </w:r>
          </w:p>
        </w:tc>
        <w:tc>
          <w:tcPr>
            <w:tcW w:w="1300"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1456"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1602"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582"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584" w:type="dxa"/>
            <w:gridSpan w:val="5"/>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738" w:type="dxa"/>
            <w:gridSpan w:val="8"/>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972" w:type="dxa"/>
            <w:gridSpan w:val="6"/>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r>
      <w:tr>
        <w:trPr>
          <w:trHeight w:val="229" w:hRule="atLeast"/>
        </w:trPr>
        <w:tc>
          <w:tcPr>
            <w:tcW w:w="2621" w:type="dxa"/>
            <w:gridSpan w:val="8"/>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eastAsia="en-US"/>
              </w:rPr>
              <w:t>Cercetători ştiinţifici principali</w:t>
            </w:r>
          </w:p>
        </w:tc>
        <w:tc>
          <w:tcPr>
            <w:tcW w:w="874"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6761,6</w:t>
            </w:r>
          </w:p>
        </w:tc>
        <w:tc>
          <w:tcPr>
            <w:tcW w:w="1300"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1456"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1602"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sz w:val="18"/>
                <w:szCs w:val="18"/>
              </w:rPr>
            </w:pPr>
            <w:r>
              <w:rPr>
                <w:sz w:val="18"/>
                <w:szCs w:val="18"/>
              </w:rPr>
            </w:r>
          </w:p>
        </w:tc>
        <w:tc>
          <w:tcPr>
            <w:tcW w:w="582"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584" w:type="dxa"/>
            <w:gridSpan w:val="5"/>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738" w:type="dxa"/>
            <w:gridSpan w:val="8"/>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972" w:type="dxa"/>
            <w:gridSpan w:val="6"/>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r>
      <w:tr>
        <w:trPr>
          <w:trHeight w:val="270" w:hRule="atLeast"/>
        </w:trPr>
        <w:tc>
          <w:tcPr>
            <w:tcW w:w="2621" w:type="dxa"/>
            <w:gridSpan w:val="8"/>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eastAsia="en-US"/>
              </w:rPr>
              <w:t>Cercetători ştiinţific</w:t>
            </w:r>
            <w:r>
              <w:rPr>
                <w:sz w:val="18"/>
                <w:szCs w:val="18"/>
                <w:lang w:val="en-US" w:eastAsia="en-US"/>
              </w:rPr>
              <w:t>i coord.</w:t>
            </w:r>
          </w:p>
        </w:tc>
        <w:tc>
          <w:tcPr>
            <w:tcW w:w="874"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5374,55</w:t>
            </w:r>
          </w:p>
        </w:tc>
        <w:tc>
          <w:tcPr>
            <w:tcW w:w="1300"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1456"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ro-RO"/>
              </w:rPr>
            </w:pPr>
            <w:r>
              <w:rPr>
                <w:sz w:val="18"/>
                <w:szCs w:val="18"/>
                <w:lang w:val="ro-RO"/>
              </w:rPr>
              <w:t>1261,25</w:t>
            </w:r>
            <w:r>
              <w:rPr>
                <w:sz w:val="18"/>
                <w:szCs w:val="18"/>
              </w:rPr>
              <w:t> </w:t>
            </w:r>
          </w:p>
        </w:tc>
        <w:tc>
          <w:tcPr>
            <w:tcW w:w="1602"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582"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584" w:type="dxa"/>
            <w:gridSpan w:val="5"/>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738" w:type="dxa"/>
            <w:gridSpan w:val="8"/>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972" w:type="dxa"/>
            <w:gridSpan w:val="6"/>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r>
      <w:tr>
        <w:trPr>
          <w:trHeight w:val="270" w:hRule="atLeast"/>
        </w:trPr>
        <w:tc>
          <w:tcPr>
            <w:tcW w:w="2621" w:type="dxa"/>
            <w:gridSpan w:val="8"/>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eastAsia="en-US"/>
              </w:rPr>
              <w:t>Cercetători ştiinţifici superiori</w:t>
            </w:r>
          </w:p>
        </w:tc>
        <w:tc>
          <w:tcPr>
            <w:tcW w:w="874"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5542,45</w:t>
            </w:r>
          </w:p>
        </w:tc>
        <w:tc>
          <w:tcPr>
            <w:tcW w:w="1300"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1456"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16</w:t>
            </w:r>
            <w:r>
              <w:rPr>
                <w:sz w:val="18"/>
                <w:szCs w:val="18"/>
                <w:lang w:val="ro-RO"/>
              </w:rPr>
              <w:t>15,77</w:t>
            </w:r>
          </w:p>
        </w:tc>
        <w:tc>
          <w:tcPr>
            <w:tcW w:w="1602"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582"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584" w:type="dxa"/>
            <w:gridSpan w:val="5"/>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738" w:type="dxa"/>
            <w:gridSpan w:val="8"/>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972" w:type="dxa"/>
            <w:gridSpan w:val="6"/>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r>
      <w:tr>
        <w:trPr>
          <w:trHeight w:val="166" w:hRule="atLeast"/>
        </w:trPr>
        <w:tc>
          <w:tcPr>
            <w:tcW w:w="2621" w:type="dxa"/>
            <w:gridSpan w:val="8"/>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eastAsia="en-US"/>
              </w:rPr>
              <w:t>Cercetători ştiinţifici</w:t>
            </w:r>
          </w:p>
        </w:tc>
        <w:tc>
          <w:tcPr>
            <w:tcW w:w="874"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1300"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1456"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1602"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582"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584" w:type="dxa"/>
            <w:gridSpan w:val="5"/>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738" w:type="dxa"/>
            <w:gridSpan w:val="8"/>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972" w:type="dxa"/>
            <w:gridSpan w:val="6"/>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r>
      <w:tr>
        <w:trPr>
          <w:trHeight w:val="202" w:hRule="atLeast"/>
        </w:trPr>
        <w:tc>
          <w:tcPr>
            <w:tcW w:w="2621" w:type="dxa"/>
            <w:gridSpan w:val="8"/>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fr-FR"/>
              </w:rPr>
            </w:pPr>
            <w:r>
              <w:rPr>
                <w:rFonts w:cs="Times New Roman CE" w:ascii="Times New Roman CE" w:hAnsi="Times New Roman CE"/>
                <w:sz w:val="18"/>
                <w:szCs w:val="18"/>
                <w:lang w:val="fr-FR" w:eastAsia="en-US"/>
              </w:rPr>
              <w:t>Ingineri şi spec.cu studii sup.</w:t>
            </w:r>
          </w:p>
        </w:tc>
        <w:tc>
          <w:tcPr>
            <w:tcW w:w="874"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7</w:t>
            </w:r>
            <w:r>
              <w:rPr>
                <w:sz w:val="18"/>
                <w:szCs w:val="18"/>
                <w:lang w:val="ro-RO"/>
              </w:rPr>
              <w:t>7</w:t>
            </w:r>
            <w:r>
              <w:rPr>
                <w:sz w:val="18"/>
                <w:szCs w:val="18"/>
              </w:rPr>
              <w:t>5</w:t>
            </w:r>
            <w:r>
              <w:rPr>
                <w:sz w:val="18"/>
                <w:szCs w:val="18"/>
                <w:lang w:val="ro-RO"/>
              </w:rPr>
              <w:t>,88</w:t>
            </w:r>
          </w:p>
        </w:tc>
        <w:tc>
          <w:tcPr>
            <w:tcW w:w="1300"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1456"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ro-RO"/>
              </w:rPr>
            </w:pPr>
            <w:r>
              <w:rPr>
                <w:sz w:val="18"/>
                <w:szCs w:val="18"/>
                <w:lang w:val="ro-RO"/>
              </w:rPr>
              <w:t>1021,58</w:t>
            </w:r>
          </w:p>
        </w:tc>
        <w:tc>
          <w:tcPr>
            <w:tcW w:w="1602"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582"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584" w:type="dxa"/>
            <w:gridSpan w:val="5"/>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738" w:type="dxa"/>
            <w:gridSpan w:val="8"/>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972" w:type="dxa"/>
            <w:gridSpan w:val="6"/>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r>
      <w:tr>
        <w:trPr>
          <w:trHeight w:val="270" w:hRule="atLeast"/>
        </w:trPr>
        <w:tc>
          <w:tcPr>
            <w:tcW w:w="2621" w:type="dxa"/>
            <w:gridSpan w:val="8"/>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180"/>
              <w:jc w:val="left"/>
              <w:textAlignment w:val="auto"/>
              <w:rPr>
                <w:lang w:val="en-US"/>
              </w:rPr>
            </w:pPr>
            <w:r>
              <w:rPr>
                <w:sz w:val="18"/>
                <w:szCs w:val="18"/>
                <w:lang w:val="en-US" w:eastAsia="en-US"/>
              </w:rPr>
              <w:t>Personal auxiliar</w:t>
            </w:r>
          </w:p>
        </w:tc>
        <w:tc>
          <w:tcPr>
            <w:tcW w:w="874"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5</w:t>
            </w:r>
            <w:r>
              <w:rPr>
                <w:sz w:val="18"/>
                <w:szCs w:val="18"/>
                <w:lang w:val="ro-RO"/>
              </w:rPr>
              <w:t>251,93</w:t>
            </w:r>
          </w:p>
        </w:tc>
        <w:tc>
          <w:tcPr>
            <w:tcW w:w="1300"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5</w:t>
            </w:r>
            <w:r>
              <w:rPr>
                <w:sz w:val="18"/>
                <w:szCs w:val="18"/>
                <w:lang w:val="ro-RO"/>
              </w:rPr>
              <w:t>2</w:t>
            </w:r>
            <w:r>
              <w:rPr>
                <w:sz w:val="18"/>
                <w:szCs w:val="18"/>
              </w:rPr>
              <w:t>8</w:t>
            </w:r>
            <w:r>
              <w:rPr>
                <w:sz w:val="18"/>
                <w:szCs w:val="18"/>
                <w:lang w:val="ro-RO"/>
              </w:rPr>
              <w:t>,75</w:t>
            </w:r>
          </w:p>
        </w:tc>
        <w:tc>
          <w:tcPr>
            <w:tcW w:w="1456"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1602"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582"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584" w:type="dxa"/>
            <w:gridSpan w:val="5"/>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738" w:type="dxa"/>
            <w:gridSpan w:val="8"/>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972" w:type="dxa"/>
            <w:gridSpan w:val="6"/>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r>
      <w:tr>
        <w:trPr>
          <w:trHeight w:val="270" w:hRule="atLeast"/>
        </w:trPr>
        <w:tc>
          <w:tcPr>
            <w:tcW w:w="2621" w:type="dxa"/>
            <w:gridSpan w:val="8"/>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180"/>
              <w:jc w:val="left"/>
              <w:textAlignment w:val="auto"/>
              <w:rPr>
                <w:lang w:val="en-US"/>
              </w:rPr>
            </w:pPr>
            <w:r>
              <w:rPr>
                <w:rFonts w:cs="Times New Roman CE" w:ascii="Times New Roman CE" w:hAnsi="Times New Roman CE"/>
                <w:sz w:val="18"/>
                <w:szCs w:val="18"/>
                <w:lang w:val="en-US" w:eastAsia="en-US"/>
              </w:rPr>
              <w:t>Alte categorii de salariaţi</w:t>
            </w:r>
          </w:p>
        </w:tc>
        <w:tc>
          <w:tcPr>
            <w:tcW w:w="874"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1681,22</w:t>
            </w:r>
          </w:p>
        </w:tc>
        <w:tc>
          <w:tcPr>
            <w:tcW w:w="1300"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 </w:t>
            </w:r>
          </w:p>
        </w:tc>
        <w:tc>
          <w:tcPr>
            <w:tcW w:w="1456"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1602"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 </w:t>
            </w:r>
          </w:p>
        </w:tc>
        <w:tc>
          <w:tcPr>
            <w:tcW w:w="582"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584" w:type="dxa"/>
            <w:gridSpan w:val="5"/>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738" w:type="dxa"/>
            <w:gridSpan w:val="8"/>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972" w:type="dxa"/>
            <w:gridSpan w:val="6"/>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r>
      <w:tr>
        <w:trPr>
          <w:trHeight w:val="300" w:hRule="atLeast"/>
        </w:trPr>
        <w:tc>
          <w:tcPr>
            <w:tcW w:w="8796" w:type="dxa"/>
            <w:gridSpan w:val="3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bookmarkStart w:id="439" w:name="RANGE!A1:F50"/>
            <w:bookmarkEnd w:id="439"/>
            <w:r>
              <w:rPr>
                <w:b/>
                <w:bCs/>
                <w:color w:val="000000"/>
                <w:sz w:val="18"/>
                <w:szCs w:val="18"/>
                <w:lang w:val="fr-FR" w:eastAsia="en-US"/>
              </w:rPr>
              <w:t>5. P</w:t>
            </w:r>
            <w:r>
              <w:rPr>
                <w:rFonts w:cs="Times New Roman CE" w:ascii="Times New Roman CE" w:hAnsi="Times New Roman CE"/>
                <w:b/>
                <w:bCs/>
                <w:color w:val="000000"/>
                <w:sz w:val="18"/>
                <w:szCs w:val="18"/>
                <w:lang w:val="fr-FR" w:eastAsia="en-US"/>
              </w:rPr>
              <w:t>ERFORMANŢĂ ŞI VIZIBILITATE LA NIVEL INTERNAŢIONAL</w:t>
            </w:r>
          </w:p>
        </w:tc>
        <w:tc>
          <w:tcPr>
            <w:tcW w:w="756" w:type="dxa"/>
            <w:gridSpan w:val="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b/>
                <w:bCs/>
                <w:sz w:val="22"/>
                <w:szCs w:val="22"/>
              </w:rPr>
              <w:t>201</w:t>
            </w:r>
            <w:r>
              <w:rPr>
                <w:b/>
                <w:bCs/>
                <w:sz w:val="22"/>
                <w:szCs w:val="22"/>
                <w:lang w:val="ro-RO"/>
              </w:rPr>
              <w:t>6</w:t>
            </w:r>
          </w:p>
        </w:tc>
        <w:tc>
          <w:tcPr>
            <w:tcW w:w="1177" w:type="dxa"/>
            <w:gridSpan w:val="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270" w:hRule="atLeast"/>
        </w:trPr>
        <w:tc>
          <w:tcPr>
            <w:tcW w:w="863"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sz w:val="18"/>
                <w:szCs w:val="18"/>
                <w:lang w:val="en-US" w:eastAsia="en-US"/>
              </w:rPr>
              <w:t> </w:t>
            </w:r>
          </w:p>
        </w:tc>
        <w:tc>
          <w:tcPr>
            <w:tcW w:w="8688" w:type="dxa"/>
            <w:gridSpan w:val="3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CCFFCC"/>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b/>
                <w:bCs/>
                <w:sz w:val="18"/>
                <w:szCs w:val="18"/>
                <w:lang w:val="en-US" w:eastAsia="en-US"/>
              </w:rPr>
              <w:t>5.1. Publicaţii în străinătate</w:t>
            </w:r>
          </w:p>
        </w:tc>
        <w:tc>
          <w:tcPr>
            <w:tcW w:w="1178" w:type="dxa"/>
            <w:gridSpan w:val="9"/>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270" w:hRule="atLeast"/>
        </w:trPr>
        <w:tc>
          <w:tcPr>
            <w:tcW w:w="863" w:type="dxa"/>
            <w:gridSpan w:val="4"/>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en-US"/>
              </w:rPr>
            </w:pPr>
            <w:r>
              <w:rPr>
                <w:sz w:val="18"/>
                <w:szCs w:val="18"/>
                <w:lang w:val="en-US" w:eastAsia="en-US"/>
              </w:rPr>
              <w:t>5.1.1.</w:t>
            </w:r>
          </w:p>
        </w:tc>
        <w:tc>
          <w:tcPr>
            <w:tcW w:w="7938" w:type="dxa"/>
            <w:gridSpan w:val="29"/>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eastAsia="en-US"/>
              </w:rPr>
              <w:t>Monografii în ediţii internaţionale, incluse în una din trei sisteme de citare  Web of Science:</w:t>
            </w:r>
          </w:p>
        </w:tc>
        <w:tc>
          <w:tcPr>
            <w:tcW w:w="751" w:type="dxa"/>
            <w:gridSpan w:val="7"/>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18"/>
                <w:szCs w:val="18"/>
                <w:lang w:val="en-US" w:eastAsia="en-US"/>
              </w:rPr>
              <w:t> </w:t>
            </w:r>
          </w:p>
        </w:tc>
        <w:tc>
          <w:tcPr>
            <w:tcW w:w="1177" w:type="dxa"/>
            <w:gridSpan w:val="8"/>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270" w:hRule="atLeast"/>
        </w:trPr>
        <w:tc>
          <w:tcPr>
            <w:tcW w:w="863" w:type="dxa"/>
            <w:gridSpan w:val="4"/>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7938" w:type="dxa"/>
            <w:gridSpan w:val="29"/>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18"/>
                <w:szCs w:val="18"/>
                <w:lang w:val="fr-FR" w:eastAsia="en-US"/>
              </w:rPr>
              <w:t>Science Citation Index Expanded (baza de date pentru ştiinţele naturale şi exacte)</w:t>
            </w:r>
          </w:p>
        </w:tc>
        <w:tc>
          <w:tcPr>
            <w:tcW w:w="751" w:type="dxa"/>
            <w:gridSpan w:val="7"/>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18"/>
                <w:szCs w:val="18"/>
                <w:lang w:val="fr-FR" w:eastAsia="en-US"/>
              </w:rPr>
            </w:pPr>
            <w:r>
              <w:rPr>
                <w:sz w:val="18"/>
                <w:szCs w:val="18"/>
                <w:lang w:val="fr-FR" w:eastAsia="en-US"/>
              </w:rPr>
            </w:r>
          </w:p>
        </w:tc>
        <w:tc>
          <w:tcPr>
            <w:tcW w:w="1177" w:type="dxa"/>
            <w:gridSpan w:val="8"/>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left"/>
              <w:textAlignment w:val="auto"/>
              <w:rPr>
                <w:rFonts w:ascii="Times New Roman" w:hAnsi="Times New Roman"/>
                <w:sz w:val="20"/>
                <w:szCs w:val="20"/>
                <w:lang w:val="fr-FR" w:eastAsia="en-US"/>
              </w:rPr>
            </w:pPr>
            <w:r>
              <w:rPr>
                <w:sz w:val="20"/>
                <w:szCs w:val="20"/>
                <w:lang w:val="fr-FR" w:eastAsia="en-US"/>
              </w:rPr>
            </w:r>
          </w:p>
        </w:tc>
      </w:tr>
      <w:tr>
        <w:trPr>
          <w:trHeight w:val="270" w:hRule="atLeast"/>
        </w:trPr>
        <w:tc>
          <w:tcPr>
            <w:tcW w:w="766" w:type="dxa"/>
            <w:gridSpan w:val="2"/>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left"/>
              <w:textAlignment w:val="auto"/>
              <w:rPr>
                <w:rFonts w:ascii="Times New Roman" w:hAnsi="Times New Roman"/>
                <w:sz w:val="18"/>
                <w:szCs w:val="18"/>
                <w:lang w:val="fr-FR" w:eastAsia="en-US"/>
              </w:rPr>
            </w:pPr>
            <w:r>
              <w:rPr>
                <w:sz w:val="18"/>
                <w:szCs w:val="18"/>
                <w:lang w:val="fr-FR" w:eastAsia="en-US"/>
              </w:rPr>
            </w:r>
          </w:p>
        </w:tc>
        <w:tc>
          <w:tcPr>
            <w:tcW w:w="76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pPr>
            <w:hyperlink r:id="rId109">
              <w:r>
                <w:rPr>
                  <w:webHidden/>
                  <w:rStyle w:val="Style5"/>
                  <w:sz w:val="18"/>
                  <w:szCs w:val="18"/>
                  <w:u w:val="single"/>
                  <w:lang w:val="fr-FR" w:eastAsia="en-US"/>
                </w:rPr>
                <w:t>http://science.thomsonreuters.com/cgi-bin/jrnlst/jloptions.cgi?PC=D</w:t>
              </w:r>
            </w:hyperlink>
          </w:p>
        </w:tc>
        <w:tc>
          <w:tcPr>
            <w:tcW w:w="9197" w:type="dxa"/>
            <w:gridSpan w:val="4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18"/>
                <w:szCs w:val="18"/>
                <w:u w:val="single"/>
                <w:lang w:val="fr-FR" w:eastAsia="en-US"/>
              </w:rPr>
            </w:pPr>
            <w:r>
              <w:rPr>
                <w:sz w:val="18"/>
                <w:szCs w:val="18"/>
                <w:u w:val="single"/>
                <w:lang w:val="fr-FR" w:eastAsia="en-US"/>
              </w:rPr>
            </w:r>
          </w:p>
        </w:tc>
      </w:tr>
      <w:tr>
        <w:trPr>
          <w:trHeight w:val="270" w:hRule="atLeast"/>
        </w:trPr>
        <w:tc>
          <w:tcPr>
            <w:tcW w:w="766" w:type="dxa"/>
            <w:gridSpan w:val="2"/>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left"/>
              <w:textAlignment w:val="auto"/>
              <w:rPr>
                <w:rFonts w:ascii="Times New Roman" w:hAnsi="Times New Roman"/>
                <w:sz w:val="18"/>
                <w:szCs w:val="18"/>
                <w:lang w:val="fr-FR" w:eastAsia="en-US"/>
              </w:rPr>
            </w:pPr>
            <w:r>
              <w:rPr>
                <w:sz w:val="18"/>
                <w:szCs w:val="18"/>
                <w:lang w:val="fr-FR" w:eastAsia="en-US"/>
              </w:rPr>
            </w:r>
          </w:p>
        </w:tc>
        <w:tc>
          <w:tcPr>
            <w:tcW w:w="76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18"/>
                <w:szCs w:val="18"/>
                <w:lang w:val="fr-FR" w:eastAsia="en-US"/>
              </w:rPr>
              <w:t>Social Sciences Citation Index (baza de date pentru ştiinţele sociale)</w:t>
            </w:r>
          </w:p>
        </w:tc>
        <w:tc>
          <w:tcPr>
            <w:tcW w:w="9197" w:type="dxa"/>
            <w:gridSpan w:val="4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18"/>
                <w:szCs w:val="18"/>
                <w:lang w:val="fr-FR" w:eastAsia="en-US"/>
              </w:rPr>
            </w:pPr>
            <w:r>
              <w:rPr>
                <w:sz w:val="18"/>
                <w:szCs w:val="18"/>
                <w:lang w:val="fr-FR" w:eastAsia="en-US"/>
              </w:rPr>
            </w:r>
          </w:p>
        </w:tc>
      </w:tr>
      <w:tr>
        <w:trPr>
          <w:trHeight w:val="270" w:hRule="atLeast"/>
        </w:trPr>
        <w:tc>
          <w:tcPr>
            <w:tcW w:w="766" w:type="dxa"/>
            <w:gridSpan w:val="2"/>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left"/>
              <w:textAlignment w:val="auto"/>
              <w:rPr>
                <w:rFonts w:ascii="Times New Roman" w:hAnsi="Times New Roman"/>
                <w:sz w:val="18"/>
                <w:szCs w:val="18"/>
                <w:lang w:val="fr-FR" w:eastAsia="en-US"/>
              </w:rPr>
            </w:pPr>
            <w:r>
              <w:rPr>
                <w:sz w:val="18"/>
                <w:szCs w:val="18"/>
                <w:lang w:val="fr-FR" w:eastAsia="en-US"/>
              </w:rPr>
            </w:r>
          </w:p>
        </w:tc>
        <w:tc>
          <w:tcPr>
            <w:tcW w:w="76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pPr>
            <w:hyperlink r:id="rId110">
              <w:r>
                <w:rPr>
                  <w:webHidden/>
                  <w:rStyle w:val="Style5"/>
                  <w:sz w:val="18"/>
                  <w:szCs w:val="18"/>
                  <w:u w:val="single"/>
                  <w:lang w:val="fr-FR" w:eastAsia="en-US"/>
                </w:rPr>
                <w:t>http://science.thomsonreuters.com/cgi-bin/jrnlst/jloptions.cgi?PC=SS</w:t>
              </w:r>
            </w:hyperlink>
          </w:p>
        </w:tc>
        <w:tc>
          <w:tcPr>
            <w:tcW w:w="9197" w:type="dxa"/>
            <w:gridSpan w:val="4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18"/>
                <w:szCs w:val="18"/>
                <w:u w:val="single"/>
                <w:lang w:val="fr-FR" w:eastAsia="en-US"/>
              </w:rPr>
            </w:pPr>
            <w:r>
              <w:rPr>
                <w:sz w:val="18"/>
                <w:szCs w:val="18"/>
                <w:u w:val="single"/>
                <w:lang w:val="fr-FR" w:eastAsia="en-US"/>
              </w:rPr>
            </w:r>
          </w:p>
        </w:tc>
      </w:tr>
      <w:tr>
        <w:trPr>
          <w:trHeight w:val="270" w:hRule="atLeast"/>
        </w:trPr>
        <w:tc>
          <w:tcPr>
            <w:tcW w:w="766" w:type="dxa"/>
            <w:gridSpan w:val="2"/>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left"/>
              <w:textAlignment w:val="auto"/>
              <w:rPr>
                <w:rFonts w:ascii="Times New Roman" w:hAnsi="Times New Roman"/>
                <w:sz w:val="18"/>
                <w:szCs w:val="18"/>
                <w:lang w:val="fr-FR" w:eastAsia="en-US"/>
              </w:rPr>
            </w:pPr>
            <w:r>
              <w:rPr>
                <w:sz w:val="18"/>
                <w:szCs w:val="18"/>
                <w:lang w:val="fr-FR" w:eastAsia="en-US"/>
              </w:rPr>
            </w:r>
          </w:p>
        </w:tc>
        <w:tc>
          <w:tcPr>
            <w:tcW w:w="76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eastAsia="en-US"/>
              </w:rPr>
              <w:t>Arts and Humanities Citation Index (baza de date pentru ştiinţele artei şi umaniste)</w:t>
            </w:r>
          </w:p>
        </w:tc>
        <w:tc>
          <w:tcPr>
            <w:tcW w:w="9197" w:type="dxa"/>
            <w:gridSpan w:val="4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r>
      <w:tr>
        <w:trPr>
          <w:trHeight w:val="270" w:hRule="atLeast"/>
        </w:trPr>
        <w:tc>
          <w:tcPr>
            <w:tcW w:w="766" w:type="dxa"/>
            <w:gridSpan w:val="2"/>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76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sz w:val="18"/>
                <w:szCs w:val="18"/>
                <w:u w:val="single"/>
                <w:lang w:val="en-US" w:eastAsia="en-US"/>
              </w:rPr>
              <w:t>http://science.thomsonreuters.com/cgi-bin/jrnlst/jloptions.cgi?PC=H</w:t>
            </w:r>
          </w:p>
        </w:tc>
        <w:tc>
          <w:tcPr>
            <w:tcW w:w="9197" w:type="dxa"/>
            <w:gridSpan w:val="4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18"/>
                <w:szCs w:val="18"/>
                <w:u w:val="single"/>
                <w:lang w:val="en-US" w:eastAsia="en-US"/>
              </w:rPr>
            </w:pPr>
            <w:r>
              <w:rPr>
                <w:sz w:val="18"/>
                <w:szCs w:val="18"/>
                <w:u w:val="single"/>
                <w:lang w:val="en-US" w:eastAsia="en-US"/>
              </w:rPr>
            </w:r>
          </w:p>
        </w:tc>
      </w:tr>
      <w:tr>
        <w:trPr>
          <w:trHeight w:val="270" w:hRule="atLeast"/>
        </w:trPr>
        <w:tc>
          <w:tcPr>
            <w:tcW w:w="863"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en-US"/>
              </w:rPr>
            </w:pPr>
            <w:r>
              <w:rPr>
                <w:sz w:val="18"/>
                <w:szCs w:val="18"/>
                <w:lang w:val="en-US" w:eastAsia="en-US"/>
              </w:rPr>
              <w:t>5.1.2.</w:t>
            </w:r>
          </w:p>
        </w:tc>
        <w:tc>
          <w:tcPr>
            <w:tcW w:w="7933" w:type="dxa"/>
            <w:gridSpan w:val="2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eastAsia="en-US"/>
              </w:rPr>
              <w:t xml:space="preserve">Monografii în alte ediţii din străinătate </w:t>
            </w:r>
          </w:p>
        </w:tc>
        <w:tc>
          <w:tcPr>
            <w:tcW w:w="756" w:type="dxa"/>
            <w:gridSpan w:val="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18"/>
                <w:szCs w:val="18"/>
                <w:lang w:val="en-US" w:eastAsia="en-US"/>
              </w:rPr>
              <w:t> </w:t>
            </w:r>
          </w:p>
        </w:tc>
        <w:tc>
          <w:tcPr>
            <w:tcW w:w="1177" w:type="dxa"/>
            <w:gridSpan w:val="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270" w:hRule="atLeast"/>
        </w:trPr>
        <w:tc>
          <w:tcPr>
            <w:tcW w:w="76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en-US"/>
              </w:rPr>
            </w:pPr>
            <w:r>
              <w:rPr>
                <w:sz w:val="18"/>
                <w:szCs w:val="18"/>
                <w:lang w:val="en-US" w:eastAsia="en-US"/>
              </w:rPr>
              <w:t>5.1.3.</w:t>
            </w:r>
          </w:p>
        </w:tc>
        <w:tc>
          <w:tcPr>
            <w:tcW w:w="76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18"/>
                <w:szCs w:val="18"/>
                <w:lang w:val="fr-FR" w:eastAsia="en-US"/>
              </w:rPr>
              <w:t>Capitole în monografii şi rapoarte la invitaţie în culegeri de lucrări la conferinţe internaţionale</w:t>
            </w:r>
          </w:p>
        </w:tc>
        <w:tc>
          <w:tcPr>
            <w:tcW w:w="9197" w:type="dxa"/>
            <w:gridSpan w:val="4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18"/>
                <w:szCs w:val="18"/>
                <w:lang w:val="fr-FR" w:eastAsia="en-US"/>
              </w:rPr>
              <w:t> </w:t>
            </w:r>
          </w:p>
        </w:tc>
      </w:tr>
      <w:tr>
        <w:trPr>
          <w:trHeight w:val="270" w:hRule="atLeast"/>
        </w:trPr>
        <w:tc>
          <w:tcPr>
            <w:tcW w:w="76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en-US"/>
              </w:rPr>
            </w:pPr>
            <w:r>
              <w:rPr>
                <w:sz w:val="18"/>
                <w:szCs w:val="18"/>
                <w:lang w:val="en-US" w:eastAsia="en-US"/>
              </w:rPr>
              <w:t>5.1.4.</w:t>
            </w:r>
          </w:p>
        </w:tc>
        <w:tc>
          <w:tcPr>
            <w:tcW w:w="76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eastAsia="en-US"/>
              </w:rPr>
              <w:t>Cărţi de specialitate pentru învăţământul universitar, editate în stăinătate</w:t>
            </w:r>
          </w:p>
        </w:tc>
        <w:tc>
          <w:tcPr>
            <w:tcW w:w="9197" w:type="dxa"/>
            <w:gridSpan w:val="4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18"/>
                <w:szCs w:val="18"/>
                <w:lang w:val="en-US" w:eastAsia="en-US"/>
              </w:rPr>
              <w:t> </w:t>
            </w:r>
          </w:p>
        </w:tc>
      </w:tr>
      <w:tr>
        <w:trPr>
          <w:trHeight w:val="270" w:hRule="atLeast"/>
        </w:trPr>
        <w:tc>
          <w:tcPr>
            <w:tcW w:w="76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en-US"/>
              </w:rPr>
            </w:pPr>
            <w:r>
              <w:rPr>
                <w:sz w:val="18"/>
                <w:szCs w:val="18"/>
                <w:lang w:val="en-US" w:eastAsia="en-US"/>
              </w:rPr>
              <w:t>5.1.5.</w:t>
            </w:r>
          </w:p>
        </w:tc>
        <w:tc>
          <w:tcPr>
            <w:tcW w:w="76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sz w:val="18"/>
                <w:szCs w:val="18"/>
                <w:lang w:val="fr-FR" w:eastAsia="en-US"/>
              </w:rPr>
              <w:t>Articole în reviste cu factor de impact mai mare de 3</w:t>
            </w:r>
          </w:p>
        </w:tc>
        <w:tc>
          <w:tcPr>
            <w:tcW w:w="9197" w:type="dxa"/>
            <w:gridSpan w:val="4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18"/>
                <w:szCs w:val="18"/>
                <w:lang w:val="fr-FR" w:eastAsia="en-US"/>
              </w:rPr>
              <w:t> </w:t>
            </w:r>
          </w:p>
        </w:tc>
      </w:tr>
      <w:tr>
        <w:trPr>
          <w:trHeight w:val="270" w:hRule="atLeast"/>
        </w:trPr>
        <w:tc>
          <w:tcPr>
            <w:tcW w:w="76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en-US"/>
              </w:rPr>
            </w:pPr>
            <w:r>
              <w:rPr>
                <w:sz w:val="18"/>
                <w:szCs w:val="18"/>
                <w:lang w:val="en-US" w:eastAsia="en-US"/>
              </w:rPr>
              <w:t>5.1.6.</w:t>
            </w:r>
          </w:p>
        </w:tc>
        <w:tc>
          <w:tcPr>
            <w:tcW w:w="76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sz w:val="18"/>
                <w:szCs w:val="18"/>
                <w:lang w:val="fr-FR" w:eastAsia="en-US"/>
              </w:rPr>
              <w:t>Articole în reviste cu factor de impact 1,0-2,9</w:t>
            </w:r>
          </w:p>
        </w:tc>
        <w:tc>
          <w:tcPr>
            <w:tcW w:w="9197" w:type="dxa"/>
            <w:gridSpan w:val="4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18"/>
                <w:szCs w:val="18"/>
                <w:lang w:val="fr-FR" w:eastAsia="en-US"/>
              </w:rPr>
              <w:t> </w:t>
            </w:r>
          </w:p>
        </w:tc>
      </w:tr>
      <w:tr>
        <w:trPr>
          <w:trHeight w:val="270" w:hRule="atLeast"/>
        </w:trPr>
        <w:tc>
          <w:tcPr>
            <w:tcW w:w="76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en-US"/>
              </w:rPr>
            </w:pPr>
            <w:r>
              <w:rPr>
                <w:sz w:val="18"/>
                <w:szCs w:val="18"/>
                <w:lang w:val="en-US" w:eastAsia="en-US"/>
              </w:rPr>
              <w:t>5.1.7.</w:t>
            </w:r>
          </w:p>
        </w:tc>
        <w:tc>
          <w:tcPr>
            <w:tcW w:w="76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sz w:val="18"/>
                <w:szCs w:val="18"/>
                <w:lang w:val="fr-FR" w:eastAsia="en-US"/>
              </w:rPr>
              <w:t>Articole în reviste cu factor de impact 0,1-0.9</w:t>
            </w:r>
          </w:p>
        </w:tc>
        <w:tc>
          <w:tcPr>
            <w:tcW w:w="9197" w:type="dxa"/>
            <w:gridSpan w:val="4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18"/>
                <w:szCs w:val="18"/>
                <w:lang w:val="fr-FR" w:eastAsia="en-US"/>
              </w:rPr>
              <w:t> </w:t>
            </w:r>
          </w:p>
        </w:tc>
      </w:tr>
      <w:tr>
        <w:trPr>
          <w:trHeight w:val="270" w:hRule="atLeast"/>
        </w:trPr>
        <w:tc>
          <w:tcPr>
            <w:tcW w:w="76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en-US"/>
              </w:rPr>
            </w:pPr>
            <w:r>
              <w:rPr>
                <w:sz w:val="18"/>
                <w:szCs w:val="18"/>
                <w:lang w:val="en-US" w:eastAsia="en-US"/>
              </w:rPr>
              <w:t>5.1.8.</w:t>
            </w:r>
          </w:p>
        </w:tc>
        <w:tc>
          <w:tcPr>
            <w:tcW w:w="76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sz w:val="18"/>
                <w:szCs w:val="18"/>
                <w:lang w:val="fr-FR" w:eastAsia="en-US"/>
              </w:rPr>
              <w:t>Articole în reviste cu factor de impact 0,01- 0,09</w:t>
            </w:r>
          </w:p>
        </w:tc>
        <w:tc>
          <w:tcPr>
            <w:tcW w:w="9197" w:type="dxa"/>
            <w:gridSpan w:val="4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18"/>
                <w:szCs w:val="18"/>
                <w:lang w:val="fr-FR" w:eastAsia="en-US"/>
              </w:rPr>
              <w:t> </w:t>
            </w:r>
          </w:p>
        </w:tc>
      </w:tr>
      <w:tr>
        <w:trPr>
          <w:trHeight w:val="270" w:hRule="atLeast"/>
        </w:trPr>
        <w:tc>
          <w:tcPr>
            <w:tcW w:w="76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fr-FR"/>
              </w:rPr>
            </w:pPr>
            <w:r>
              <w:rPr>
                <w:sz w:val="18"/>
                <w:szCs w:val="18"/>
                <w:lang w:val="fr-FR" w:eastAsia="en-US"/>
              </w:rPr>
              <w:t> </w:t>
            </w:r>
          </w:p>
        </w:tc>
        <w:tc>
          <w:tcPr>
            <w:tcW w:w="76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sz w:val="18"/>
                <w:szCs w:val="18"/>
                <w:lang w:val="fr-FR" w:eastAsia="en-US"/>
              </w:rPr>
              <w:t xml:space="preserve">      </w:t>
            </w:r>
            <w:r>
              <w:rPr>
                <w:sz w:val="18"/>
                <w:szCs w:val="18"/>
                <w:lang w:val="fr-FR" w:eastAsia="en-US"/>
              </w:rPr>
              <w:t>Inclusiv articole numai cu autori autohtoni, publicate în reviste cu factor de impact</w:t>
            </w:r>
          </w:p>
        </w:tc>
        <w:tc>
          <w:tcPr>
            <w:tcW w:w="9197" w:type="dxa"/>
            <w:gridSpan w:val="4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18"/>
                <w:szCs w:val="18"/>
                <w:lang w:val="fr-FR" w:eastAsia="en-US"/>
              </w:rPr>
              <w:t> </w:t>
            </w:r>
          </w:p>
        </w:tc>
      </w:tr>
      <w:tr>
        <w:trPr>
          <w:trHeight w:val="270" w:hRule="atLeast"/>
        </w:trPr>
        <w:tc>
          <w:tcPr>
            <w:tcW w:w="76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en-US"/>
              </w:rPr>
            </w:pPr>
            <w:r>
              <w:rPr>
                <w:sz w:val="18"/>
                <w:szCs w:val="18"/>
                <w:lang w:val="en-US" w:eastAsia="en-US"/>
              </w:rPr>
              <w:t>5.1.9.</w:t>
            </w:r>
          </w:p>
        </w:tc>
        <w:tc>
          <w:tcPr>
            <w:tcW w:w="76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eastAsia="en-US"/>
              </w:rPr>
              <w:t xml:space="preserve">Articole în alte reviste editate în străinătate </w:t>
            </w:r>
          </w:p>
        </w:tc>
        <w:tc>
          <w:tcPr>
            <w:tcW w:w="9197" w:type="dxa"/>
            <w:gridSpan w:val="4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18"/>
                <w:szCs w:val="18"/>
                <w:lang w:val="en-US" w:eastAsia="en-US"/>
              </w:rPr>
              <w:t> </w:t>
            </w:r>
            <w:r>
              <w:rPr>
                <w:sz w:val="18"/>
                <w:szCs w:val="18"/>
                <w:lang w:val="en-US" w:eastAsia="en-US"/>
              </w:rPr>
              <w:t>2</w:t>
            </w:r>
          </w:p>
        </w:tc>
      </w:tr>
      <w:tr>
        <w:trPr>
          <w:trHeight w:val="270" w:hRule="atLeast"/>
        </w:trPr>
        <w:tc>
          <w:tcPr>
            <w:tcW w:w="76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en-US"/>
              </w:rPr>
            </w:pPr>
            <w:r>
              <w:rPr>
                <w:sz w:val="18"/>
                <w:szCs w:val="18"/>
                <w:lang w:val="en-US" w:eastAsia="en-US"/>
              </w:rPr>
              <w:t>5.1.10.</w:t>
            </w:r>
          </w:p>
        </w:tc>
        <w:tc>
          <w:tcPr>
            <w:tcW w:w="76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sz w:val="18"/>
                <w:szCs w:val="18"/>
                <w:lang w:val="en-US" w:eastAsia="en-US"/>
              </w:rPr>
              <w:t xml:space="preserve">Articole în culegeri </w:t>
            </w:r>
          </w:p>
        </w:tc>
        <w:tc>
          <w:tcPr>
            <w:tcW w:w="9197" w:type="dxa"/>
            <w:gridSpan w:val="4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18"/>
                <w:szCs w:val="18"/>
                <w:lang w:val="en-US" w:eastAsia="en-US"/>
              </w:rPr>
              <w:t>1</w:t>
            </w:r>
          </w:p>
        </w:tc>
      </w:tr>
      <w:tr>
        <w:trPr>
          <w:trHeight w:val="270" w:hRule="atLeast"/>
        </w:trPr>
        <w:tc>
          <w:tcPr>
            <w:tcW w:w="76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en-US"/>
              </w:rPr>
            </w:pPr>
            <w:r>
              <w:rPr>
                <w:sz w:val="18"/>
                <w:szCs w:val="18"/>
                <w:lang w:val="en-US" w:eastAsia="en-US"/>
              </w:rPr>
              <w:t>5.1.11.</w:t>
            </w:r>
          </w:p>
        </w:tc>
        <w:tc>
          <w:tcPr>
            <w:tcW w:w="76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eastAsia="en-US"/>
              </w:rPr>
              <w:t>Publicaţii ştiinţi</w:t>
            </w:r>
            <w:r>
              <w:rPr>
                <w:sz w:val="18"/>
                <w:szCs w:val="18"/>
                <w:lang w:val="en-US" w:eastAsia="en-US"/>
              </w:rPr>
              <w:t>fice electronice</w:t>
            </w:r>
          </w:p>
        </w:tc>
        <w:tc>
          <w:tcPr>
            <w:tcW w:w="9197" w:type="dxa"/>
            <w:gridSpan w:val="4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18"/>
                <w:szCs w:val="18"/>
                <w:lang w:val="en-US" w:eastAsia="en-US"/>
              </w:rPr>
              <w:t> </w:t>
            </w:r>
          </w:p>
        </w:tc>
      </w:tr>
      <w:tr>
        <w:trPr>
          <w:trHeight w:val="270" w:hRule="atLeast"/>
        </w:trPr>
        <w:tc>
          <w:tcPr>
            <w:tcW w:w="76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en-US"/>
              </w:rPr>
            </w:pPr>
            <w:r>
              <w:rPr>
                <w:sz w:val="18"/>
                <w:szCs w:val="18"/>
                <w:lang w:val="en-US" w:eastAsia="en-US"/>
              </w:rPr>
              <w:t>5.1.12.</w:t>
            </w:r>
          </w:p>
        </w:tc>
        <w:tc>
          <w:tcPr>
            <w:tcW w:w="76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18"/>
                <w:szCs w:val="18"/>
                <w:lang w:val="fr-FR" w:eastAsia="en-US"/>
              </w:rPr>
              <w:t>Rezumate la conferinţe ştiinţifice internaţionale</w:t>
            </w:r>
          </w:p>
        </w:tc>
        <w:tc>
          <w:tcPr>
            <w:tcW w:w="9197" w:type="dxa"/>
            <w:gridSpan w:val="4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18"/>
                <w:szCs w:val="18"/>
                <w:lang w:val="en-US" w:eastAsia="en-US"/>
              </w:rPr>
              <w:t>13</w:t>
            </w:r>
          </w:p>
        </w:tc>
      </w:tr>
      <w:tr>
        <w:trPr>
          <w:trHeight w:val="270" w:hRule="atLeast"/>
        </w:trPr>
        <w:tc>
          <w:tcPr>
            <w:tcW w:w="863"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en-US"/>
              </w:rPr>
            </w:pPr>
            <w:r>
              <w:rPr>
                <w:sz w:val="18"/>
                <w:szCs w:val="18"/>
                <w:lang w:val="en-US" w:eastAsia="en-US"/>
              </w:rPr>
              <w:t>5.1.13.</w:t>
            </w:r>
          </w:p>
        </w:tc>
        <w:tc>
          <w:tcPr>
            <w:tcW w:w="7933" w:type="dxa"/>
            <w:gridSpan w:val="2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eastAsia="en-US"/>
              </w:rPr>
              <w:t>Preprint-uri internaţionale</w:t>
            </w:r>
          </w:p>
        </w:tc>
        <w:tc>
          <w:tcPr>
            <w:tcW w:w="756" w:type="dxa"/>
            <w:gridSpan w:val="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18"/>
                <w:szCs w:val="18"/>
                <w:lang w:val="en-US" w:eastAsia="en-US"/>
              </w:rPr>
              <w:t>2</w:t>
            </w:r>
          </w:p>
        </w:tc>
        <w:tc>
          <w:tcPr>
            <w:tcW w:w="1177" w:type="dxa"/>
            <w:gridSpan w:val="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270" w:hRule="atLeast"/>
        </w:trPr>
        <w:tc>
          <w:tcPr>
            <w:tcW w:w="863"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sz w:val="18"/>
                <w:szCs w:val="18"/>
                <w:lang w:val="en-US" w:eastAsia="en-US"/>
              </w:rPr>
              <w:t> </w:t>
            </w:r>
          </w:p>
        </w:tc>
        <w:tc>
          <w:tcPr>
            <w:tcW w:w="8688" w:type="dxa"/>
            <w:gridSpan w:val="3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CCFFCC"/>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b/>
                <w:bCs/>
                <w:sz w:val="18"/>
                <w:szCs w:val="18"/>
                <w:lang w:val="en-US" w:eastAsia="en-US"/>
              </w:rPr>
              <w:t>5.2. Impactul internaţional al cercetărilor şi elaborărilor</w:t>
            </w:r>
          </w:p>
        </w:tc>
        <w:tc>
          <w:tcPr>
            <w:tcW w:w="1178" w:type="dxa"/>
            <w:gridSpan w:val="9"/>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270" w:hRule="atLeast"/>
        </w:trPr>
        <w:tc>
          <w:tcPr>
            <w:tcW w:w="863"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18"/>
                <w:szCs w:val="18"/>
                <w:lang w:val="en-US" w:eastAsia="en-US"/>
              </w:rPr>
              <w:t>5.2.1.</w:t>
            </w:r>
          </w:p>
        </w:tc>
        <w:tc>
          <w:tcPr>
            <w:tcW w:w="7933" w:type="dxa"/>
            <w:gridSpan w:val="2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eastAsia="en-US"/>
              </w:rPr>
              <w:t xml:space="preserve">Contracte de licenţă în baza invenţiilor şi know-how </w:t>
            </w:r>
          </w:p>
        </w:tc>
        <w:tc>
          <w:tcPr>
            <w:tcW w:w="756" w:type="dxa"/>
            <w:gridSpan w:val="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18"/>
                <w:szCs w:val="18"/>
                <w:lang w:val="en-US" w:eastAsia="en-US"/>
              </w:rPr>
              <w:t> </w:t>
            </w:r>
          </w:p>
        </w:tc>
        <w:tc>
          <w:tcPr>
            <w:tcW w:w="1177" w:type="dxa"/>
            <w:gridSpan w:val="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525" w:hRule="atLeast"/>
        </w:trPr>
        <w:tc>
          <w:tcPr>
            <w:tcW w:w="863"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18"/>
                <w:szCs w:val="18"/>
                <w:lang w:val="en-US" w:eastAsia="en-US"/>
              </w:rPr>
              <w:t>5.2.2.</w:t>
            </w:r>
          </w:p>
        </w:tc>
        <w:tc>
          <w:tcPr>
            <w:tcW w:w="7933" w:type="dxa"/>
            <w:gridSpan w:val="2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sz w:val="18"/>
                <w:szCs w:val="18"/>
                <w:lang w:val="fr-FR" w:eastAsia="en-US"/>
              </w:rPr>
              <w:t>P</w:t>
            </w:r>
            <w:r>
              <w:rPr>
                <w:rFonts w:cs="Times New Roman CE" w:ascii="Times New Roman CE" w:hAnsi="Times New Roman CE"/>
                <w:sz w:val="18"/>
                <w:szCs w:val="18"/>
                <w:lang w:val="fr-FR" w:eastAsia="en-US"/>
              </w:rPr>
              <w:t>roiecte de cercetare obţinute prin competiţie de la organizaţiile din străinătate, cu un volum de finanţare &gt;100 mii EU</w:t>
            </w:r>
          </w:p>
        </w:tc>
        <w:tc>
          <w:tcPr>
            <w:tcW w:w="756" w:type="dxa"/>
            <w:gridSpan w:val="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18"/>
                <w:szCs w:val="18"/>
                <w:lang w:val="fr-FR" w:eastAsia="en-US"/>
              </w:rPr>
              <w:t> </w:t>
            </w:r>
          </w:p>
        </w:tc>
        <w:tc>
          <w:tcPr>
            <w:tcW w:w="1177" w:type="dxa"/>
            <w:gridSpan w:val="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lang w:val="fr-FR" w:eastAsia="en-US"/>
              </w:rPr>
            </w:pPr>
            <w:r>
              <w:rPr>
                <w:sz w:val="20"/>
                <w:szCs w:val="20"/>
                <w:lang w:val="fr-FR" w:eastAsia="en-US"/>
              </w:rPr>
            </w:r>
          </w:p>
        </w:tc>
      </w:tr>
      <w:tr>
        <w:trPr>
          <w:trHeight w:val="525" w:hRule="atLeast"/>
        </w:trPr>
        <w:tc>
          <w:tcPr>
            <w:tcW w:w="76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18"/>
                <w:szCs w:val="18"/>
                <w:lang w:val="en-US" w:eastAsia="en-US"/>
              </w:rPr>
              <w:t>5.2.3.</w:t>
            </w:r>
          </w:p>
        </w:tc>
        <w:tc>
          <w:tcPr>
            <w:tcW w:w="76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rFonts w:cs="Times New Roman CE" w:ascii="Times New Roman CE" w:hAnsi="Times New Roman CE"/>
                <w:sz w:val="18"/>
                <w:szCs w:val="18"/>
                <w:lang w:val="fr-FR" w:eastAsia="en-US"/>
              </w:rPr>
              <w:t>Proiecte de cercetare obţinute prin competiţie de la organizaţiile din străinătate, cu un volum de finanţare &lt;100 mii EU</w:t>
            </w:r>
          </w:p>
        </w:tc>
        <w:tc>
          <w:tcPr>
            <w:tcW w:w="9197" w:type="dxa"/>
            <w:gridSpan w:val="4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18"/>
                <w:szCs w:val="18"/>
                <w:lang w:val="fr-FR" w:eastAsia="en-US"/>
              </w:rPr>
              <w:t> </w:t>
            </w:r>
          </w:p>
        </w:tc>
      </w:tr>
      <w:tr>
        <w:trPr>
          <w:trHeight w:val="270" w:hRule="atLeast"/>
        </w:trPr>
        <w:tc>
          <w:tcPr>
            <w:tcW w:w="863"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18"/>
                <w:szCs w:val="18"/>
                <w:lang w:val="en-US" w:eastAsia="en-US"/>
              </w:rPr>
              <w:t>5.2.4.</w:t>
            </w:r>
          </w:p>
        </w:tc>
        <w:tc>
          <w:tcPr>
            <w:tcW w:w="7933" w:type="dxa"/>
            <w:gridSpan w:val="2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18"/>
                <w:szCs w:val="18"/>
                <w:lang w:val="fr-FR" w:eastAsia="en-US"/>
              </w:rPr>
              <w:t>Premii din străinătate pentru  rezultatele cercetării</w:t>
            </w:r>
          </w:p>
        </w:tc>
        <w:tc>
          <w:tcPr>
            <w:tcW w:w="756" w:type="dxa"/>
            <w:gridSpan w:val="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18"/>
                <w:szCs w:val="18"/>
                <w:lang w:val="fr-FR" w:eastAsia="en-US"/>
              </w:rPr>
              <w:t> </w:t>
            </w:r>
          </w:p>
        </w:tc>
        <w:tc>
          <w:tcPr>
            <w:tcW w:w="1177" w:type="dxa"/>
            <w:gridSpan w:val="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lang w:val="fr-FR" w:eastAsia="en-US"/>
              </w:rPr>
            </w:pPr>
            <w:r>
              <w:rPr>
                <w:sz w:val="20"/>
                <w:szCs w:val="20"/>
                <w:lang w:val="fr-FR" w:eastAsia="en-US"/>
              </w:rPr>
            </w:r>
          </w:p>
        </w:tc>
      </w:tr>
      <w:tr>
        <w:trPr>
          <w:trHeight w:val="270" w:hRule="atLeast"/>
        </w:trPr>
        <w:tc>
          <w:tcPr>
            <w:tcW w:w="76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18"/>
                <w:szCs w:val="18"/>
                <w:lang w:val="en-US" w:eastAsia="en-US"/>
              </w:rPr>
              <w:t>5.2.5.</w:t>
            </w:r>
          </w:p>
        </w:tc>
        <w:tc>
          <w:tcPr>
            <w:tcW w:w="76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eastAsia="en-US"/>
              </w:rPr>
              <w:t>Brevete obţinute în străinătate</w:t>
            </w:r>
          </w:p>
        </w:tc>
        <w:tc>
          <w:tcPr>
            <w:tcW w:w="9197" w:type="dxa"/>
            <w:gridSpan w:val="4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18"/>
                <w:szCs w:val="18"/>
                <w:lang w:val="en-US" w:eastAsia="en-US"/>
              </w:rPr>
              <w:t> </w:t>
            </w:r>
          </w:p>
        </w:tc>
      </w:tr>
      <w:tr>
        <w:trPr>
          <w:trHeight w:val="270" w:hRule="atLeast"/>
        </w:trPr>
        <w:tc>
          <w:tcPr>
            <w:tcW w:w="76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18"/>
                <w:szCs w:val="18"/>
                <w:lang w:val="en-US" w:eastAsia="en-US"/>
              </w:rPr>
              <w:t> </w:t>
            </w:r>
          </w:p>
        </w:tc>
        <w:tc>
          <w:tcPr>
            <w:tcW w:w="76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18"/>
                <w:szCs w:val="18"/>
                <w:lang w:val="fr-FR" w:eastAsia="en-US"/>
              </w:rPr>
              <w:t>Rapoarte (comunicări orale) la conferinţe internaţionale</w:t>
            </w:r>
          </w:p>
        </w:tc>
        <w:tc>
          <w:tcPr>
            <w:tcW w:w="9197" w:type="dxa"/>
            <w:gridSpan w:val="4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18"/>
                <w:szCs w:val="18"/>
                <w:lang w:val="en-US" w:eastAsia="en-US"/>
              </w:rPr>
              <w:t>17</w:t>
            </w:r>
          </w:p>
        </w:tc>
      </w:tr>
      <w:tr>
        <w:trPr>
          <w:trHeight w:val="270" w:hRule="atLeast"/>
        </w:trPr>
        <w:tc>
          <w:tcPr>
            <w:tcW w:w="76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18"/>
                <w:szCs w:val="18"/>
                <w:lang w:val="en-US" w:eastAsia="en-US"/>
              </w:rPr>
              <w:t>5.2.6.</w:t>
            </w:r>
          </w:p>
        </w:tc>
        <w:tc>
          <w:tcPr>
            <w:tcW w:w="76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18"/>
                <w:szCs w:val="18"/>
                <w:lang w:val="fr-FR" w:eastAsia="en-US"/>
              </w:rPr>
              <w:t>Rapoarte (comunicări orale) la invitaţie la conferinţe internaţionale</w:t>
            </w:r>
          </w:p>
        </w:tc>
        <w:tc>
          <w:tcPr>
            <w:tcW w:w="9197" w:type="dxa"/>
            <w:gridSpan w:val="4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rFonts w:ascii="Times New Roman" w:hAnsi="Times New Roman"/>
                <w:sz w:val="18"/>
                <w:szCs w:val="18"/>
                <w:lang w:val="fr-FR" w:eastAsia="en-US"/>
              </w:rPr>
            </w:pPr>
            <w:r>
              <w:rPr>
                <w:sz w:val="18"/>
                <w:szCs w:val="18"/>
                <w:lang w:val="fr-FR" w:eastAsia="en-US"/>
              </w:rPr>
            </w:r>
          </w:p>
        </w:tc>
      </w:tr>
      <w:tr>
        <w:trPr>
          <w:trHeight w:val="270" w:hRule="atLeast"/>
        </w:trPr>
        <w:tc>
          <w:tcPr>
            <w:tcW w:w="76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18"/>
                <w:szCs w:val="18"/>
                <w:lang w:val="en-US" w:eastAsia="en-US"/>
              </w:rPr>
              <w:t>5.2.7.</w:t>
            </w:r>
          </w:p>
        </w:tc>
        <w:tc>
          <w:tcPr>
            <w:tcW w:w="76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sz w:val="18"/>
                <w:szCs w:val="18"/>
                <w:lang w:val="en-US" w:eastAsia="en-US"/>
              </w:rPr>
              <w:t>Men</w:t>
            </w:r>
            <w:r>
              <w:rPr>
                <w:rFonts w:cs="Times New Roman CE" w:ascii="Times New Roman CE" w:hAnsi="Times New Roman CE"/>
                <w:sz w:val="18"/>
                <w:szCs w:val="18"/>
                <w:lang w:val="en-US" w:eastAsia="en-US"/>
              </w:rPr>
              <w:t>ţiuni ale publicaţiilor şi rezultatelor cercetării în ediţii electronice internaţionale</w:t>
            </w:r>
          </w:p>
        </w:tc>
        <w:tc>
          <w:tcPr>
            <w:tcW w:w="9197" w:type="dxa"/>
            <w:gridSpan w:val="4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18"/>
                <w:szCs w:val="18"/>
                <w:lang w:val="en-US" w:eastAsia="en-US"/>
              </w:rPr>
              <w:t> </w:t>
            </w:r>
          </w:p>
        </w:tc>
      </w:tr>
      <w:tr>
        <w:trPr>
          <w:trHeight w:val="270" w:hRule="atLeast"/>
        </w:trPr>
        <w:tc>
          <w:tcPr>
            <w:tcW w:w="76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18"/>
                <w:szCs w:val="18"/>
                <w:lang w:val="en-US" w:eastAsia="en-US"/>
              </w:rPr>
              <w:t>5.2.8.</w:t>
            </w:r>
          </w:p>
        </w:tc>
        <w:tc>
          <w:tcPr>
            <w:tcW w:w="76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sz w:val="18"/>
                <w:szCs w:val="18"/>
                <w:lang w:val="fr-FR" w:eastAsia="en-US"/>
              </w:rPr>
              <w:t xml:space="preserve">Medalii </w:t>
            </w:r>
            <w:r>
              <w:rPr>
                <w:b/>
                <w:bCs/>
                <w:sz w:val="18"/>
                <w:szCs w:val="18"/>
                <w:lang w:val="fr-FR" w:eastAsia="en-US"/>
              </w:rPr>
              <w:t>de aur</w:t>
            </w:r>
            <w:r>
              <w:rPr>
                <w:rFonts w:cs="Times New Roman CE" w:ascii="Times New Roman CE" w:hAnsi="Times New Roman CE"/>
                <w:sz w:val="18"/>
                <w:szCs w:val="18"/>
                <w:lang w:val="fr-FR" w:eastAsia="en-US"/>
              </w:rPr>
              <w:t xml:space="preserve"> obţinute la expoziţii şi saloane internaţionale </w:t>
            </w:r>
          </w:p>
        </w:tc>
        <w:tc>
          <w:tcPr>
            <w:tcW w:w="9197" w:type="dxa"/>
            <w:gridSpan w:val="4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18"/>
                <w:szCs w:val="18"/>
                <w:lang w:val="fr-FR" w:eastAsia="en-US"/>
              </w:rPr>
              <w:t> </w:t>
            </w:r>
          </w:p>
        </w:tc>
      </w:tr>
      <w:tr>
        <w:trPr>
          <w:trHeight w:val="270" w:hRule="atLeast"/>
        </w:trPr>
        <w:tc>
          <w:tcPr>
            <w:tcW w:w="76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18"/>
                <w:szCs w:val="18"/>
                <w:lang w:val="en-US" w:eastAsia="en-US"/>
              </w:rPr>
              <w:t>5.2.9.</w:t>
            </w:r>
          </w:p>
        </w:tc>
        <w:tc>
          <w:tcPr>
            <w:tcW w:w="76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sz w:val="18"/>
                <w:szCs w:val="18"/>
                <w:lang w:val="fr-FR" w:eastAsia="en-US"/>
              </w:rPr>
              <w:t xml:space="preserve">Medalii </w:t>
            </w:r>
            <w:r>
              <w:rPr>
                <w:b/>
                <w:bCs/>
                <w:sz w:val="18"/>
                <w:szCs w:val="18"/>
                <w:lang w:val="fr-FR" w:eastAsia="en-US"/>
              </w:rPr>
              <w:t>de argint</w:t>
            </w:r>
            <w:r>
              <w:rPr>
                <w:rFonts w:cs="Times New Roman CE" w:ascii="Times New Roman CE" w:hAnsi="Times New Roman CE"/>
                <w:sz w:val="18"/>
                <w:szCs w:val="18"/>
                <w:lang w:val="fr-FR" w:eastAsia="en-US"/>
              </w:rPr>
              <w:t xml:space="preserve"> obţinute la expoziţii şi saloane internaţionale </w:t>
            </w:r>
          </w:p>
        </w:tc>
        <w:tc>
          <w:tcPr>
            <w:tcW w:w="9197" w:type="dxa"/>
            <w:gridSpan w:val="4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18"/>
                <w:szCs w:val="18"/>
                <w:lang w:val="fr-FR" w:eastAsia="en-US"/>
              </w:rPr>
              <w:t> </w:t>
            </w:r>
          </w:p>
        </w:tc>
      </w:tr>
      <w:tr>
        <w:trPr>
          <w:trHeight w:val="270" w:hRule="atLeast"/>
        </w:trPr>
        <w:tc>
          <w:tcPr>
            <w:tcW w:w="76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18"/>
                <w:szCs w:val="18"/>
                <w:lang w:val="en-US" w:eastAsia="en-US"/>
              </w:rPr>
              <w:t>5.2.10.</w:t>
            </w:r>
          </w:p>
        </w:tc>
        <w:tc>
          <w:tcPr>
            <w:tcW w:w="76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sz w:val="18"/>
                <w:szCs w:val="18"/>
                <w:lang w:val="fr-FR" w:eastAsia="en-US"/>
              </w:rPr>
              <w:t xml:space="preserve">Medalii </w:t>
            </w:r>
            <w:r>
              <w:rPr>
                <w:b/>
                <w:bCs/>
                <w:sz w:val="18"/>
                <w:szCs w:val="18"/>
                <w:lang w:val="fr-FR" w:eastAsia="en-US"/>
              </w:rPr>
              <w:t>de bronz</w:t>
            </w:r>
            <w:r>
              <w:rPr>
                <w:rFonts w:cs="Times New Roman CE" w:ascii="Times New Roman CE" w:hAnsi="Times New Roman CE"/>
                <w:sz w:val="18"/>
                <w:szCs w:val="18"/>
                <w:lang w:val="fr-FR" w:eastAsia="en-US"/>
              </w:rPr>
              <w:t xml:space="preserve"> obţinute la expoziţii şi saloane internaţionale </w:t>
            </w:r>
          </w:p>
        </w:tc>
        <w:tc>
          <w:tcPr>
            <w:tcW w:w="9197" w:type="dxa"/>
            <w:gridSpan w:val="4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18"/>
                <w:szCs w:val="18"/>
                <w:lang w:val="fr-FR" w:eastAsia="en-US"/>
              </w:rPr>
              <w:t> </w:t>
            </w:r>
          </w:p>
        </w:tc>
      </w:tr>
      <w:tr>
        <w:trPr>
          <w:trHeight w:val="270" w:hRule="atLeast"/>
        </w:trPr>
        <w:tc>
          <w:tcPr>
            <w:tcW w:w="76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18"/>
                <w:szCs w:val="18"/>
                <w:lang w:val="en-US" w:eastAsia="en-US"/>
              </w:rPr>
              <w:t>5.2.11.</w:t>
            </w:r>
          </w:p>
        </w:tc>
        <w:tc>
          <w:tcPr>
            <w:tcW w:w="76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18"/>
                <w:szCs w:val="18"/>
                <w:lang w:val="fr-FR" w:eastAsia="en-US"/>
              </w:rPr>
              <w:t>Diplome obţinute la expoziţii internaţionale</w:t>
            </w:r>
          </w:p>
        </w:tc>
        <w:tc>
          <w:tcPr>
            <w:tcW w:w="9197" w:type="dxa"/>
            <w:gridSpan w:val="4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18"/>
                <w:szCs w:val="18"/>
                <w:lang w:val="fr-FR" w:eastAsia="en-US"/>
              </w:rPr>
              <w:t> </w:t>
            </w:r>
          </w:p>
        </w:tc>
      </w:tr>
      <w:tr>
        <w:trPr>
          <w:trHeight w:val="270" w:hRule="atLeast"/>
        </w:trPr>
        <w:tc>
          <w:tcPr>
            <w:tcW w:w="76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18"/>
                <w:szCs w:val="18"/>
                <w:lang w:val="en-US" w:eastAsia="en-US"/>
              </w:rPr>
              <w:t>5.2.12.</w:t>
            </w:r>
          </w:p>
        </w:tc>
        <w:tc>
          <w:tcPr>
            <w:tcW w:w="76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eastAsia="en-US"/>
              </w:rPr>
              <w:t>Alte distincţii de apreciere a rezultatelor cercetării şi elaborărilor</w:t>
            </w:r>
          </w:p>
        </w:tc>
        <w:tc>
          <w:tcPr>
            <w:tcW w:w="9197" w:type="dxa"/>
            <w:gridSpan w:val="4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18"/>
                <w:szCs w:val="18"/>
                <w:lang w:val="en-US" w:eastAsia="en-US"/>
              </w:rPr>
              <w:t> </w:t>
            </w:r>
          </w:p>
        </w:tc>
      </w:tr>
      <w:tr>
        <w:trPr>
          <w:trHeight w:val="270" w:hRule="atLeast"/>
        </w:trPr>
        <w:tc>
          <w:tcPr>
            <w:tcW w:w="863"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18"/>
                <w:szCs w:val="18"/>
                <w:lang w:val="en-US" w:eastAsia="en-US"/>
              </w:rPr>
            </w:pPr>
            <w:r>
              <w:rPr>
                <w:sz w:val="18"/>
                <w:szCs w:val="18"/>
                <w:lang w:val="en-US" w:eastAsia="en-US"/>
              </w:rPr>
            </w:r>
          </w:p>
        </w:tc>
        <w:tc>
          <w:tcPr>
            <w:tcW w:w="8688" w:type="dxa"/>
            <w:gridSpan w:val="3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CCFFCC"/>
            <w:tcMar>
              <w:left w:w="103" w:type="dxa"/>
            </w:tcMar>
            <w:vAlign w:val="bottom"/>
          </w:tcPr>
          <w:p>
            <w:pPr>
              <w:pStyle w:val="Normal"/>
              <w:widowControl/>
              <w:bidi w:val="0"/>
              <w:ind w:left="0" w:right="0" w:hanging="0"/>
              <w:jc w:val="left"/>
              <w:textAlignment w:val="auto"/>
              <w:rPr>
                <w:lang w:val="en-US"/>
              </w:rPr>
            </w:pPr>
            <w:bookmarkStart w:id="440" w:name="RANGE!B37"/>
            <w:bookmarkEnd w:id="440"/>
            <w:r>
              <w:rPr>
                <w:rFonts w:cs="Times New Roman CE" w:ascii="Times New Roman CE" w:hAnsi="Times New Roman CE"/>
                <w:b/>
                <w:bCs/>
                <w:sz w:val="18"/>
                <w:szCs w:val="18"/>
                <w:lang w:val="en-US" w:eastAsia="en-US"/>
              </w:rPr>
              <w:t>5.3. Apreciere internaţională şi antrenare în expertiza internaţională</w:t>
            </w:r>
          </w:p>
        </w:tc>
        <w:tc>
          <w:tcPr>
            <w:tcW w:w="1178" w:type="dxa"/>
            <w:gridSpan w:val="9"/>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270" w:hRule="atLeast"/>
        </w:trPr>
        <w:tc>
          <w:tcPr>
            <w:tcW w:w="863" w:type="dxa"/>
            <w:gridSpan w:val="4"/>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18"/>
                <w:szCs w:val="18"/>
                <w:lang w:val="en-US" w:eastAsia="en-US"/>
              </w:rPr>
              <w:t>5.3.1.</w:t>
            </w:r>
          </w:p>
        </w:tc>
        <w:tc>
          <w:tcPr>
            <w:tcW w:w="7933" w:type="dxa"/>
            <w:gridSpan w:val="2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eastAsia="en-US"/>
              </w:rPr>
              <w:t>Membru de onoare al academiilor de ştiinţe din străinătate ales în perioada evaluată</w:t>
            </w:r>
          </w:p>
        </w:tc>
        <w:tc>
          <w:tcPr>
            <w:tcW w:w="756" w:type="dxa"/>
            <w:gridSpan w:val="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18"/>
                <w:szCs w:val="18"/>
                <w:lang w:val="en-US" w:eastAsia="en-US"/>
              </w:rPr>
              <w:t> </w:t>
            </w:r>
          </w:p>
        </w:tc>
        <w:tc>
          <w:tcPr>
            <w:tcW w:w="1177" w:type="dxa"/>
            <w:gridSpan w:val="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270" w:hRule="atLeast"/>
        </w:trPr>
        <w:tc>
          <w:tcPr>
            <w:tcW w:w="76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18"/>
                <w:szCs w:val="18"/>
                <w:lang w:val="en-US" w:eastAsia="en-US"/>
              </w:rPr>
              <w:t>5.3.2.</w:t>
            </w:r>
          </w:p>
        </w:tc>
        <w:tc>
          <w:tcPr>
            <w:tcW w:w="76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eastAsia="en-US"/>
              </w:rPr>
              <w:t>Membru de onoare al societăţilor ştiinţifice din străinătate ales în perioada evaluată</w:t>
            </w:r>
          </w:p>
        </w:tc>
        <w:tc>
          <w:tcPr>
            <w:tcW w:w="9197" w:type="dxa"/>
            <w:gridSpan w:val="4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18"/>
                <w:szCs w:val="18"/>
                <w:lang w:val="en-US" w:eastAsia="en-US"/>
              </w:rPr>
              <w:t> </w:t>
            </w:r>
          </w:p>
        </w:tc>
      </w:tr>
      <w:tr>
        <w:trPr>
          <w:trHeight w:val="270" w:hRule="atLeast"/>
        </w:trPr>
        <w:tc>
          <w:tcPr>
            <w:tcW w:w="76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18"/>
                <w:szCs w:val="18"/>
                <w:lang w:val="en-US" w:eastAsia="en-US"/>
              </w:rPr>
              <w:t>5.3.3.</w:t>
            </w:r>
          </w:p>
        </w:tc>
        <w:tc>
          <w:tcPr>
            <w:tcW w:w="76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eastAsia="en-US"/>
              </w:rPr>
              <w:t>Redactor-şef al unei reviste de special</w:t>
            </w:r>
            <w:r>
              <w:rPr>
                <w:sz w:val="18"/>
                <w:szCs w:val="18"/>
                <w:lang w:val="en-US" w:eastAsia="en-US"/>
              </w:rPr>
              <w:t>itate cotate ISI</w:t>
            </w:r>
          </w:p>
        </w:tc>
        <w:tc>
          <w:tcPr>
            <w:tcW w:w="9197" w:type="dxa"/>
            <w:gridSpan w:val="4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18"/>
                <w:szCs w:val="18"/>
                <w:lang w:val="en-US" w:eastAsia="en-US"/>
              </w:rPr>
              <w:t> </w:t>
            </w:r>
          </w:p>
        </w:tc>
      </w:tr>
      <w:tr>
        <w:trPr>
          <w:trHeight w:val="270" w:hRule="atLeast"/>
        </w:trPr>
        <w:tc>
          <w:tcPr>
            <w:tcW w:w="76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18"/>
                <w:szCs w:val="18"/>
                <w:lang w:val="en-US" w:eastAsia="en-US"/>
              </w:rPr>
              <w:t>5.3.4.</w:t>
            </w:r>
          </w:p>
        </w:tc>
        <w:tc>
          <w:tcPr>
            <w:tcW w:w="76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rFonts w:cs="Times New Roman CE" w:ascii="Times New Roman CE" w:hAnsi="Times New Roman CE"/>
                <w:sz w:val="18"/>
                <w:szCs w:val="18"/>
                <w:lang w:val="fr-FR" w:eastAsia="en-US"/>
              </w:rPr>
              <w:t xml:space="preserve">Membru al colegiului de redacţie al revistelor de specialitate consacrate de peste hotare </w:t>
            </w:r>
          </w:p>
        </w:tc>
        <w:tc>
          <w:tcPr>
            <w:tcW w:w="9197" w:type="dxa"/>
            <w:gridSpan w:val="4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18"/>
                <w:szCs w:val="18"/>
                <w:lang w:val="en-US" w:eastAsia="en-US"/>
              </w:rPr>
              <w:t>5</w:t>
            </w:r>
          </w:p>
        </w:tc>
      </w:tr>
      <w:tr>
        <w:trPr>
          <w:trHeight w:val="270" w:hRule="atLeast"/>
        </w:trPr>
        <w:tc>
          <w:tcPr>
            <w:tcW w:w="76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18"/>
                <w:szCs w:val="18"/>
                <w:lang w:val="en-US" w:eastAsia="en-US"/>
              </w:rPr>
              <w:t>5.3.5.</w:t>
            </w:r>
          </w:p>
        </w:tc>
        <w:tc>
          <w:tcPr>
            <w:tcW w:w="76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rFonts w:cs="Times New Roman CE" w:ascii="Times New Roman CE" w:hAnsi="Times New Roman CE"/>
                <w:sz w:val="18"/>
                <w:szCs w:val="18"/>
                <w:lang w:val="fr-FR" w:eastAsia="en-US"/>
              </w:rPr>
              <w:t>Preşedinte al Comitetului de program al manifestărilor ştiinţifici din străinătate</w:t>
            </w:r>
          </w:p>
        </w:tc>
        <w:tc>
          <w:tcPr>
            <w:tcW w:w="9197" w:type="dxa"/>
            <w:gridSpan w:val="4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18"/>
                <w:szCs w:val="18"/>
                <w:lang w:val="fr-FR" w:eastAsia="en-US"/>
              </w:rPr>
              <w:t> </w:t>
            </w:r>
          </w:p>
        </w:tc>
      </w:tr>
      <w:tr>
        <w:trPr>
          <w:trHeight w:val="270" w:hRule="atLeast"/>
        </w:trPr>
        <w:tc>
          <w:tcPr>
            <w:tcW w:w="76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18"/>
                <w:szCs w:val="18"/>
                <w:lang w:val="en-US" w:eastAsia="en-US"/>
              </w:rPr>
              <w:t>5.3.6.</w:t>
            </w:r>
          </w:p>
        </w:tc>
        <w:tc>
          <w:tcPr>
            <w:tcW w:w="76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rFonts w:cs="Times New Roman CE" w:ascii="Times New Roman CE" w:hAnsi="Times New Roman CE"/>
                <w:sz w:val="18"/>
                <w:szCs w:val="18"/>
                <w:lang w:val="fr-FR" w:eastAsia="en-US"/>
              </w:rPr>
              <w:t xml:space="preserve">Copreşedinte al Comitetului de program al manifestărilor ştiinţifici din străinătate </w:t>
            </w:r>
          </w:p>
        </w:tc>
        <w:tc>
          <w:tcPr>
            <w:tcW w:w="9197" w:type="dxa"/>
            <w:gridSpan w:val="4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18"/>
                <w:szCs w:val="18"/>
                <w:lang w:val="fr-FR" w:eastAsia="en-US"/>
              </w:rPr>
              <w:t> </w:t>
            </w:r>
          </w:p>
        </w:tc>
      </w:tr>
      <w:tr>
        <w:trPr>
          <w:trHeight w:val="270" w:hRule="atLeast"/>
        </w:trPr>
        <w:tc>
          <w:tcPr>
            <w:tcW w:w="76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18"/>
                <w:szCs w:val="18"/>
                <w:lang w:val="en-US" w:eastAsia="en-US"/>
              </w:rPr>
              <w:t>5.3.7.</w:t>
            </w:r>
          </w:p>
        </w:tc>
        <w:tc>
          <w:tcPr>
            <w:tcW w:w="76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eastAsia="en-US"/>
              </w:rPr>
              <w:t xml:space="preserve">Expert al proiectelor şi a altor activităţi  internaţionale </w:t>
            </w:r>
          </w:p>
        </w:tc>
        <w:tc>
          <w:tcPr>
            <w:tcW w:w="9197" w:type="dxa"/>
            <w:gridSpan w:val="4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18"/>
                <w:szCs w:val="18"/>
                <w:lang w:val="en-US" w:eastAsia="en-US"/>
              </w:rPr>
              <w:t> </w:t>
            </w:r>
          </w:p>
        </w:tc>
      </w:tr>
      <w:tr>
        <w:trPr>
          <w:trHeight w:val="270" w:hRule="atLeast"/>
        </w:trPr>
        <w:tc>
          <w:tcPr>
            <w:tcW w:w="76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18"/>
                <w:szCs w:val="18"/>
                <w:lang w:val="en-US" w:eastAsia="en-US"/>
              </w:rPr>
              <w:t>5.3.8.</w:t>
            </w:r>
          </w:p>
        </w:tc>
        <w:tc>
          <w:tcPr>
            <w:tcW w:w="76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eastAsia="en-US"/>
              </w:rPr>
              <w:t>Membru în Comisiile pentru decernarea premiilor relevante din străinătate</w:t>
            </w:r>
          </w:p>
        </w:tc>
        <w:tc>
          <w:tcPr>
            <w:tcW w:w="9197" w:type="dxa"/>
            <w:gridSpan w:val="4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18"/>
                <w:szCs w:val="18"/>
                <w:lang w:val="en-US" w:eastAsia="en-US"/>
              </w:rPr>
              <w:t> </w:t>
            </w:r>
          </w:p>
        </w:tc>
      </w:tr>
      <w:tr>
        <w:trPr>
          <w:trHeight w:val="270" w:hRule="atLeast"/>
        </w:trPr>
        <w:tc>
          <w:tcPr>
            <w:tcW w:w="76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18"/>
                <w:szCs w:val="18"/>
                <w:lang w:val="en-US" w:eastAsia="en-US"/>
              </w:rPr>
              <w:t>5.3.9.</w:t>
            </w:r>
          </w:p>
        </w:tc>
        <w:tc>
          <w:tcPr>
            <w:tcW w:w="76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eastAsia="en-US"/>
              </w:rPr>
              <w:t>Referent ştiinţific al revistei cotate I</w:t>
            </w:r>
            <w:r>
              <w:rPr>
                <w:sz w:val="18"/>
                <w:szCs w:val="18"/>
                <w:lang w:val="en-US" w:eastAsia="en-US"/>
              </w:rPr>
              <w:t>SI;</w:t>
            </w:r>
          </w:p>
        </w:tc>
        <w:tc>
          <w:tcPr>
            <w:tcW w:w="9197" w:type="dxa"/>
            <w:gridSpan w:val="4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18"/>
                <w:szCs w:val="18"/>
                <w:lang w:val="en-US" w:eastAsia="en-US"/>
              </w:rPr>
              <w:t>5</w:t>
            </w:r>
          </w:p>
        </w:tc>
      </w:tr>
      <w:tr>
        <w:trPr>
          <w:trHeight w:val="270" w:hRule="atLeast"/>
        </w:trPr>
        <w:tc>
          <w:tcPr>
            <w:tcW w:w="76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18"/>
                <w:szCs w:val="18"/>
                <w:lang w:val="en-US" w:eastAsia="en-US"/>
              </w:rPr>
              <w:t>5.3.10.</w:t>
            </w:r>
          </w:p>
        </w:tc>
        <w:tc>
          <w:tcPr>
            <w:tcW w:w="76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rFonts w:cs="Times New Roman CE" w:ascii="Times New Roman CE" w:hAnsi="Times New Roman CE"/>
                <w:sz w:val="18"/>
                <w:szCs w:val="18"/>
                <w:lang w:val="fr-FR" w:eastAsia="en-US"/>
              </w:rPr>
              <w:t>Referent la susţinerea în străinătate a tezei de doctor</w:t>
            </w:r>
          </w:p>
        </w:tc>
        <w:tc>
          <w:tcPr>
            <w:tcW w:w="9197" w:type="dxa"/>
            <w:gridSpan w:val="4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rFonts w:ascii="Times New Roman" w:hAnsi="Times New Roman"/>
                <w:sz w:val="18"/>
                <w:szCs w:val="18"/>
                <w:lang w:val="fr-FR" w:eastAsia="en-US"/>
              </w:rPr>
            </w:pPr>
            <w:r>
              <w:rPr>
                <w:sz w:val="18"/>
                <w:szCs w:val="18"/>
                <w:lang w:val="fr-FR" w:eastAsia="en-US"/>
              </w:rPr>
            </w:r>
          </w:p>
        </w:tc>
      </w:tr>
      <w:tr>
        <w:trPr>
          <w:trHeight w:val="270" w:hRule="atLeast"/>
        </w:trPr>
        <w:tc>
          <w:tcPr>
            <w:tcW w:w="76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18"/>
                <w:szCs w:val="18"/>
                <w:lang w:val="en-US" w:eastAsia="en-US"/>
              </w:rPr>
              <w:t>5.3.11.</w:t>
            </w:r>
          </w:p>
        </w:tc>
        <w:tc>
          <w:tcPr>
            <w:tcW w:w="76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rFonts w:cs="Times New Roman CE" w:ascii="Times New Roman CE" w:hAnsi="Times New Roman CE"/>
                <w:sz w:val="18"/>
                <w:szCs w:val="18"/>
                <w:lang w:val="fr-FR" w:eastAsia="en-US"/>
              </w:rPr>
              <w:t>Profesor invitat în instituţii universitare consacrate din străinătate</w:t>
            </w:r>
          </w:p>
        </w:tc>
        <w:tc>
          <w:tcPr>
            <w:tcW w:w="9197" w:type="dxa"/>
            <w:gridSpan w:val="4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18"/>
                <w:szCs w:val="18"/>
                <w:lang w:val="fr-FR" w:eastAsia="en-US"/>
              </w:rPr>
              <w:t> </w:t>
            </w:r>
          </w:p>
        </w:tc>
      </w:tr>
      <w:tr>
        <w:trPr>
          <w:trHeight w:val="270" w:hRule="atLeast"/>
        </w:trPr>
        <w:tc>
          <w:tcPr>
            <w:tcW w:w="76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18"/>
                <w:szCs w:val="18"/>
                <w:lang w:val="en-US" w:eastAsia="en-US"/>
              </w:rPr>
              <w:t>5.3.12.</w:t>
            </w:r>
          </w:p>
        </w:tc>
        <w:tc>
          <w:tcPr>
            <w:tcW w:w="76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eastAsia="en-US"/>
              </w:rPr>
              <w:t xml:space="preserve">Cercetător invitat pentru activitatea ştiinţifică </w:t>
            </w:r>
          </w:p>
        </w:tc>
        <w:tc>
          <w:tcPr>
            <w:tcW w:w="9197" w:type="dxa"/>
            <w:gridSpan w:val="4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18"/>
                <w:szCs w:val="18"/>
                <w:lang w:val="en-US" w:eastAsia="en-US"/>
              </w:rPr>
              <w:t> </w:t>
            </w:r>
          </w:p>
        </w:tc>
      </w:tr>
      <w:tr>
        <w:trPr>
          <w:trHeight w:val="270" w:hRule="atLeast"/>
        </w:trPr>
        <w:tc>
          <w:tcPr>
            <w:tcW w:w="76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sz w:val="18"/>
                <w:szCs w:val="18"/>
                <w:lang w:val="en-US" w:eastAsia="en-US"/>
              </w:rPr>
              <w:t>5.3.13.</w:t>
            </w:r>
          </w:p>
        </w:tc>
        <w:tc>
          <w:tcPr>
            <w:tcW w:w="76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sz w:val="18"/>
                <w:szCs w:val="18"/>
                <w:lang w:val="en-US" w:eastAsia="en-US"/>
              </w:rPr>
              <w:t>Stagiar, doctorand sau postdoctorand</w:t>
            </w:r>
          </w:p>
        </w:tc>
        <w:tc>
          <w:tcPr>
            <w:tcW w:w="9197" w:type="dxa"/>
            <w:gridSpan w:val="4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18"/>
                <w:szCs w:val="18"/>
                <w:lang w:val="en-US" w:eastAsia="en-US"/>
              </w:rPr>
              <w:t> </w:t>
            </w:r>
          </w:p>
        </w:tc>
      </w:tr>
      <w:tr>
        <w:trPr>
          <w:trHeight w:val="70" w:hRule="atLeast"/>
        </w:trPr>
        <w:tc>
          <w:tcPr>
            <w:tcW w:w="9527" w:type="dxa"/>
            <w:gridSpan w:val="3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rFonts w:cs="Times New Roman CE" w:ascii="Times New Roman CE" w:hAnsi="Times New Roman CE"/>
                <w:b/>
                <w:bCs/>
                <w:sz w:val="20"/>
                <w:szCs w:val="20"/>
                <w:lang w:val="en-US"/>
              </w:rPr>
              <w:t xml:space="preserve">6. CONTRIBUŢIE ŞTIINŢIFICĂ ŞI RECUNOAŞTERE NAŢIONALĂ </w:t>
            </w:r>
          </w:p>
        </w:tc>
        <w:tc>
          <w:tcPr>
            <w:tcW w:w="804" w:type="dxa"/>
            <w:gridSpan w:val="7"/>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b/>
                <w:bCs/>
                <w:sz w:val="22"/>
                <w:szCs w:val="22"/>
              </w:rPr>
              <w:t>201</w:t>
            </w:r>
            <w:r>
              <w:rPr>
                <w:b/>
                <w:bCs/>
                <w:sz w:val="22"/>
                <w:szCs w:val="22"/>
                <w:lang w:val="ro-RO"/>
              </w:rPr>
              <w:t>6</w:t>
            </w:r>
          </w:p>
        </w:tc>
        <w:tc>
          <w:tcPr>
            <w:tcW w:w="398"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rPr>
            </w:pPr>
            <w:r>
              <w:rPr>
                <w:sz w:val="20"/>
                <w:szCs w:val="20"/>
              </w:rPr>
            </w:r>
          </w:p>
        </w:tc>
      </w:tr>
      <w:tr>
        <w:trPr>
          <w:trHeight w:val="270"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 </w:t>
            </w:r>
          </w:p>
        </w:tc>
        <w:tc>
          <w:tcPr>
            <w:tcW w:w="9585" w:type="dxa"/>
            <w:gridSpan w:val="4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CCFFCC"/>
            <w:tcMar>
              <w:left w:w="103" w:type="dxa"/>
            </w:tcMar>
            <w:vAlign w:val="bottom"/>
          </w:tcPr>
          <w:p>
            <w:pPr>
              <w:pStyle w:val="Normal"/>
              <w:widowControl/>
              <w:bidi w:val="0"/>
              <w:ind w:left="0" w:right="0" w:hanging="0"/>
              <w:jc w:val="left"/>
              <w:textAlignment w:val="auto"/>
              <w:rPr/>
            </w:pPr>
            <w:r>
              <w:rPr>
                <w:rFonts w:cs="Times New Roman CE" w:ascii="Times New Roman CE" w:hAnsi="Times New Roman CE"/>
                <w:b/>
                <w:bCs/>
                <w:sz w:val="20"/>
                <w:szCs w:val="20"/>
              </w:rPr>
              <w:t>6.1. Publicaţii în ţară</w:t>
            </w:r>
          </w:p>
        </w:tc>
        <w:tc>
          <w:tcPr>
            <w:tcW w:w="37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rPr>
            </w:pPr>
            <w:r>
              <w:rPr>
                <w:sz w:val="20"/>
                <w:szCs w:val="20"/>
              </w:rPr>
            </w:r>
          </w:p>
        </w:tc>
      </w:tr>
      <w:tr>
        <w:trPr>
          <w:trHeight w:val="131"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6.1.1.</w:t>
            </w:r>
          </w:p>
        </w:tc>
        <w:tc>
          <w:tcPr>
            <w:tcW w:w="8840" w:type="dxa"/>
            <w:gridSpan w:val="3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pPr>
            <w:r>
              <w:rPr>
                <w:sz w:val="20"/>
                <w:szCs w:val="20"/>
              </w:rPr>
              <w:t>Monografii</w:t>
            </w:r>
          </w:p>
        </w:tc>
        <w:tc>
          <w:tcPr>
            <w:tcW w:w="746"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 </w:t>
            </w:r>
          </w:p>
        </w:tc>
        <w:tc>
          <w:tcPr>
            <w:tcW w:w="3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rPr>
            </w:pPr>
            <w:r>
              <w:rPr>
                <w:sz w:val="20"/>
                <w:szCs w:val="20"/>
              </w:rPr>
            </w:r>
          </w:p>
        </w:tc>
      </w:tr>
      <w:tr>
        <w:trPr>
          <w:trHeight w:val="178"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6.1.2.</w:t>
            </w:r>
          </w:p>
        </w:tc>
        <w:tc>
          <w:tcPr>
            <w:tcW w:w="8840" w:type="dxa"/>
            <w:gridSpan w:val="3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pPr>
            <w:r>
              <w:rPr>
                <w:sz w:val="20"/>
                <w:szCs w:val="20"/>
              </w:rPr>
              <w:t xml:space="preserve">Capitole în monografii </w:t>
            </w:r>
          </w:p>
        </w:tc>
        <w:tc>
          <w:tcPr>
            <w:tcW w:w="746"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 </w:t>
            </w:r>
          </w:p>
        </w:tc>
        <w:tc>
          <w:tcPr>
            <w:tcW w:w="3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rPr>
            </w:pPr>
            <w:r>
              <w:rPr>
                <w:sz w:val="20"/>
                <w:szCs w:val="20"/>
              </w:rPr>
            </w:r>
          </w:p>
        </w:tc>
      </w:tr>
      <w:tr>
        <w:trPr>
          <w:trHeight w:val="223"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6.1.3.</w:t>
            </w:r>
          </w:p>
        </w:tc>
        <w:tc>
          <w:tcPr>
            <w:tcW w:w="8840" w:type="dxa"/>
            <w:gridSpan w:val="3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rPr>
              <w:t>Articole în reviste naţionale, categoria A</w:t>
            </w:r>
          </w:p>
        </w:tc>
        <w:tc>
          <w:tcPr>
            <w:tcW w:w="746"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ro-RO"/>
              </w:rPr>
            </w:pPr>
            <w:r>
              <w:rPr>
                <w:sz w:val="20"/>
                <w:szCs w:val="20"/>
                <w:lang w:val="ro-RO"/>
              </w:rPr>
              <w:t>7</w:t>
            </w:r>
          </w:p>
        </w:tc>
        <w:tc>
          <w:tcPr>
            <w:tcW w:w="3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rPr>
            </w:pPr>
            <w:r>
              <w:rPr>
                <w:sz w:val="20"/>
                <w:szCs w:val="20"/>
              </w:rPr>
            </w:r>
          </w:p>
        </w:tc>
      </w:tr>
      <w:tr>
        <w:trPr>
          <w:trHeight w:val="270"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6.1.4.</w:t>
            </w:r>
          </w:p>
        </w:tc>
        <w:tc>
          <w:tcPr>
            <w:tcW w:w="8840" w:type="dxa"/>
            <w:gridSpan w:val="3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rPr>
              <w:t>Articole în reviste naţionale, categoria B</w:t>
            </w:r>
          </w:p>
        </w:tc>
        <w:tc>
          <w:tcPr>
            <w:tcW w:w="746"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rPr>
              <w:t>3</w:t>
            </w:r>
          </w:p>
        </w:tc>
        <w:tc>
          <w:tcPr>
            <w:tcW w:w="3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rPr>
            </w:pPr>
            <w:r>
              <w:rPr>
                <w:sz w:val="20"/>
                <w:szCs w:val="20"/>
              </w:rPr>
            </w:r>
          </w:p>
        </w:tc>
      </w:tr>
      <w:tr>
        <w:trPr>
          <w:trHeight w:val="270" w:hRule="atLeast"/>
        </w:trPr>
        <w:tc>
          <w:tcPr>
            <w:tcW w:w="76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6.1.5.</w:t>
            </w:r>
          </w:p>
        </w:tc>
        <w:tc>
          <w:tcPr>
            <w:tcW w:w="76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rPr>
              <w:t>Articole în reviste naţionale, categoria C</w:t>
            </w:r>
          </w:p>
        </w:tc>
        <w:tc>
          <w:tcPr>
            <w:tcW w:w="9197" w:type="dxa"/>
            <w:gridSpan w:val="4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rPr>
              <w:t> </w:t>
            </w:r>
          </w:p>
        </w:tc>
      </w:tr>
      <w:tr>
        <w:trPr>
          <w:trHeight w:val="270" w:hRule="atLeast"/>
        </w:trPr>
        <w:tc>
          <w:tcPr>
            <w:tcW w:w="76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rPr>
              <w:t> </w:t>
            </w:r>
          </w:p>
        </w:tc>
        <w:tc>
          <w:tcPr>
            <w:tcW w:w="76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rPr>
              <w:t xml:space="preserve">   </w:t>
            </w:r>
            <w:r>
              <w:rPr>
                <w:rFonts w:cs="Times New Roman CE" w:ascii="Times New Roman CE" w:hAnsi="Times New Roman CE"/>
                <w:sz w:val="20"/>
                <w:szCs w:val="20"/>
                <w:lang w:val="fr-FR"/>
              </w:rPr>
              <w:t>inclusiv articole în reviste naţionale (A, B, C) cu autori de peste hotare</w:t>
            </w:r>
          </w:p>
        </w:tc>
        <w:tc>
          <w:tcPr>
            <w:tcW w:w="9197" w:type="dxa"/>
            <w:gridSpan w:val="4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rPr>
              <w:t> </w:t>
            </w:r>
          </w:p>
        </w:tc>
      </w:tr>
      <w:tr>
        <w:trPr>
          <w:trHeight w:val="270" w:hRule="atLeast"/>
        </w:trPr>
        <w:tc>
          <w:tcPr>
            <w:tcW w:w="76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6.1.6.</w:t>
            </w:r>
          </w:p>
        </w:tc>
        <w:tc>
          <w:tcPr>
            <w:tcW w:w="76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pPr>
            <w:r>
              <w:rPr>
                <w:sz w:val="20"/>
                <w:szCs w:val="20"/>
              </w:rPr>
              <w:t>Articole în culegeri</w:t>
            </w:r>
          </w:p>
        </w:tc>
        <w:tc>
          <w:tcPr>
            <w:tcW w:w="9197" w:type="dxa"/>
            <w:gridSpan w:val="4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rPr>
              <w:t>3</w:t>
            </w:r>
          </w:p>
        </w:tc>
      </w:tr>
      <w:tr>
        <w:trPr>
          <w:trHeight w:val="270" w:hRule="atLeast"/>
        </w:trPr>
        <w:tc>
          <w:tcPr>
            <w:tcW w:w="76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6.1.7.</w:t>
            </w:r>
          </w:p>
        </w:tc>
        <w:tc>
          <w:tcPr>
            <w:tcW w:w="76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pPr>
            <w:r>
              <w:rPr>
                <w:rFonts w:cs="Times New Roman CE" w:ascii="Times New Roman CE" w:hAnsi="Times New Roman CE"/>
                <w:sz w:val="20"/>
                <w:szCs w:val="20"/>
              </w:rPr>
              <w:t>Publicaţii ştiinţifice electronice</w:t>
            </w:r>
          </w:p>
        </w:tc>
        <w:tc>
          <w:tcPr>
            <w:tcW w:w="9197" w:type="dxa"/>
            <w:gridSpan w:val="4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r>
      <w:tr>
        <w:trPr>
          <w:trHeight w:val="270" w:hRule="atLeast"/>
        </w:trPr>
        <w:tc>
          <w:tcPr>
            <w:tcW w:w="766"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6.1.8.</w:t>
            </w:r>
          </w:p>
        </w:tc>
        <w:tc>
          <w:tcPr>
            <w:tcW w:w="766"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pPr>
            <w:r>
              <w:rPr>
                <w:rFonts w:cs="Times New Roman CE" w:ascii="Times New Roman CE" w:hAnsi="Times New Roman CE"/>
                <w:sz w:val="20"/>
                <w:szCs w:val="20"/>
              </w:rPr>
              <w:t>Rezumate la conferinţe</w:t>
            </w:r>
          </w:p>
        </w:tc>
        <w:tc>
          <w:tcPr>
            <w:tcW w:w="9197" w:type="dxa"/>
            <w:gridSpan w:val="4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 </w:t>
            </w:r>
            <w:r>
              <w:rPr>
                <w:sz w:val="20"/>
                <w:szCs w:val="20"/>
                <w:lang w:val="en-US"/>
              </w:rPr>
              <w:t>3</w:t>
            </w:r>
          </w:p>
        </w:tc>
      </w:tr>
      <w:tr>
        <w:trPr>
          <w:trHeight w:val="270"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6.1.9.</w:t>
            </w:r>
          </w:p>
        </w:tc>
        <w:tc>
          <w:tcPr>
            <w:tcW w:w="8840" w:type="dxa"/>
            <w:gridSpan w:val="3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pPr>
            <w:r>
              <w:rPr>
                <w:sz w:val="20"/>
                <w:szCs w:val="20"/>
              </w:rPr>
              <w:t>Pre</w:t>
            </w:r>
            <w:r>
              <w:rPr>
                <w:rFonts w:cs="Times New Roman CE" w:ascii="Times New Roman CE" w:hAnsi="Times New Roman CE"/>
                <w:sz w:val="20"/>
                <w:szCs w:val="20"/>
              </w:rPr>
              <w:t>print-uri naţionale</w:t>
            </w:r>
          </w:p>
        </w:tc>
        <w:tc>
          <w:tcPr>
            <w:tcW w:w="746"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 </w:t>
            </w:r>
          </w:p>
        </w:tc>
        <w:tc>
          <w:tcPr>
            <w:tcW w:w="3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rPr>
            </w:pPr>
            <w:r>
              <w:rPr>
                <w:sz w:val="20"/>
                <w:szCs w:val="20"/>
              </w:rPr>
            </w:r>
          </w:p>
        </w:tc>
      </w:tr>
      <w:tr>
        <w:trPr>
          <w:trHeight w:val="270"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6.1.10.</w:t>
            </w:r>
          </w:p>
        </w:tc>
        <w:tc>
          <w:tcPr>
            <w:tcW w:w="8840" w:type="dxa"/>
            <w:gridSpan w:val="3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rPr>
              <w:t>Alte publicaţii ştiinţifice (de indicat)</w:t>
            </w:r>
          </w:p>
        </w:tc>
        <w:tc>
          <w:tcPr>
            <w:tcW w:w="746"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rPr>
              <w:t> </w:t>
            </w:r>
            <w:r>
              <w:rPr>
                <w:sz w:val="20"/>
                <w:szCs w:val="20"/>
                <w:lang w:val="fr-FR"/>
              </w:rPr>
              <w:t>1</w:t>
            </w:r>
          </w:p>
        </w:tc>
        <w:tc>
          <w:tcPr>
            <w:tcW w:w="3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lang w:val="fr-FR"/>
              </w:rPr>
            </w:pPr>
            <w:r>
              <w:rPr>
                <w:sz w:val="20"/>
                <w:szCs w:val="20"/>
                <w:lang w:val="fr-FR"/>
              </w:rPr>
            </w:r>
          </w:p>
        </w:tc>
      </w:tr>
      <w:tr>
        <w:trPr>
          <w:trHeight w:val="167"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rPr>
              <w:t> </w:t>
            </w:r>
          </w:p>
        </w:tc>
        <w:tc>
          <w:tcPr>
            <w:tcW w:w="9585" w:type="dxa"/>
            <w:gridSpan w:val="4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CCFFCC"/>
            <w:tcMar>
              <w:left w:w="103" w:type="dxa"/>
            </w:tcMar>
            <w:vAlign w:val="bottom"/>
          </w:tcPr>
          <w:p>
            <w:pPr>
              <w:pStyle w:val="Normal"/>
              <w:widowControl/>
              <w:bidi w:val="0"/>
              <w:ind w:left="0" w:right="0" w:hanging="0"/>
              <w:jc w:val="left"/>
              <w:textAlignment w:val="auto"/>
              <w:rPr/>
            </w:pPr>
            <w:r>
              <w:rPr>
                <w:rFonts w:cs="Times New Roman CE" w:ascii="Times New Roman CE" w:hAnsi="Times New Roman CE"/>
                <w:b/>
                <w:bCs/>
                <w:sz w:val="20"/>
                <w:szCs w:val="20"/>
              </w:rPr>
              <w:t>6.2. Impactul şi relevanţa ştiinţifică</w:t>
            </w:r>
          </w:p>
        </w:tc>
        <w:tc>
          <w:tcPr>
            <w:tcW w:w="37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rPr>
            </w:pPr>
            <w:r>
              <w:rPr>
                <w:sz w:val="20"/>
                <w:szCs w:val="20"/>
              </w:rPr>
            </w:r>
          </w:p>
        </w:tc>
      </w:tr>
      <w:tr>
        <w:trPr>
          <w:trHeight w:val="199"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6.2.1.</w:t>
            </w:r>
          </w:p>
        </w:tc>
        <w:tc>
          <w:tcPr>
            <w:tcW w:w="8840" w:type="dxa"/>
            <w:gridSpan w:val="3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rPr>
              <w:t>Premiul National, obţinut în perioada evaluată</w:t>
            </w:r>
          </w:p>
        </w:tc>
        <w:tc>
          <w:tcPr>
            <w:tcW w:w="746"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rPr>
              <w:t> </w:t>
            </w:r>
          </w:p>
        </w:tc>
        <w:tc>
          <w:tcPr>
            <w:tcW w:w="3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lang w:val="en-US"/>
              </w:rPr>
            </w:pPr>
            <w:r>
              <w:rPr>
                <w:sz w:val="20"/>
                <w:szCs w:val="20"/>
                <w:lang w:val="en-US"/>
              </w:rPr>
            </w:r>
          </w:p>
        </w:tc>
      </w:tr>
      <w:tr>
        <w:trPr>
          <w:trHeight w:val="245"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6.2.2.</w:t>
            </w:r>
          </w:p>
        </w:tc>
        <w:tc>
          <w:tcPr>
            <w:tcW w:w="8840" w:type="dxa"/>
            <w:gridSpan w:val="3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sz w:val="20"/>
                <w:szCs w:val="20"/>
                <w:lang w:val="fr-FR"/>
              </w:rPr>
              <w:t>Premiile Savantul anului, Tinarul Savant al anului</w:t>
            </w:r>
          </w:p>
        </w:tc>
        <w:tc>
          <w:tcPr>
            <w:tcW w:w="746"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rPr>
              <w:t> </w:t>
            </w:r>
          </w:p>
        </w:tc>
        <w:tc>
          <w:tcPr>
            <w:tcW w:w="3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lang w:val="fr-FR"/>
              </w:rPr>
            </w:pPr>
            <w:r>
              <w:rPr>
                <w:sz w:val="20"/>
                <w:szCs w:val="20"/>
                <w:lang w:val="fr-FR"/>
              </w:rPr>
            </w:r>
          </w:p>
        </w:tc>
      </w:tr>
      <w:tr>
        <w:trPr>
          <w:trHeight w:val="135"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6.2.3.</w:t>
            </w:r>
          </w:p>
        </w:tc>
        <w:tc>
          <w:tcPr>
            <w:tcW w:w="8840" w:type="dxa"/>
            <w:gridSpan w:val="3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sz w:val="20"/>
                <w:szCs w:val="20"/>
                <w:lang w:val="en-US"/>
              </w:rPr>
              <w:t>Premiile Acad</w:t>
            </w:r>
            <w:r>
              <w:rPr>
                <w:rFonts w:cs="Times New Roman CE" w:ascii="Times New Roman CE" w:hAnsi="Times New Roman CE"/>
                <w:sz w:val="20"/>
                <w:szCs w:val="20"/>
                <w:lang w:val="en-US"/>
              </w:rPr>
              <w:t xml:space="preserve">emiei de Ştiinţe a Moldovei, obţinute în perioada evaluată </w:t>
            </w:r>
          </w:p>
        </w:tc>
        <w:tc>
          <w:tcPr>
            <w:tcW w:w="746"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rPr>
              <w:t> </w:t>
            </w:r>
          </w:p>
        </w:tc>
        <w:tc>
          <w:tcPr>
            <w:tcW w:w="3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lang w:val="en-US"/>
              </w:rPr>
            </w:pPr>
            <w:r>
              <w:rPr>
                <w:sz w:val="20"/>
                <w:szCs w:val="20"/>
                <w:lang w:val="en-US"/>
              </w:rPr>
            </w:r>
          </w:p>
        </w:tc>
      </w:tr>
      <w:tr>
        <w:trPr>
          <w:trHeight w:val="180"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6.2.4.</w:t>
            </w:r>
          </w:p>
        </w:tc>
        <w:tc>
          <w:tcPr>
            <w:tcW w:w="8840" w:type="dxa"/>
            <w:gridSpan w:val="3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rPr>
              <w:t>Alte premii naţionale obţinute în perioada evaluată</w:t>
            </w:r>
          </w:p>
        </w:tc>
        <w:tc>
          <w:tcPr>
            <w:tcW w:w="746"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rPr>
              <w:t> </w:t>
            </w:r>
          </w:p>
        </w:tc>
        <w:tc>
          <w:tcPr>
            <w:tcW w:w="3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lang w:val="en-US"/>
              </w:rPr>
            </w:pPr>
            <w:r>
              <w:rPr>
                <w:sz w:val="20"/>
                <w:szCs w:val="20"/>
                <w:lang w:val="en-US"/>
              </w:rPr>
            </w:r>
          </w:p>
        </w:tc>
      </w:tr>
      <w:tr>
        <w:trPr>
          <w:trHeight w:val="227"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6.2.5.</w:t>
            </w:r>
          </w:p>
        </w:tc>
        <w:tc>
          <w:tcPr>
            <w:tcW w:w="8840" w:type="dxa"/>
            <w:gridSpan w:val="3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rPr>
              <w:t>Alte distincţii de apreciere a rezultatelor cercetărilor ştiinţifice</w:t>
            </w:r>
          </w:p>
        </w:tc>
        <w:tc>
          <w:tcPr>
            <w:tcW w:w="746"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rPr>
              <w:t> </w:t>
            </w:r>
          </w:p>
        </w:tc>
        <w:tc>
          <w:tcPr>
            <w:tcW w:w="3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lang w:val="en-US"/>
              </w:rPr>
            </w:pPr>
            <w:r>
              <w:rPr>
                <w:sz w:val="20"/>
                <w:szCs w:val="20"/>
                <w:lang w:val="en-US"/>
              </w:rPr>
            </w:r>
          </w:p>
        </w:tc>
      </w:tr>
      <w:tr>
        <w:trPr>
          <w:trHeight w:val="116"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6.2.6.</w:t>
            </w:r>
          </w:p>
        </w:tc>
        <w:tc>
          <w:tcPr>
            <w:tcW w:w="8840" w:type="dxa"/>
            <w:gridSpan w:val="3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rPr>
              <w:t xml:space="preserve">Menţiuni ale rezultatelor în presă şi ediţii </w:t>
            </w:r>
            <w:r>
              <w:rPr>
                <w:sz w:val="20"/>
                <w:szCs w:val="20"/>
                <w:lang w:val="en-US"/>
              </w:rPr>
              <w:t>electronice</w:t>
            </w:r>
          </w:p>
        </w:tc>
        <w:tc>
          <w:tcPr>
            <w:tcW w:w="746"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rPr>
              <w:t> </w:t>
            </w:r>
          </w:p>
        </w:tc>
        <w:tc>
          <w:tcPr>
            <w:tcW w:w="3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lang w:val="en-US"/>
              </w:rPr>
            </w:pPr>
            <w:r>
              <w:rPr>
                <w:sz w:val="20"/>
                <w:szCs w:val="20"/>
                <w:lang w:val="en-US"/>
              </w:rPr>
            </w:r>
          </w:p>
        </w:tc>
      </w:tr>
      <w:tr>
        <w:trPr>
          <w:trHeight w:val="163"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6.2.7.</w:t>
            </w:r>
          </w:p>
        </w:tc>
        <w:tc>
          <w:tcPr>
            <w:tcW w:w="8840" w:type="dxa"/>
            <w:gridSpan w:val="3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rPr>
              <w:t>Rapoarte, comunicari şi lecţii la invitaţie la conferinţe naţionale, seminare, cursuri de perfecţionare</w:t>
            </w:r>
          </w:p>
        </w:tc>
        <w:tc>
          <w:tcPr>
            <w:tcW w:w="746"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5</w:t>
            </w:r>
          </w:p>
        </w:tc>
        <w:tc>
          <w:tcPr>
            <w:tcW w:w="3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rPr>
            </w:pPr>
            <w:r>
              <w:rPr>
                <w:sz w:val="20"/>
                <w:szCs w:val="20"/>
              </w:rPr>
            </w:r>
          </w:p>
        </w:tc>
      </w:tr>
      <w:tr>
        <w:trPr>
          <w:trHeight w:val="209"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6.2.8.</w:t>
            </w:r>
          </w:p>
        </w:tc>
        <w:tc>
          <w:tcPr>
            <w:tcW w:w="8840" w:type="dxa"/>
            <w:gridSpan w:val="3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sz w:val="20"/>
                <w:szCs w:val="20"/>
                <w:lang w:val="fr-FR"/>
              </w:rPr>
              <w:t xml:space="preserve">Medalii </w:t>
            </w:r>
            <w:r>
              <w:rPr>
                <w:b/>
                <w:bCs/>
                <w:sz w:val="20"/>
                <w:szCs w:val="20"/>
                <w:lang w:val="fr-FR"/>
              </w:rPr>
              <w:t xml:space="preserve">de aur </w:t>
            </w:r>
            <w:r>
              <w:rPr>
                <w:rFonts w:cs="Times New Roman CE" w:ascii="Times New Roman CE" w:hAnsi="Times New Roman CE"/>
                <w:sz w:val="20"/>
                <w:szCs w:val="20"/>
                <w:lang w:val="fr-FR"/>
              </w:rPr>
              <w:t>obţinute la expoziţii naţionale</w:t>
            </w:r>
          </w:p>
        </w:tc>
        <w:tc>
          <w:tcPr>
            <w:tcW w:w="746"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rPr>
              <w:t> </w:t>
            </w:r>
          </w:p>
        </w:tc>
        <w:tc>
          <w:tcPr>
            <w:tcW w:w="3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lang w:val="fr-FR"/>
              </w:rPr>
            </w:pPr>
            <w:r>
              <w:rPr>
                <w:sz w:val="20"/>
                <w:szCs w:val="20"/>
                <w:lang w:val="fr-FR"/>
              </w:rPr>
            </w:r>
          </w:p>
        </w:tc>
      </w:tr>
      <w:tr>
        <w:trPr>
          <w:trHeight w:val="113"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6.2.9.</w:t>
            </w:r>
          </w:p>
        </w:tc>
        <w:tc>
          <w:tcPr>
            <w:tcW w:w="8840" w:type="dxa"/>
            <w:gridSpan w:val="3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sz w:val="20"/>
                <w:szCs w:val="20"/>
                <w:lang w:val="fr-FR"/>
              </w:rPr>
              <w:t xml:space="preserve">Medalii </w:t>
            </w:r>
            <w:r>
              <w:rPr>
                <w:b/>
                <w:bCs/>
                <w:sz w:val="20"/>
                <w:szCs w:val="20"/>
                <w:lang w:val="fr-FR"/>
              </w:rPr>
              <w:t>de argint</w:t>
            </w:r>
            <w:r>
              <w:rPr>
                <w:rFonts w:cs="Times New Roman CE" w:ascii="Times New Roman CE" w:hAnsi="Times New Roman CE"/>
                <w:sz w:val="20"/>
                <w:szCs w:val="20"/>
                <w:lang w:val="fr-FR"/>
              </w:rPr>
              <w:t xml:space="preserve"> obţinute la expoziţii naţionale</w:t>
            </w:r>
          </w:p>
        </w:tc>
        <w:tc>
          <w:tcPr>
            <w:tcW w:w="746"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rPr>
              <w:t> </w:t>
            </w:r>
          </w:p>
        </w:tc>
        <w:tc>
          <w:tcPr>
            <w:tcW w:w="3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lang w:val="fr-FR"/>
              </w:rPr>
            </w:pPr>
            <w:r>
              <w:rPr>
                <w:sz w:val="20"/>
                <w:szCs w:val="20"/>
                <w:lang w:val="fr-FR"/>
              </w:rPr>
            </w:r>
          </w:p>
        </w:tc>
      </w:tr>
      <w:tr>
        <w:trPr>
          <w:trHeight w:val="159"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6.2.10.</w:t>
            </w:r>
          </w:p>
        </w:tc>
        <w:tc>
          <w:tcPr>
            <w:tcW w:w="8840" w:type="dxa"/>
            <w:gridSpan w:val="3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sz w:val="20"/>
                <w:szCs w:val="20"/>
                <w:lang w:val="fr-FR"/>
              </w:rPr>
              <w:t xml:space="preserve">Medalii </w:t>
            </w:r>
            <w:r>
              <w:rPr>
                <w:b/>
                <w:bCs/>
                <w:sz w:val="20"/>
                <w:szCs w:val="20"/>
                <w:lang w:val="fr-FR"/>
              </w:rPr>
              <w:t>de bronz</w:t>
            </w:r>
            <w:r>
              <w:rPr>
                <w:rFonts w:cs="Times New Roman CE" w:ascii="Times New Roman CE" w:hAnsi="Times New Roman CE"/>
                <w:sz w:val="20"/>
                <w:szCs w:val="20"/>
                <w:lang w:val="fr-FR"/>
              </w:rPr>
              <w:t xml:space="preserve"> obţinute la expoziţii naţionale</w:t>
            </w:r>
          </w:p>
        </w:tc>
        <w:tc>
          <w:tcPr>
            <w:tcW w:w="746"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rPr>
              <w:t> </w:t>
            </w:r>
          </w:p>
        </w:tc>
        <w:tc>
          <w:tcPr>
            <w:tcW w:w="3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lang w:val="fr-FR"/>
              </w:rPr>
            </w:pPr>
            <w:r>
              <w:rPr>
                <w:sz w:val="20"/>
                <w:szCs w:val="20"/>
                <w:lang w:val="fr-FR"/>
              </w:rPr>
            </w:r>
          </w:p>
        </w:tc>
      </w:tr>
      <w:tr>
        <w:trPr>
          <w:trHeight w:val="204"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6.2.11.</w:t>
            </w:r>
          </w:p>
        </w:tc>
        <w:tc>
          <w:tcPr>
            <w:tcW w:w="8840" w:type="dxa"/>
            <w:gridSpan w:val="3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rPr>
              <w:t>Diplome obţinute la expoziţii naţionale</w:t>
            </w:r>
          </w:p>
        </w:tc>
        <w:tc>
          <w:tcPr>
            <w:tcW w:w="746"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rPr>
              <w:t> </w:t>
            </w:r>
          </w:p>
        </w:tc>
        <w:tc>
          <w:tcPr>
            <w:tcW w:w="3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lang w:val="fr-FR"/>
              </w:rPr>
            </w:pPr>
            <w:r>
              <w:rPr>
                <w:sz w:val="20"/>
                <w:szCs w:val="20"/>
                <w:lang w:val="fr-FR"/>
              </w:rPr>
            </w:r>
          </w:p>
        </w:tc>
      </w:tr>
      <w:tr>
        <w:trPr>
          <w:trHeight w:val="201"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rPr>
              <w:t> </w:t>
            </w:r>
          </w:p>
        </w:tc>
        <w:tc>
          <w:tcPr>
            <w:tcW w:w="9585" w:type="dxa"/>
            <w:gridSpan w:val="4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CCFFCC"/>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b/>
                <w:bCs/>
                <w:sz w:val="20"/>
                <w:szCs w:val="20"/>
                <w:lang w:val="fr-FR"/>
              </w:rPr>
              <w:t>6.3. Apreciere naţională şi antrenare în activităţi conexe cercetării</w:t>
            </w:r>
          </w:p>
        </w:tc>
        <w:tc>
          <w:tcPr>
            <w:tcW w:w="37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lang w:val="fr-FR"/>
              </w:rPr>
            </w:pPr>
            <w:r>
              <w:rPr>
                <w:sz w:val="20"/>
                <w:szCs w:val="20"/>
                <w:lang w:val="fr-FR"/>
              </w:rPr>
            </w:r>
          </w:p>
        </w:tc>
      </w:tr>
      <w:tr>
        <w:trPr>
          <w:trHeight w:val="140"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6.3.1.</w:t>
            </w:r>
          </w:p>
        </w:tc>
        <w:tc>
          <w:tcPr>
            <w:tcW w:w="8840" w:type="dxa"/>
            <w:gridSpan w:val="3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rPr>
              <w:t>Academician A.Ş.M ales în perioada evaluată</w:t>
            </w:r>
          </w:p>
        </w:tc>
        <w:tc>
          <w:tcPr>
            <w:tcW w:w="746"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rPr>
              <w:t> </w:t>
            </w:r>
          </w:p>
        </w:tc>
        <w:tc>
          <w:tcPr>
            <w:tcW w:w="3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lang w:val="en-US"/>
              </w:rPr>
            </w:pPr>
            <w:r>
              <w:rPr>
                <w:sz w:val="20"/>
                <w:szCs w:val="20"/>
                <w:lang w:val="en-US"/>
              </w:rPr>
            </w:r>
          </w:p>
        </w:tc>
      </w:tr>
      <w:tr>
        <w:trPr>
          <w:trHeight w:val="187"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6.3.2.</w:t>
            </w:r>
          </w:p>
        </w:tc>
        <w:tc>
          <w:tcPr>
            <w:tcW w:w="8840" w:type="dxa"/>
            <w:gridSpan w:val="3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sz w:val="20"/>
                <w:szCs w:val="20"/>
                <w:lang w:val="en-US"/>
              </w:rPr>
              <w:t>Membru corespondent a</w:t>
            </w:r>
            <w:r>
              <w:rPr>
                <w:rFonts w:cs="Times New Roman CE" w:ascii="Times New Roman CE" w:hAnsi="Times New Roman CE"/>
                <w:sz w:val="20"/>
                <w:szCs w:val="20"/>
                <w:lang w:val="en-US"/>
              </w:rPr>
              <w:t>l A.Ş.M. ales în perioada evaluată</w:t>
            </w:r>
          </w:p>
        </w:tc>
        <w:tc>
          <w:tcPr>
            <w:tcW w:w="746"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rPr>
              <w:t> </w:t>
            </w:r>
          </w:p>
        </w:tc>
        <w:tc>
          <w:tcPr>
            <w:tcW w:w="3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lang w:val="en-US"/>
              </w:rPr>
            </w:pPr>
            <w:r>
              <w:rPr>
                <w:sz w:val="20"/>
                <w:szCs w:val="20"/>
                <w:lang w:val="en-US"/>
              </w:rPr>
            </w:r>
          </w:p>
        </w:tc>
      </w:tr>
      <w:tr>
        <w:trPr>
          <w:trHeight w:val="233"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6.3.3.</w:t>
            </w:r>
          </w:p>
        </w:tc>
        <w:tc>
          <w:tcPr>
            <w:tcW w:w="8840" w:type="dxa"/>
            <w:gridSpan w:val="3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rPr>
              <w:t>Doctor Honoris Cauza conferit în perioada evaluată</w:t>
            </w:r>
          </w:p>
        </w:tc>
        <w:tc>
          <w:tcPr>
            <w:tcW w:w="746"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rPr>
              <w:t> </w:t>
            </w:r>
          </w:p>
        </w:tc>
        <w:tc>
          <w:tcPr>
            <w:tcW w:w="3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lang w:val="en-US"/>
              </w:rPr>
            </w:pPr>
            <w:r>
              <w:rPr>
                <w:sz w:val="20"/>
                <w:szCs w:val="20"/>
                <w:lang w:val="en-US"/>
              </w:rPr>
            </w:r>
          </w:p>
        </w:tc>
      </w:tr>
      <w:tr>
        <w:trPr>
          <w:trHeight w:val="136"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6.3.4.</w:t>
            </w:r>
          </w:p>
        </w:tc>
        <w:tc>
          <w:tcPr>
            <w:tcW w:w="8840" w:type="dxa"/>
            <w:gridSpan w:val="3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rPr>
              <w:t>Doctor habilitat conferit în perioada evaluată</w:t>
            </w:r>
          </w:p>
        </w:tc>
        <w:tc>
          <w:tcPr>
            <w:tcW w:w="746"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rPr>
              <w:t> </w:t>
            </w:r>
          </w:p>
        </w:tc>
        <w:tc>
          <w:tcPr>
            <w:tcW w:w="3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lang w:val="en-US"/>
              </w:rPr>
            </w:pPr>
            <w:r>
              <w:rPr>
                <w:sz w:val="20"/>
                <w:szCs w:val="20"/>
                <w:lang w:val="en-US"/>
              </w:rPr>
            </w:r>
          </w:p>
        </w:tc>
      </w:tr>
      <w:tr>
        <w:trPr>
          <w:trHeight w:val="183"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6.3.5.</w:t>
            </w:r>
          </w:p>
        </w:tc>
        <w:tc>
          <w:tcPr>
            <w:tcW w:w="8840" w:type="dxa"/>
            <w:gridSpan w:val="3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rPr>
              <w:t>Doctor conferit în perioada evaluată</w:t>
            </w:r>
          </w:p>
        </w:tc>
        <w:tc>
          <w:tcPr>
            <w:tcW w:w="746"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rPr>
              <w:t> </w:t>
            </w:r>
          </w:p>
        </w:tc>
        <w:tc>
          <w:tcPr>
            <w:tcW w:w="3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lang w:val="en-US"/>
              </w:rPr>
            </w:pPr>
            <w:r>
              <w:rPr>
                <w:sz w:val="20"/>
                <w:szCs w:val="20"/>
                <w:lang w:val="en-US"/>
              </w:rPr>
            </w:r>
          </w:p>
        </w:tc>
      </w:tr>
      <w:tr>
        <w:trPr>
          <w:trHeight w:val="172"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6.3.6.</w:t>
            </w:r>
          </w:p>
        </w:tc>
        <w:tc>
          <w:tcPr>
            <w:tcW w:w="8840" w:type="dxa"/>
            <w:gridSpan w:val="3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rPr>
              <w:t>Profesor universitar (profesor cercetător) conferit în perioada evaluată</w:t>
            </w:r>
          </w:p>
        </w:tc>
        <w:tc>
          <w:tcPr>
            <w:tcW w:w="746"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rPr>
              <w:t> </w:t>
            </w:r>
          </w:p>
        </w:tc>
        <w:tc>
          <w:tcPr>
            <w:tcW w:w="3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lang w:val="en-US"/>
              </w:rPr>
            </w:pPr>
            <w:r>
              <w:rPr>
                <w:sz w:val="20"/>
                <w:szCs w:val="20"/>
                <w:lang w:val="en-US"/>
              </w:rPr>
            </w:r>
          </w:p>
        </w:tc>
      </w:tr>
      <w:tr>
        <w:trPr>
          <w:trHeight w:val="261"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6.3.7.</w:t>
            </w:r>
          </w:p>
        </w:tc>
        <w:tc>
          <w:tcPr>
            <w:tcW w:w="8840" w:type="dxa"/>
            <w:gridSpan w:val="3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rPr>
              <w:t>Conferenţiar universitar (conferenţiar cercetător) conferit în perioada evaluată</w:t>
            </w:r>
          </w:p>
        </w:tc>
        <w:tc>
          <w:tcPr>
            <w:tcW w:w="746"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rPr>
              <w:t> </w:t>
            </w:r>
          </w:p>
        </w:tc>
        <w:tc>
          <w:tcPr>
            <w:tcW w:w="3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lang w:val="en-US"/>
              </w:rPr>
            </w:pPr>
            <w:r>
              <w:rPr>
                <w:sz w:val="20"/>
                <w:szCs w:val="20"/>
                <w:lang w:val="en-US"/>
              </w:rPr>
            </w:r>
          </w:p>
        </w:tc>
      </w:tr>
      <w:tr>
        <w:trPr>
          <w:trHeight w:val="136"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6.3.8.</w:t>
            </w:r>
          </w:p>
        </w:tc>
        <w:tc>
          <w:tcPr>
            <w:tcW w:w="8840" w:type="dxa"/>
            <w:gridSpan w:val="3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rPr>
              <w:t xml:space="preserve">Redactor-şef al unei reviste de specialitate cotate CSŞDT şi CNAA </w:t>
            </w:r>
          </w:p>
        </w:tc>
        <w:tc>
          <w:tcPr>
            <w:tcW w:w="746"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rPr>
              <w:t> </w:t>
            </w:r>
          </w:p>
        </w:tc>
        <w:tc>
          <w:tcPr>
            <w:tcW w:w="3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lang w:val="en-US"/>
              </w:rPr>
            </w:pPr>
            <w:r>
              <w:rPr>
                <w:sz w:val="20"/>
                <w:szCs w:val="20"/>
                <w:lang w:val="en-US"/>
              </w:rPr>
            </w:r>
          </w:p>
        </w:tc>
      </w:tr>
      <w:tr>
        <w:trPr>
          <w:trHeight w:val="183"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6.3.9.</w:t>
            </w:r>
          </w:p>
        </w:tc>
        <w:tc>
          <w:tcPr>
            <w:tcW w:w="8840" w:type="dxa"/>
            <w:gridSpan w:val="3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rPr>
              <w:t xml:space="preserve">Membru al colegiului de redacţie al revistelor cotate CSŞDT şi CNAA </w:t>
            </w:r>
          </w:p>
        </w:tc>
        <w:tc>
          <w:tcPr>
            <w:tcW w:w="746"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9</w:t>
            </w:r>
          </w:p>
        </w:tc>
        <w:tc>
          <w:tcPr>
            <w:tcW w:w="3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rPr>
            </w:pPr>
            <w:r>
              <w:rPr>
                <w:sz w:val="20"/>
                <w:szCs w:val="20"/>
              </w:rPr>
            </w:r>
          </w:p>
        </w:tc>
      </w:tr>
      <w:tr>
        <w:trPr>
          <w:trHeight w:val="271"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6.3.10.</w:t>
            </w:r>
          </w:p>
        </w:tc>
        <w:tc>
          <w:tcPr>
            <w:tcW w:w="8840" w:type="dxa"/>
            <w:gridSpan w:val="3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rFonts w:cs="Times New Roman CE" w:ascii="Times New Roman CE" w:hAnsi="Times New Roman CE"/>
                <w:sz w:val="20"/>
                <w:szCs w:val="20"/>
              </w:rPr>
              <w:t xml:space="preserve">Conducător al Programelor de Stat </w:t>
            </w:r>
          </w:p>
        </w:tc>
        <w:tc>
          <w:tcPr>
            <w:tcW w:w="746"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 </w:t>
            </w:r>
          </w:p>
        </w:tc>
        <w:tc>
          <w:tcPr>
            <w:tcW w:w="3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lang w:val="en-US"/>
              </w:rPr>
            </w:pPr>
            <w:r>
              <w:rPr>
                <w:sz w:val="20"/>
                <w:szCs w:val="20"/>
                <w:lang w:val="en-US"/>
              </w:rPr>
            </w:r>
          </w:p>
        </w:tc>
      </w:tr>
      <w:tr>
        <w:trPr>
          <w:trHeight w:val="119"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6.3.11.</w:t>
            </w:r>
          </w:p>
        </w:tc>
        <w:tc>
          <w:tcPr>
            <w:tcW w:w="8840" w:type="dxa"/>
            <w:gridSpan w:val="3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rPr>
              <w:t>Conducător al proiectului de cercetări fundamentale/aplicative</w:t>
            </w:r>
          </w:p>
        </w:tc>
        <w:tc>
          <w:tcPr>
            <w:tcW w:w="746"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1/0</w:t>
            </w:r>
          </w:p>
        </w:tc>
        <w:tc>
          <w:tcPr>
            <w:tcW w:w="3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rPr>
            </w:pPr>
            <w:r>
              <w:rPr>
                <w:sz w:val="20"/>
                <w:szCs w:val="20"/>
              </w:rPr>
            </w:r>
          </w:p>
        </w:tc>
      </w:tr>
      <w:tr>
        <w:trPr>
          <w:trHeight w:val="165"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6.3.12.</w:t>
            </w:r>
          </w:p>
        </w:tc>
        <w:tc>
          <w:tcPr>
            <w:tcW w:w="8840" w:type="dxa"/>
            <w:gridSpan w:val="3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rPr>
              <w:t xml:space="preserve">Preşedinte al Comitetului de program al manifestărilor ştiinţifici din naţionale </w:t>
            </w:r>
          </w:p>
        </w:tc>
        <w:tc>
          <w:tcPr>
            <w:tcW w:w="746"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rPr>
              <w:t> </w:t>
            </w:r>
          </w:p>
        </w:tc>
        <w:tc>
          <w:tcPr>
            <w:tcW w:w="3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lang w:val="fr-FR"/>
              </w:rPr>
            </w:pPr>
            <w:r>
              <w:rPr>
                <w:sz w:val="20"/>
                <w:szCs w:val="20"/>
                <w:lang w:val="fr-FR"/>
              </w:rPr>
            </w:r>
          </w:p>
        </w:tc>
      </w:tr>
      <w:tr>
        <w:trPr>
          <w:trHeight w:val="210"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6.3.13.</w:t>
            </w:r>
          </w:p>
        </w:tc>
        <w:tc>
          <w:tcPr>
            <w:tcW w:w="8840" w:type="dxa"/>
            <w:gridSpan w:val="3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sz w:val="20"/>
                <w:szCs w:val="20"/>
                <w:lang w:val="fr-FR"/>
              </w:rPr>
              <w:t>Membru al Co</w:t>
            </w:r>
            <w:r>
              <w:rPr>
                <w:rFonts w:cs="Times New Roman CE" w:ascii="Times New Roman CE" w:hAnsi="Times New Roman CE"/>
                <w:sz w:val="20"/>
                <w:szCs w:val="20"/>
                <w:lang w:val="fr-FR"/>
              </w:rPr>
              <w:t>mitetului de program al manifestărilor ştiinţifici din naţionale</w:t>
            </w:r>
          </w:p>
        </w:tc>
        <w:tc>
          <w:tcPr>
            <w:tcW w:w="746"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2</w:t>
            </w:r>
          </w:p>
        </w:tc>
        <w:tc>
          <w:tcPr>
            <w:tcW w:w="3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rPr>
            </w:pPr>
            <w:r>
              <w:rPr>
                <w:sz w:val="20"/>
                <w:szCs w:val="20"/>
              </w:rPr>
            </w:r>
          </w:p>
        </w:tc>
      </w:tr>
      <w:tr>
        <w:trPr>
          <w:trHeight w:val="257"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6.3.14.</w:t>
            </w:r>
          </w:p>
        </w:tc>
        <w:tc>
          <w:tcPr>
            <w:tcW w:w="8840" w:type="dxa"/>
            <w:gridSpan w:val="3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rFonts w:cs="Times New Roman CE" w:ascii="Times New Roman CE" w:hAnsi="Times New Roman CE"/>
                <w:sz w:val="20"/>
                <w:szCs w:val="20"/>
              </w:rPr>
              <w:t>Expert al CSŞDT sau CNAA</w:t>
            </w:r>
          </w:p>
        </w:tc>
        <w:tc>
          <w:tcPr>
            <w:tcW w:w="746"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1</w:t>
            </w:r>
          </w:p>
        </w:tc>
        <w:tc>
          <w:tcPr>
            <w:tcW w:w="3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rPr>
            </w:pPr>
            <w:r>
              <w:rPr>
                <w:sz w:val="20"/>
                <w:szCs w:val="20"/>
              </w:rPr>
            </w:r>
          </w:p>
        </w:tc>
      </w:tr>
      <w:tr>
        <w:trPr>
          <w:trHeight w:val="132"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6.3.15.</w:t>
            </w:r>
          </w:p>
        </w:tc>
        <w:tc>
          <w:tcPr>
            <w:tcW w:w="8840" w:type="dxa"/>
            <w:gridSpan w:val="3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rPr>
              <w:t>Expert al altor proiecte şi activităţi la nivel naţional</w:t>
            </w:r>
          </w:p>
        </w:tc>
        <w:tc>
          <w:tcPr>
            <w:tcW w:w="746"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rPr>
              <w:t> </w:t>
            </w:r>
          </w:p>
        </w:tc>
        <w:tc>
          <w:tcPr>
            <w:tcW w:w="3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lang w:val="fr-FR"/>
              </w:rPr>
            </w:pPr>
            <w:r>
              <w:rPr>
                <w:sz w:val="20"/>
                <w:szCs w:val="20"/>
                <w:lang w:val="fr-FR"/>
              </w:rPr>
            </w:r>
          </w:p>
        </w:tc>
      </w:tr>
      <w:tr>
        <w:trPr>
          <w:trHeight w:val="165"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6.3.16.</w:t>
            </w:r>
          </w:p>
        </w:tc>
        <w:tc>
          <w:tcPr>
            <w:tcW w:w="8840" w:type="dxa"/>
            <w:gridSpan w:val="3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rFonts w:cs="Times New Roman CE" w:ascii="Times New Roman CE" w:hAnsi="Times New Roman CE"/>
                <w:sz w:val="20"/>
                <w:szCs w:val="20"/>
              </w:rPr>
              <w:t>Preşedinte al Comisiei de acreditare a organizaţiei</w:t>
            </w:r>
          </w:p>
        </w:tc>
        <w:tc>
          <w:tcPr>
            <w:tcW w:w="746"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 </w:t>
            </w:r>
          </w:p>
        </w:tc>
        <w:tc>
          <w:tcPr>
            <w:tcW w:w="3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lang w:val="en-US"/>
              </w:rPr>
            </w:pPr>
            <w:r>
              <w:rPr>
                <w:sz w:val="20"/>
                <w:szCs w:val="20"/>
                <w:lang w:val="en-US"/>
              </w:rPr>
            </w:r>
          </w:p>
        </w:tc>
      </w:tr>
      <w:tr>
        <w:trPr>
          <w:trHeight w:val="70"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6.3.17.</w:t>
            </w:r>
          </w:p>
        </w:tc>
        <w:tc>
          <w:tcPr>
            <w:tcW w:w="8840" w:type="dxa"/>
            <w:gridSpan w:val="3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pPr>
            <w:r>
              <w:rPr>
                <w:sz w:val="20"/>
                <w:szCs w:val="20"/>
              </w:rPr>
              <w:t>Membru al Comisiei de acreditare a organizatiei</w:t>
            </w:r>
          </w:p>
        </w:tc>
        <w:tc>
          <w:tcPr>
            <w:tcW w:w="746"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 </w:t>
            </w:r>
          </w:p>
        </w:tc>
        <w:tc>
          <w:tcPr>
            <w:tcW w:w="3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lang w:val="en-US"/>
              </w:rPr>
            </w:pPr>
            <w:r>
              <w:rPr>
                <w:sz w:val="20"/>
                <w:szCs w:val="20"/>
                <w:lang w:val="en-US"/>
              </w:rPr>
            </w:r>
          </w:p>
        </w:tc>
      </w:tr>
      <w:tr>
        <w:trPr>
          <w:trHeight w:val="115"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6.3.18.</w:t>
            </w:r>
          </w:p>
        </w:tc>
        <w:tc>
          <w:tcPr>
            <w:tcW w:w="8840" w:type="dxa"/>
            <w:gridSpan w:val="3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sz w:val="20"/>
                <w:szCs w:val="20"/>
              </w:rPr>
              <w:t>Membru în Comisiile pentru decernarea premiilor de Stat a Republicii Moldova</w:t>
            </w:r>
          </w:p>
        </w:tc>
        <w:tc>
          <w:tcPr>
            <w:tcW w:w="746"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 </w:t>
            </w:r>
          </w:p>
        </w:tc>
        <w:tc>
          <w:tcPr>
            <w:tcW w:w="3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lang w:val="en-US"/>
              </w:rPr>
            </w:pPr>
            <w:r>
              <w:rPr>
                <w:sz w:val="20"/>
                <w:szCs w:val="20"/>
                <w:lang w:val="en-US"/>
              </w:rPr>
            </w:r>
          </w:p>
        </w:tc>
      </w:tr>
      <w:tr>
        <w:trPr>
          <w:trHeight w:val="161"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6.3.19.</w:t>
            </w:r>
          </w:p>
        </w:tc>
        <w:tc>
          <w:tcPr>
            <w:tcW w:w="8840" w:type="dxa"/>
            <w:gridSpan w:val="3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rFonts w:cs="Times New Roman CE" w:ascii="Times New Roman CE" w:hAnsi="Times New Roman CE"/>
                <w:sz w:val="20"/>
                <w:szCs w:val="20"/>
              </w:rPr>
              <w:t>Membru în Comisiile pentru decernarea premiilor A.Ş.M</w:t>
            </w:r>
          </w:p>
        </w:tc>
        <w:tc>
          <w:tcPr>
            <w:tcW w:w="746"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 </w:t>
            </w:r>
          </w:p>
        </w:tc>
        <w:tc>
          <w:tcPr>
            <w:tcW w:w="3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lang w:val="en-US"/>
              </w:rPr>
            </w:pPr>
            <w:r>
              <w:rPr>
                <w:sz w:val="20"/>
                <w:szCs w:val="20"/>
                <w:lang w:val="en-US"/>
              </w:rPr>
            </w:r>
          </w:p>
        </w:tc>
      </w:tr>
      <w:tr>
        <w:trPr>
          <w:trHeight w:val="206"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6.3.20.</w:t>
            </w:r>
          </w:p>
        </w:tc>
        <w:tc>
          <w:tcPr>
            <w:tcW w:w="8840" w:type="dxa"/>
            <w:gridSpan w:val="3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rFonts w:cs="Times New Roman CE" w:ascii="Times New Roman CE" w:hAnsi="Times New Roman CE"/>
                <w:sz w:val="20"/>
                <w:szCs w:val="20"/>
              </w:rPr>
              <w:t xml:space="preserve">Preşedinte al consiliilor ştiinţifice specializate de susţinere a tezelor de doctor habilitat </w:t>
            </w:r>
          </w:p>
        </w:tc>
        <w:tc>
          <w:tcPr>
            <w:tcW w:w="746"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 </w:t>
            </w:r>
          </w:p>
        </w:tc>
        <w:tc>
          <w:tcPr>
            <w:tcW w:w="3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lang w:val="en-US"/>
              </w:rPr>
            </w:pPr>
            <w:r>
              <w:rPr>
                <w:sz w:val="20"/>
                <w:szCs w:val="20"/>
                <w:lang w:val="en-US"/>
              </w:rPr>
            </w:r>
          </w:p>
        </w:tc>
      </w:tr>
      <w:tr>
        <w:trPr>
          <w:trHeight w:val="293"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6.3.21.</w:t>
            </w:r>
          </w:p>
        </w:tc>
        <w:tc>
          <w:tcPr>
            <w:tcW w:w="8840" w:type="dxa"/>
            <w:gridSpan w:val="3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rFonts w:cs="Times New Roman CE" w:ascii="Times New Roman CE" w:hAnsi="Times New Roman CE"/>
                <w:sz w:val="20"/>
                <w:szCs w:val="20"/>
              </w:rPr>
              <w:t>Secretar al consiliilor ştiinţifice specializate de susţinere a tezelor de doctor habilitat</w:t>
            </w:r>
          </w:p>
        </w:tc>
        <w:tc>
          <w:tcPr>
            <w:tcW w:w="746"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1</w:t>
            </w:r>
          </w:p>
        </w:tc>
        <w:tc>
          <w:tcPr>
            <w:tcW w:w="3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rPr>
            </w:pPr>
            <w:r>
              <w:rPr>
                <w:sz w:val="20"/>
                <w:szCs w:val="20"/>
              </w:rPr>
            </w:r>
          </w:p>
        </w:tc>
      </w:tr>
      <w:tr>
        <w:trPr>
          <w:trHeight w:val="128"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6.3.22.</w:t>
            </w:r>
          </w:p>
        </w:tc>
        <w:tc>
          <w:tcPr>
            <w:tcW w:w="8840" w:type="dxa"/>
            <w:gridSpan w:val="3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rFonts w:cs="Times New Roman CE" w:ascii="Times New Roman CE" w:hAnsi="Times New Roman CE"/>
                <w:sz w:val="20"/>
                <w:szCs w:val="20"/>
              </w:rPr>
              <w:t xml:space="preserve">Preşedinte al consiliilor ştiinţifice specializate de susţinere a tezelor de doctor </w:t>
            </w:r>
          </w:p>
        </w:tc>
        <w:tc>
          <w:tcPr>
            <w:tcW w:w="746"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1</w:t>
            </w:r>
          </w:p>
        </w:tc>
        <w:tc>
          <w:tcPr>
            <w:tcW w:w="3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rPr>
            </w:pPr>
            <w:r>
              <w:rPr>
                <w:sz w:val="20"/>
                <w:szCs w:val="20"/>
              </w:rPr>
            </w:r>
          </w:p>
        </w:tc>
      </w:tr>
      <w:tr>
        <w:trPr>
          <w:trHeight w:val="175"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6.3.23.</w:t>
            </w:r>
          </w:p>
        </w:tc>
        <w:tc>
          <w:tcPr>
            <w:tcW w:w="8840" w:type="dxa"/>
            <w:gridSpan w:val="3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sz w:val="20"/>
                <w:szCs w:val="20"/>
              </w:rPr>
              <w:t>Secretar</w:t>
            </w:r>
            <w:r>
              <w:rPr>
                <w:rFonts w:cs="Times New Roman CE" w:ascii="Times New Roman CE" w:hAnsi="Times New Roman CE"/>
                <w:sz w:val="20"/>
                <w:szCs w:val="20"/>
              </w:rPr>
              <w:t xml:space="preserve"> al consiliilor ştiinţifice specializate de susţinere a tezelor de doctor </w:t>
            </w:r>
          </w:p>
        </w:tc>
        <w:tc>
          <w:tcPr>
            <w:tcW w:w="746"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1</w:t>
            </w:r>
          </w:p>
        </w:tc>
        <w:tc>
          <w:tcPr>
            <w:tcW w:w="3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rPr>
            </w:pPr>
            <w:r>
              <w:rPr>
                <w:sz w:val="20"/>
                <w:szCs w:val="20"/>
              </w:rPr>
            </w:r>
          </w:p>
        </w:tc>
      </w:tr>
      <w:tr>
        <w:trPr>
          <w:trHeight w:val="221"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6.3.24.</w:t>
            </w:r>
          </w:p>
        </w:tc>
        <w:tc>
          <w:tcPr>
            <w:tcW w:w="8840" w:type="dxa"/>
            <w:gridSpan w:val="3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pPr>
            <w:r>
              <w:rPr>
                <w:rFonts w:cs="Times New Roman CE" w:ascii="Times New Roman CE" w:hAnsi="Times New Roman CE"/>
                <w:sz w:val="20"/>
                <w:szCs w:val="20"/>
              </w:rPr>
              <w:t xml:space="preserve">Membru a consiliilor ştiinţifice specializate de susţinere a tezelor de doctor habilitat/doctor </w:t>
            </w:r>
          </w:p>
        </w:tc>
        <w:tc>
          <w:tcPr>
            <w:tcW w:w="746"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 </w:t>
            </w:r>
          </w:p>
        </w:tc>
        <w:tc>
          <w:tcPr>
            <w:tcW w:w="3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lang w:val="en-US"/>
              </w:rPr>
            </w:pPr>
            <w:r>
              <w:rPr>
                <w:sz w:val="20"/>
                <w:szCs w:val="20"/>
                <w:lang w:val="en-US"/>
              </w:rPr>
            </w:r>
          </w:p>
        </w:tc>
      </w:tr>
      <w:tr>
        <w:trPr>
          <w:trHeight w:val="125"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6.3.25.</w:t>
            </w:r>
          </w:p>
        </w:tc>
        <w:tc>
          <w:tcPr>
            <w:tcW w:w="8840" w:type="dxa"/>
            <w:gridSpan w:val="3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rPr>
              <w:t xml:space="preserve">Referent la susţinerea tezei de doctor habilitat </w:t>
            </w:r>
          </w:p>
        </w:tc>
        <w:tc>
          <w:tcPr>
            <w:tcW w:w="746"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rPr>
              <w:t> </w:t>
            </w:r>
          </w:p>
        </w:tc>
        <w:tc>
          <w:tcPr>
            <w:tcW w:w="3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lang w:val="fr-FR"/>
              </w:rPr>
            </w:pPr>
            <w:r>
              <w:rPr>
                <w:sz w:val="20"/>
                <w:szCs w:val="20"/>
                <w:lang w:val="fr-FR"/>
              </w:rPr>
            </w:r>
          </w:p>
        </w:tc>
      </w:tr>
      <w:tr>
        <w:trPr>
          <w:trHeight w:val="171"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6.3.26.</w:t>
            </w:r>
          </w:p>
        </w:tc>
        <w:tc>
          <w:tcPr>
            <w:tcW w:w="8840" w:type="dxa"/>
            <w:gridSpan w:val="3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sz w:val="20"/>
                <w:szCs w:val="20"/>
                <w:lang w:val="fr-FR"/>
              </w:rPr>
              <w:t>R</w:t>
            </w:r>
            <w:r>
              <w:rPr>
                <w:rFonts w:cs="Times New Roman CE" w:ascii="Times New Roman CE" w:hAnsi="Times New Roman CE"/>
                <w:sz w:val="20"/>
                <w:szCs w:val="20"/>
                <w:lang w:val="fr-FR"/>
              </w:rPr>
              <w:t xml:space="preserve">eferent la susţinerea tezei de doctor </w:t>
            </w:r>
          </w:p>
        </w:tc>
        <w:tc>
          <w:tcPr>
            <w:tcW w:w="746"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1</w:t>
            </w:r>
          </w:p>
        </w:tc>
        <w:tc>
          <w:tcPr>
            <w:tcW w:w="3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rPr>
            </w:pPr>
            <w:r>
              <w:rPr>
                <w:sz w:val="20"/>
                <w:szCs w:val="20"/>
              </w:rPr>
            </w:r>
          </w:p>
        </w:tc>
      </w:tr>
      <w:tr>
        <w:trPr>
          <w:trHeight w:val="70"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6.3.27.</w:t>
            </w:r>
          </w:p>
        </w:tc>
        <w:tc>
          <w:tcPr>
            <w:tcW w:w="8840" w:type="dxa"/>
            <w:gridSpan w:val="3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rPr>
              <w:t>Preşedinte al Comsiei examenelor de licenţă / masterat / doctorat</w:t>
            </w:r>
          </w:p>
        </w:tc>
        <w:tc>
          <w:tcPr>
            <w:tcW w:w="746"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4</w:t>
            </w:r>
          </w:p>
        </w:tc>
        <w:tc>
          <w:tcPr>
            <w:tcW w:w="3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rPr>
            </w:pPr>
            <w:r>
              <w:rPr>
                <w:sz w:val="20"/>
                <w:szCs w:val="20"/>
              </w:rPr>
            </w:r>
          </w:p>
        </w:tc>
      </w:tr>
      <w:tr>
        <w:trPr>
          <w:trHeight w:val="107"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6.3.28.</w:t>
            </w:r>
          </w:p>
        </w:tc>
        <w:tc>
          <w:tcPr>
            <w:tcW w:w="8840" w:type="dxa"/>
            <w:gridSpan w:val="3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rPr>
              <w:t>Membru al Comisiei examenelor de licenţă / masterat / doctorat</w:t>
            </w:r>
          </w:p>
        </w:tc>
        <w:tc>
          <w:tcPr>
            <w:tcW w:w="746"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rFonts w:ascii="Times New Roman" w:hAnsi="Times New Roman"/>
                <w:sz w:val="20"/>
                <w:szCs w:val="20"/>
                <w:lang w:val="fr-FR"/>
              </w:rPr>
            </w:pPr>
            <w:r>
              <w:rPr>
                <w:sz w:val="20"/>
                <w:szCs w:val="20"/>
                <w:lang w:val="fr-FR"/>
              </w:rPr>
            </w:r>
          </w:p>
        </w:tc>
        <w:tc>
          <w:tcPr>
            <w:tcW w:w="3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lang w:val="fr-FR"/>
              </w:rPr>
            </w:pPr>
            <w:r>
              <w:rPr>
                <w:sz w:val="20"/>
                <w:szCs w:val="20"/>
                <w:lang w:val="fr-FR"/>
              </w:rPr>
            </w:r>
          </w:p>
        </w:tc>
      </w:tr>
      <w:tr>
        <w:trPr>
          <w:trHeight w:val="152"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6.3.29.</w:t>
            </w:r>
          </w:p>
        </w:tc>
        <w:tc>
          <w:tcPr>
            <w:tcW w:w="8840" w:type="dxa"/>
            <w:gridSpan w:val="3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fr-FR"/>
              </w:rPr>
            </w:pPr>
            <w:r>
              <w:rPr>
                <w:rFonts w:cs="Times New Roman CE" w:ascii="Times New Roman CE" w:hAnsi="Times New Roman CE"/>
                <w:sz w:val="20"/>
                <w:szCs w:val="20"/>
                <w:lang w:val="fr-FR"/>
              </w:rPr>
              <w:t xml:space="preserve">Preşedinte al seminarului ştiinţific de profil </w:t>
            </w:r>
          </w:p>
        </w:tc>
        <w:tc>
          <w:tcPr>
            <w:tcW w:w="746"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1</w:t>
            </w:r>
          </w:p>
        </w:tc>
        <w:tc>
          <w:tcPr>
            <w:tcW w:w="3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rPr>
            </w:pPr>
            <w:r>
              <w:rPr>
                <w:sz w:val="20"/>
                <w:szCs w:val="20"/>
              </w:rPr>
            </w:r>
          </w:p>
        </w:tc>
      </w:tr>
      <w:tr>
        <w:trPr>
          <w:trHeight w:val="199"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6.3.30.</w:t>
            </w:r>
          </w:p>
        </w:tc>
        <w:tc>
          <w:tcPr>
            <w:tcW w:w="8840" w:type="dxa"/>
            <w:gridSpan w:val="3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fr-FR"/>
              </w:rPr>
            </w:pPr>
            <w:r>
              <w:rPr>
                <w:rFonts w:cs="Times New Roman CE" w:ascii="Times New Roman CE" w:hAnsi="Times New Roman CE"/>
                <w:sz w:val="20"/>
                <w:szCs w:val="20"/>
                <w:lang w:val="fr-FR"/>
              </w:rPr>
              <w:t>Membru al seminarului ştiinţific de profil</w:t>
            </w:r>
          </w:p>
        </w:tc>
        <w:tc>
          <w:tcPr>
            <w:tcW w:w="746"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11</w:t>
            </w:r>
          </w:p>
        </w:tc>
        <w:tc>
          <w:tcPr>
            <w:tcW w:w="3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rPr>
            </w:pPr>
            <w:r>
              <w:rPr>
                <w:sz w:val="20"/>
                <w:szCs w:val="20"/>
              </w:rPr>
            </w:r>
          </w:p>
        </w:tc>
      </w:tr>
      <w:tr>
        <w:trPr>
          <w:trHeight w:val="103"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6.3.31.</w:t>
            </w:r>
          </w:p>
        </w:tc>
        <w:tc>
          <w:tcPr>
            <w:tcW w:w="8840" w:type="dxa"/>
            <w:gridSpan w:val="3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fr-FR"/>
              </w:rPr>
            </w:pPr>
            <w:r>
              <w:rPr>
                <w:rFonts w:cs="Times New Roman CE" w:ascii="Times New Roman CE" w:hAnsi="Times New Roman CE"/>
                <w:sz w:val="20"/>
                <w:szCs w:val="20"/>
                <w:lang w:val="fr-FR"/>
              </w:rPr>
              <w:t>Secretar al seminarului ştiinţific de profil</w:t>
            </w:r>
          </w:p>
        </w:tc>
        <w:tc>
          <w:tcPr>
            <w:tcW w:w="746"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1</w:t>
            </w:r>
          </w:p>
        </w:tc>
        <w:tc>
          <w:tcPr>
            <w:tcW w:w="3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rPr>
            </w:pPr>
            <w:r>
              <w:rPr>
                <w:sz w:val="20"/>
                <w:szCs w:val="20"/>
              </w:rPr>
            </w:r>
          </w:p>
        </w:tc>
      </w:tr>
      <w:tr>
        <w:trPr>
          <w:trHeight w:val="70" w:hRule="atLeast"/>
        </w:trPr>
        <w:tc>
          <w:tcPr>
            <w:tcW w:w="77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6.3.32.</w:t>
            </w:r>
          </w:p>
        </w:tc>
        <w:tc>
          <w:tcPr>
            <w:tcW w:w="8840" w:type="dxa"/>
            <w:gridSpan w:val="38"/>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rPr>
              <w:t>Recenzent la seminarul ştiinţific de profil; secţie/catedră</w:t>
            </w:r>
          </w:p>
        </w:tc>
        <w:tc>
          <w:tcPr>
            <w:tcW w:w="746" w:type="dxa"/>
            <w:gridSpan w:val="6"/>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rPr>
              <w:t> </w:t>
            </w:r>
            <w:r>
              <w:rPr>
                <w:sz w:val="20"/>
                <w:szCs w:val="20"/>
              </w:rPr>
              <w:t>1</w:t>
            </w:r>
          </w:p>
        </w:tc>
        <w:tc>
          <w:tcPr>
            <w:tcW w:w="36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lang w:val="fr-FR"/>
              </w:rPr>
            </w:pPr>
            <w:r>
              <w:rPr>
                <w:sz w:val="20"/>
                <w:szCs w:val="20"/>
                <w:lang w:val="fr-FR"/>
              </w:rPr>
            </w:r>
          </w:p>
        </w:tc>
      </w:tr>
    </w:tbl>
    <w:p>
      <w:pPr>
        <w:pStyle w:val="Normal"/>
        <w:widowControl/>
        <w:bidi w:val="0"/>
        <w:spacing w:before="0" w:after="240"/>
        <w:ind w:left="0" w:right="-2016" w:hanging="0"/>
        <w:jc w:val="left"/>
        <w:textAlignment w:val="auto"/>
        <w:rPr>
          <w:rFonts w:ascii="Times New Roman" w:hAnsi="Times New Roman"/>
          <w:sz w:val="22"/>
          <w:szCs w:val="22"/>
          <w:lang w:val="fr-FR"/>
        </w:rPr>
      </w:pPr>
      <w:r>
        <w:rPr>
          <w:sz w:val="22"/>
          <w:szCs w:val="22"/>
          <w:lang w:val="fr-FR"/>
        </w:rPr>
      </w:r>
    </w:p>
    <w:tbl>
      <w:tblPr>
        <w:tblW w:w="9508" w:type="dxa"/>
        <w:jc w:val="left"/>
        <w:tblInd w:w="-10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3" w:type="dxa"/>
          <w:bottom w:w="0" w:type="dxa"/>
          <w:right w:w="108" w:type="dxa"/>
        </w:tblCellMar>
      </w:tblPr>
      <w:tblGrid>
        <w:gridCol w:w="766"/>
        <w:gridCol w:w="7714"/>
        <w:gridCol w:w="1028"/>
      </w:tblGrid>
      <w:tr>
        <w:trPr>
          <w:trHeight w:val="270" w:hRule="atLeast"/>
        </w:trPr>
        <w:tc>
          <w:tcPr>
            <w:tcW w:w="848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rFonts w:cs="Times New Roman CE" w:ascii="Times New Roman CE" w:hAnsi="Times New Roman CE"/>
                <w:b/>
                <w:bCs/>
                <w:sz w:val="20"/>
                <w:szCs w:val="20"/>
              </w:rPr>
              <w:t>7. RELEVANŢA ECONOMICĂ</w:t>
            </w:r>
          </w:p>
        </w:tc>
        <w:tc>
          <w:tcPr>
            <w:tcW w:w="10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b/>
                <w:bCs/>
                <w:sz w:val="22"/>
                <w:szCs w:val="22"/>
              </w:rPr>
              <w:t>201</w:t>
            </w:r>
            <w:r>
              <w:rPr>
                <w:b/>
                <w:bCs/>
                <w:sz w:val="22"/>
                <w:szCs w:val="22"/>
                <w:lang w:val="ro-RO"/>
              </w:rPr>
              <w:t>6</w:t>
            </w:r>
          </w:p>
        </w:tc>
      </w:tr>
      <w:tr>
        <w:trPr>
          <w:trHeight w:val="270" w:hRule="atLeast"/>
        </w:trPr>
        <w:tc>
          <w:tcPr>
            <w:tcW w:w="7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 </w:t>
            </w:r>
          </w:p>
        </w:tc>
        <w:tc>
          <w:tcPr>
            <w:tcW w:w="874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CCFFCC"/>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b/>
                <w:bCs/>
                <w:sz w:val="20"/>
                <w:szCs w:val="20"/>
                <w:lang w:val="en-US"/>
              </w:rPr>
              <w:t>7.1. Activitatea de brevetare, licenţiere, cer</w:t>
            </w:r>
            <w:r>
              <w:rPr>
                <w:b/>
                <w:bCs/>
                <w:sz w:val="20"/>
                <w:szCs w:val="20"/>
                <w:lang w:val="en-US"/>
              </w:rPr>
              <w:t>tificare a produselor</w:t>
            </w:r>
          </w:p>
        </w:tc>
      </w:tr>
      <w:tr>
        <w:trPr>
          <w:trHeight w:val="525" w:hRule="atLeast"/>
        </w:trPr>
        <w:tc>
          <w:tcPr>
            <w:tcW w:w="7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7.1.1.</w:t>
            </w:r>
          </w:p>
        </w:tc>
        <w:tc>
          <w:tcPr>
            <w:tcW w:w="77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rPr>
              <w:t>Contracte de licenţă (cesiune) în baza brevetelor, know-how  şi soiurilor de plante omologate, rase, tipuri, linii de animale şi păsări</w:t>
            </w:r>
          </w:p>
        </w:tc>
        <w:tc>
          <w:tcPr>
            <w:tcW w:w="10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fr-FR"/>
              </w:rPr>
            </w:pPr>
            <w:r>
              <w:rPr>
                <w:sz w:val="20"/>
                <w:szCs w:val="20"/>
                <w:lang w:val="fr-FR"/>
              </w:rPr>
              <w:t> </w:t>
            </w:r>
          </w:p>
        </w:tc>
      </w:tr>
      <w:tr>
        <w:trPr>
          <w:trHeight w:val="525" w:hRule="atLeast"/>
        </w:trPr>
        <w:tc>
          <w:tcPr>
            <w:tcW w:w="7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7.1.2.</w:t>
            </w:r>
          </w:p>
        </w:tc>
        <w:tc>
          <w:tcPr>
            <w:tcW w:w="77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rPr>
              <w:t>Brevete obţinute, adeverinţe de soi, documentaţie, tehnologii, regulamente tehni</w:t>
            </w:r>
            <w:r>
              <w:rPr>
                <w:sz w:val="20"/>
                <w:szCs w:val="20"/>
                <w:lang w:val="fr-FR"/>
              </w:rPr>
              <w:t>ce, standarde înregistrate</w:t>
            </w:r>
          </w:p>
        </w:tc>
        <w:tc>
          <w:tcPr>
            <w:tcW w:w="10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fr-FR"/>
              </w:rPr>
            </w:pPr>
            <w:r>
              <w:rPr>
                <w:sz w:val="20"/>
                <w:szCs w:val="20"/>
                <w:lang w:val="fr-FR"/>
              </w:rPr>
              <w:t> </w:t>
            </w:r>
          </w:p>
        </w:tc>
      </w:tr>
      <w:tr>
        <w:trPr>
          <w:trHeight w:val="270" w:hRule="atLeast"/>
        </w:trPr>
        <w:tc>
          <w:tcPr>
            <w:tcW w:w="7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7.1.3.</w:t>
            </w:r>
          </w:p>
        </w:tc>
        <w:tc>
          <w:tcPr>
            <w:tcW w:w="77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rPr>
              <w:t>Hotărîri de acordare a brevetelor</w:t>
            </w:r>
          </w:p>
        </w:tc>
        <w:tc>
          <w:tcPr>
            <w:tcW w:w="10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fr-FR"/>
              </w:rPr>
            </w:pPr>
            <w:r>
              <w:rPr>
                <w:sz w:val="20"/>
                <w:szCs w:val="20"/>
                <w:lang w:val="fr-FR"/>
              </w:rPr>
              <w:t> </w:t>
            </w:r>
          </w:p>
        </w:tc>
      </w:tr>
      <w:tr>
        <w:trPr>
          <w:trHeight w:val="525" w:hRule="atLeast"/>
        </w:trPr>
        <w:tc>
          <w:tcPr>
            <w:tcW w:w="7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7.1.4.</w:t>
            </w:r>
          </w:p>
        </w:tc>
        <w:tc>
          <w:tcPr>
            <w:tcW w:w="77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sz w:val="20"/>
                <w:szCs w:val="20"/>
                <w:lang w:val="fr-FR"/>
              </w:rPr>
              <w:t>Cereri de brevetare înaintate la AGEPI, cereri înaintate la Comisia de Stat pentru Testarea Soiurilor de Plante</w:t>
            </w:r>
          </w:p>
        </w:tc>
        <w:tc>
          <w:tcPr>
            <w:tcW w:w="10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fr-FR"/>
              </w:rPr>
            </w:pPr>
            <w:r>
              <w:rPr>
                <w:sz w:val="20"/>
                <w:szCs w:val="20"/>
                <w:lang w:val="fr-FR"/>
              </w:rPr>
              <w:t> </w:t>
            </w:r>
          </w:p>
        </w:tc>
      </w:tr>
      <w:tr>
        <w:trPr>
          <w:trHeight w:val="270" w:hRule="atLeast"/>
        </w:trPr>
        <w:tc>
          <w:tcPr>
            <w:tcW w:w="7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7.1.5.</w:t>
            </w:r>
          </w:p>
        </w:tc>
        <w:tc>
          <w:tcPr>
            <w:tcW w:w="77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pPr>
            <w:r>
              <w:rPr>
                <w:sz w:val="20"/>
                <w:szCs w:val="20"/>
              </w:rPr>
              <w:t>Brevete implementate</w:t>
            </w:r>
          </w:p>
        </w:tc>
        <w:tc>
          <w:tcPr>
            <w:tcW w:w="10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pPr>
            <w:r>
              <w:rPr>
                <w:sz w:val="20"/>
                <w:szCs w:val="20"/>
              </w:rPr>
              <w:t> </w:t>
            </w:r>
          </w:p>
        </w:tc>
      </w:tr>
      <w:tr>
        <w:trPr>
          <w:trHeight w:val="270" w:hRule="atLeast"/>
        </w:trPr>
        <w:tc>
          <w:tcPr>
            <w:tcW w:w="7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7.1.6.</w:t>
            </w:r>
          </w:p>
        </w:tc>
        <w:tc>
          <w:tcPr>
            <w:tcW w:w="77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sz w:val="20"/>
                <w:szCs w:val="20"/>
                <w:lang w:val="fr-FR"/>
              </w:rPr>
              <w:t>Certificate de soi, ob</w:t>
            </w:r>
            <w:r>
              <w:rPr>
                <w:rFonts w:cs="Times New Roman CE" w:ascii="Times New Roman CE" w:hAnsi="Times New Roman CE"/>
                <w:sz w:val="20"/>
                <w:szCs w:val="20"/>
                <w:lang w:val="fr-FR"/>
              </w:rPr>
              <w:t>ţinute în perioada evaluată</w:t>
            </w:r>
          </w:p>
        </w:tc>
        <w:tc>
          <w:tcPr>
            <w:tcW w:w="10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fr-FR"/>
              </w:rPr>
            </w:pPr>
            <w:r>
              <w:rPr>
                <w:sz w:val="20"/>
                <w:szCs w:val="20"/>
                <w:lang w:val="fr-FR"/>
              </w:rPr>
              <w:t> </w:t>
            </w:r>
          </w:p>
        </w:tc>
      </w:tr>
      <w:tr>
        <w:trPr>
          <w:trHeight w:val="270" w:hRule="atLeast"/>
        </w:trPr>
        <w:tc>
          <w:tcPr>
            <w:tcW w:w="7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rPr>
              <w:t> </w:t>
            </w:r>
          </w:p>
        </w:tc>
        <w:tc>
          <w:tcPr>
            <w:tcW w:w="874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CCFFCC"/>
            <w:tcMar>
              <w:left w:w="103" w:type="dxa"/>
            </w:tcMar>
            <w:vAlign w:val="bottom"/>
          </w:tcPr>
          <w:p>
            <w:pPr>
              <w:pStyle w:val="Normal"/>
              <w:widowControl/>
              <w:bidi w:val="0"/>
              <w:ind w:left="0" w:right="0" w:hanging="0"/>
              <w:jc w:val="left"/>
              <w:textAlignment w:val="auto"/>
              <w:rPr/>
            </w:pPr>
            <w:r>
              <w:rPr>
                <w:rFonts w:cs="Times New Roman CE" w:ascii="Times New Roman CE" w:hAnsi="Times New Roman CE"/>
                <w:b/>
                <w:bCs/>
                <w:sz w:val="20"/>
                <w:szCs w:val="20"/>
              </w:rPr>
              <w:t>7.2. Elaborări, transfer tehnologic</w:t>
            </w:r>
          </w:p>
        </w:tc>
      </w:tr>
      <w:tr>
        <w:trPr>
          <w:trHeight w:val="270" w:hRule="atLeast"/>
        </w:trPr>
        <w:tc>
          <w:tcPr>
            <w:tcW w:w="7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7.2.1.</w:t>
            </w:r>
          </w:p>
        </w:tc>
        <w:tc>
          <w:tcPr>
            <w:tcW w:w="77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sz w:val="20"/>
                <w:szCs w:val="20"/>
                <w:lang w:val="en-US"/>
              </w:rPr>
              <w:t>Produse, material semincer, echipamente asimilate în fabricare de serie</w:t>
            </w:r>
          </w:p>
        </w:tc>
        <w:tc>
          <w:tcPr>
            <w:tcW w:w="10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en-US"/>
              </w:rPr>
            </w:pPr>
            <w:r>
              <w:rPr>
                <w:sz w:val="20"/>
                <w:szCs w:val="20"/>
                <w:lang w:val="en-US"/>
              </w:rPr>
              <w:t> </w:t>
            </w:r>
          </w:p>
        </w:tc>
      </w:tr>
      <w:tr>
        <w:trPr>
          <w:trHeight w:val="525" w:hRule="atLeast"/>
        </w:trPr>
        <w:tc>
          <w:tcPr>
            <w:tcW w:w="7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7.2.2.</w:t>
            </w:r>
          </w:p>
        </w:tc>
        <w:tc>
          <w:tcPr>
            <w:tcW w:w="77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rPr>
              <w:t>Tehnologii, secvenţe tehnologice, produse noi şi seminţe de soiuri realizate şi valorificate la agenţi economici prin contracte cu un volum de finanţare &gt;100 mii lei</w:t>
            </w:r>
          </w:p>
        </w:tc>
        <w:tc>
          <w:tcPr>
            <w:tcW w:w="10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fr-FR"/>
              </w:rPr>
            </w:pPr>
            <w:r>
              <w:rPr>
                <w:sz w:val="20"/>
                <w:szCs w:val="20"/>
                <w:lang w:val="fr-FR"/>
              </w:rPr>
              <w:t> </w:t>
            </w:r>
          </w:p>
        </w:tc>
      </w:tr>
      <w:tr>
        <w:trPr>
          <w:trHeight w:val="525" w:hRule="atLeast"/>
        </w:trPr>
        <w:tc>
          <w:tcPr>
            <w:tcW w:w="7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7.2.3.</w:t>
            </w:r>
          </w:p>
        </w:tc>
        <w:tc>
          <w:tcPr>
            <w:tcW w:w="77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rPr>
              <w:t>Tehnologii, secvenţe tehnologice, produse noi şi seminţe de soiuri realizate şi valorificate la agenţi economici prin contracte cu un volum de finanţare &lt;100 mii lei</w:t>
            </w:r>
          </w:p>
        </w:tc>
        <w:tc>
          <w:tcPr>
            <w:tcW w:w="10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fr-FR"/>
              </w:rPr>
            </w:pPr>
            <w:r>
              <w:rPr>
                <w:sz w:val="20"/>
                <w:szCs w:val="20"/>
                <w:lang w:val="fr-FR"/>
              </w:rPr>
              <w:t> </w:t>
            </w:r>
          </w:p>
        </w:tc>
      </w:tr>
      <w:tr>
        <w:trPr>
          <w:trHeight w:val="270" w:hRule="atLeast"/>
        </w:trPr>
        <w:tc>
          <w:tcPr>
            <w:tcW w:w="7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7.2.4.</w:t>
            </w:r>
          </w:p>
        </w:tc>
        <w:tc>
          <w:tcPr>
            <w:tcW w:w="77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sz w:val="20"/>
                <w:szCs w:val="20"/>
                <w:lang w:val="fr-FR"/>
              </w:rPr>
              <w:t>P</w:t>
            </w:r>
            <w:r>
              <w:rPr>
                <w:rFonts w:cs="Times New Roman CE" w:ascii="Times New Roman CE" w:hAnsi="Times New Roman CE"/>
                <w:sz w:val="20"/>
                <w:szCs w:val="20"/>
                <w:lang w:val="fr-FR"/>
              </w:rPr>
              <w:t>roduse noi valorificate la agenţi economici prin colaborare sau contracte de royalty</w:t>
            </w:r>
          </w:p>
        </w:tc>
        <w:tc>
          <w:tcPr>
            <w:tcW w:w="10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fr-FR"/>
              </w:rPr>
            </w:pPr>
            <w:r>
              <w:rPr>
                <w:sz w:val="20"/>
                <w:szCs w:val="20"/>
                <w:lang w:val="fr-FR"/>
              </w:rPr>
              <w:t> </w:t>
            </w:r>
          </w:p>
        </w:tc>
      </w:tr>
      <w:tr>
        <w:trPr>
          <w:trHeight w:val="270" w:hRule="atLeast"/>
        </w:trPr>
        <w:tc>
          <w:tcPr>
            <w:tcW w:w="7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7.2.5.</w:t>
            </w:r>
          </w:p>
        </w:tc>
        <w:tc>
          <w:tcPr>
            <w:tcW w:w="77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pPr>
            <w:r>
              <w:rPr>
                <w:rFonts w:cs="Times New Roman CE" w:ascii="Times New Roman CE" w:hAnsi="Times New Roman CE"/>
                <w:sz w:val="20"/>
                <w:szCs w:val="20"/>
              </w:rPr>
              <w:t xml:space="preserve">Softul elaborat şi implementat </w:t>
            </w:r>
          </w:p>
        </w:tc>
        <w:tc>
          <w:tcPr>
            <w:tcW w:w="10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pPr>
            <w:r>
              <w:rPr>
                <w:sz w:val="20"/>
                <w:szCs w:val="20"/>
              </w:rPr>
              <w:t> </w:t>
            </w:r>
          </w:p>
        </w:tc>
      </w:tr>
      <w:tr>
        <w:trPr>
          <w:trHeight w:val="270" w:hRule="atLeast"/>
        </w:trPr>
        <w:tc>
          <w:tcPr>
            <w:tcW w:w="7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7.2.6.</w:t>
            </w:r>
          </w:p>
        </w:tc>
        <w:tc>
          <w:tcPr>
            <w:tcW w:w="77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rPr>
              <w:t>Mostre de maşini, echipamente,dispozitive funcţionale elaborate în perioada evaluată</w:t>
            </w:r>
          </w:p>
        </w:tc>
        <w:tc>
          <w:tcPr>
            <w:tcW w:w="10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rPr>
              <w:t> </w:t>
            </w:r>
          </w:p>
        </w:tc>
      </w:tr>
      <w:tr>
        <w:trPr>
          <w:trHeight w:val="270" w:hRule="atLeast"/>
        </w:trPr>
        <w:tc>
          <w:tcPr>
            <w:tcW w:w="7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7.2.7.</w:t>
            </w:r>
          </w:p>
        </w:tc>
        <w:tc>
          <w:tcPr>
            <w:tcW w:w="77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pPr>
            <w:r>
              <w:rPr>
                <w:rFonts w:cs="Times New Roman CE" w:ascii="Times New Roman CE" w:hAnsi="Times New Roman CE"/>
                <w:sz w:val="20"/>
                <w:szCs w:val="20"/>
              </w:rPr>
              <w:t>Atlase şi hărţi editate</w:t>
            </w:r>
          </w:p>
        </w:tc>
        <w:tc>
          <w:tcPr>
            <w:tcW w:w="10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pPr>
            <w:r>
              <w:rPr>
                <w:sz w:val="20"/>
                <w:szCs w:val="20"/>
              </w:rPr>
              <w:t> </w:t>
            </w:r>
          </w:p>
        </w:tc>
      </w:tr>
      <w:tr>
        <w:trPr>
          <w:trHeight w:val="270" w:hRule="atLeast"/>
        </w:trPr>
        <w:tc>
          <w:tcPr>
            <w:tcW w:w="7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7.2.8.</w:t>
            </w:r>
          </w:p>
        </w:tc>
        <w:tc>
          <w:tcPr>
            <w:tcW w:w="77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pPr>
            <w:r>
              <w:rPr>
                <w:sz w:val="20"/>
                <w:szCs w:val="20"/>
              </w:rPr>
              <w:t>Materiale noi documentate</w:t>
            </w:r>
          </w:p>
        </w:tc>
        <w:tc>
          <w:tcPr>
            <w:tcW w:w="10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pPr>
            <w:r>
              <w:rPr>
                <w:sz w:val="20"/>
                <w:szCs w:val="20"/>
              </w:rPr>
              <w:t> </w:t>
            </w:r>
          </w:p>
        </w:tc>
      </w:tr>
      <w:tr>
        <w:trPr>
          <w:trHeight w:val="270" w:hRule="atLeast"/>
        </w:trPr>
        <w:tc>
          <w:tcPr>
            <w:tcW w:w="7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7.2.9.</w:t>
            </w:r>
          </w:p>
        </w:tc>
        <w:tc>
          <w:tcPr>
            <w:tcW w:w="77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pPr>
            <w:r>
              <w:rPr>
                <w:rFonts w:cs="Times New Roman CE" w:ascii="Times New Roman CE" w:hAnsi="Times New Roman CE"/>
                <w:sz w:val="20"/>
                <w:szCs w:val="20"/>
              </w:rPr>
              <w:t>Substanţe noi documentate</w:t>
            </w:r>
          </w:p>
        </w:tc>
        <w:tc>
          <w:tcPr>
            <w:tcW w:w="10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pPr>
            <w:r>
              <w:rPr>
                <w:sz w:val="20"/>
                <w:szCs w:val="20"/>
              </w:rPr>
              <w:t> </w:t>
            </w:r>
          </w:p>
        </w:tc>
      </w:tr>
      <w:tr>
        <w:trPr>
          <w:trHeight w:val="270" w:hRule="atLeast"/>
        </w:trPr>
        <w:tc>
          <w:tcPr>
            <w:tcW w:w="7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sz w:val="20"/>
                <w:szCs w:val="20"/>
              </w:rPr>
              <w:t>7.2.10.</w:t>
            </w:r>
          </w:p>
        </w:tc>
        <w:tc>
          <w:tcPr>
            <w:tcW w:w="77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pPr>
            <w:r>
              <w:rPr>
                <w:sz w:val="20"/>
                <w:szCs w:val="20"/>
              </w:rPr>
              <w:t>Tehnologii noi documentate</w:t>
            </w:r>
          </w:p>
        </w:tc>
        <w:tc>
          <w:tcPr>
            <w:tcW w:w="10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pPr>
            <w:r>
              <w:rPr>
                <w:sz w:val="20"/>
                <w:szCs w:val="20"/>
              </w:rPr>
              <w:t> </w:t>
            </w:r>
          </w:p>
        </w:tc>
      </w:tr>
      <w:tr>
        <w:trPr>
          <w:trHeight w:val="270" w:hRule="atLeast"/>
        </w:trPr>
        <w:tc>
          <w:tcPr>
            <w:tcW w:w="7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sz w:val="20"/>
                <w:szCs w:val="20"/>
              </w:rPr>
              <w:t>7.2.11.</w:t>
            </w:r>
          </w:p>
        </w:tc>
        <w:tc>
          <w:tcPr>
            <w:tcW w:w="77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pPr>
            <w:r>
              <w:rPr>
                <w:sz w:val="20"/>
                <w:szCs w:val="20"/>
              </w:rPr>
              <w:t>Metode noi documentate</w:t>
            </w:r>
          </w:p>
        </w:tc>
        <w:tc>
          <w:tcPr>
            <w:tcW w:w="10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pPr>
            <w:r>
              <w:rPr>
                <w:sz w:val="20"/>
                <w:szCs w:val="20"/>
              </w:rPr>
              <w:t> </w:t>
            </w:r>
          </w:p>
        </w:tc>
      </w:tr>
      <w:tr>
        <w:trPr>
          <w:trHeight w:val="270" w:hRule="atLeast"/>
        </w:trPr>
        <w:tc>
          <w:tcPr>
            <w:tcW w:w="7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sz w:val="20"/>
                <w:szCs w:val="20"/>
              </w:rPr>
              <w:t>7.2.12.</w:t>
            </w:r>
          </w:p>
        </w:tc>
        <w:tc>
          <w:tcPr>
            <w:tcW w:w="77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pPr>
            <w:r>
              <w:rPr>
                <w:sz w:val="20"/>
                <w:szCs w:val="20"/>
              </w:rPr>
              <w:t>Procedee noi documentate</w:t>
            </w:r>
          </w:p>
        </w:tc>
        <w:tc>
          <w:tcPr>
            <w:tcW w:w="10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pPr>
            <w:r>
              <w:rPr>
                <w:sz w:val="20"/>
                <w:szCs w:val="20"/>
              </w:rPr>
              <w:t> </w:t>
            </w:r>
          </w:p>
        </w:tc>
      </w:tr>
      <w:tr>
        <w:trPr>
          <w:trHeight w:val="270" w:hRule="atLeast"/>
        </w:trPr>
        <w:tc>
          <w:tcPr>
            <w:tcW w:w="7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sz w:val="20"/>
                <w:szCs w:val="20"/>
              </w:rPr>
              <w:t>7.2.13.</w:t>
            </w:r>
          </w:p>
        </w:tc>
        <w:tc>
          <w:tcPr>
            <w:tcW w:w="77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pPr>
            <w:r>
              <w:rPr>
                <w:sz w:val="20"/>
                <w:szCs w:val="20"/>
              </w:rPr>
              <w:t>Linii create</w:t>
            </w:r>
          </w:p>
        </w:tc>
        <w:tc>
          <w:tcPr>
            <w:tcW w:w="10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pPr>
            <w:r>
              <w:rPr>
                <w:sz w:val="20"/>
                <w:szCs w:val="20"/>
              </w:rPr>
              <w:t> </w:t>
            </w:r>
          </w:p>
        </w:tc>
      </w:tr>
      <w:tr>
        <w:trPr>
          <w:trHeight w:val="270" w:hRule="atLeast"/>
        </w:trPr>
        <w:tc>
          <w:tcPr>
            <w:tcW w:w="7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sz w:val="20"/>
                <w:szCs w:val="20"/>
              </w:rPr>
              <w:t>7.2.14.</w:t>
            </w:r>
          </w:p>
        </w:tc>
        <w:tc>
          <w:tcPr>
            <w:tcW w:w="77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pPr>
            <w:r>
              <w:rPr>
                <w:sz w:val="20"/>
                <w:szCs w:val="20"/>
              </w:rPr>
              <w:t>Hibrizi creati</w:t>
            </w:r>
          </w:p>
        </w:tc>
        <w:tc>
          <w:tcPr>
            <w:tcW w:w="10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pPr>
            <w:r>
              <w:rPr>
                <w:sz w:val="20"/>
                <w:szCs w:val="20"/>
              </w:rPr>
              <w:t> </w:t>
            </w:r>
          </w:p>
        </w:tc>
      </w:tr>
      <w:tr>
        <w:trPr>
          <w:trHeight w:val="270" w:hRule="atLeast"/>
        </w:trPr>
        <w:tc>
          <w:tcPr>
            <w:tcW w:w="7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sz w:val="20"/>
                <w:szCs w:val="20"/>
              </w:rPr>
              <w:t>7.2.15.</w:t>
            </w:r>
          </w:p>
        </w:tc>
        <w:tc>
          <w:tcPr>
            <w:tcW w:w="77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pPr>
            <w:r>
              <w:rPr>
                <w:sz w:val="20"/>
                <w:szCs w:val="20"/>
              </w:rPr>
              <w:t>Soiuri create</w:t>
            </w:r>
          </w:p>
        </w:tc>
        <w:tc>
          <w:tcPr>
            <w:tcW w:w="10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pPr>
            <w:r>
              <w:rPr>
                <w:sz w:val="20"/>
                <w:szCs w:val="20"/>
              </w:rPr>
              <w:t> </w:t>
            </w:r>
          </w:p>
        </w:tc>
      </w:tr>
      <w:tr>
        <w:trPr>
          <w:trHeight w:val="270" w:hRule="atLeast"/>
        </w:trPr>
        <w:tc>
          <w:tcPr>
            <w:tcW w:w="7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sz w:val="20"/>
                <w:szCs w:val="20"/>
              </w:rPr>
              <w:t>7.2.16.</w:t>
            </w:r>
          </w:p>
        </w:tc>
        <w:tc>
          <w:tcPr>
            <w:tcW w:w="77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pPr>
            <w:r>
              <w:rPr>
                <w:sz w:val="20"/>
                <w:szCs w:val="20"/>
              </w:rPr>
              <w:t>Rase create</w:t>
            </w:r>
          </w:p>
        </w:tc>
        <w:tc>
          <w:tcPr>
            <w:tcW w:w="10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pPr>
            <w:r>
              <w:rPr>
                <w:sz w:val="20"/>
                <w:szCs w:val="20"/>
              </w:rPr>
              <w:t> </w:t>
            </w:r>
          </w:p>
        </w:tc>
      </w:tr>
      <w:tr>
        <w:trPr>
          <w:trHeight w:val="270" w:hRule="atLeast"/>
        </w:trPr>
        <w:tc>
          <w:tcPr>
            <w:tcW w:w="7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sz w:val="20"/>
                <w:szCs w:val="20"/>
              </w:rPr>
              <w:t>7.2.17.</w:t>
            </w:r>
          </w:p>
        </w:tc>
        <w:tc>
          <w:tcPr>
            <w:tcW w:w="77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pPr>
            <w:r>
              <w:rPr>
                <w:rFonts w:cs="Times New Roman CE" w:ascii="Times New Roman CE" w:hAnsi="Times New Roman CE"/>
                <w:sz w:val="20"/>
                <w:szCs w:val="20"/>
              </w:rPr>
              <w:t>Suşe create</w:t>
            </w:r>
          </w:p>
        </w:tc>
        <w:tc>
          <w:tcPr>
            <w:tcW w:w="10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pPr>
            <w:r>
              <w:rPr>
                <w:sz w:val="20"/>
                <w:szCs w:val="20"/>
              </w:rPr>
              <w:t> </w:t>
            </w:r>
          </w:p>
        </w:tc>
      </w:tr>
      <w:tr>
        <w:trPr>
          <w:trHeight w:val="270" w:hRule="atLeast"/>
        </w:trPr>
        <w:tc>
          <w:tcPr>
            <w:tcW w:w="7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sz w:val="20"/>
                <w:szCs w:val="20"/>
              </w:rPr>
              <w:t>7.2.18.</w:t>
            </w:r>
          </w:p>
        </w:tc>
        <w:tc>
          <w:tcPr>
            <w:tcW w:w="77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rPr>
              <w:t>Linii, hibrizi, soiuri, rase, suşe omologate si înscrise în registru</w:t>
            </w:r>
          </w:p>
        </w:tc>
        <w:tc>
          <w:tcPr>
            <w:tcW w:w="10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fr-FR"/>
              </w:rPr>
            </w:pPr>
            <w:r>
              <w:rPr>
                <w:sz w:val="20"/>
                <w:szCs w:val="20"/>
                <w:lang w:val="fr-FR"/>
              </w:rPr>
              <w:t> </w:t>
            </w:r>
          </w:p>
        </w:tc>
      </w:tr>
      <w:tr>
        <w:trPr>
          <w:trHeight w:val="270" w:hRule="atLeast"/>
        </w:trPr>
        <w:tc>
          <w:tcPr>
            <w:tcW w:w="7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sz w:val="20"/>
                <w:szCs w:val="20"/>
              </w:rPr>
              <w:t>7.2.19.</w:t>
            </w:r>
          </w:p>
        </w:tc>
        <w:tc>
          <w:tcPr>
            <w:tcW w:w="77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pPr>
            <w:r>
              <w:rPr>
                <w:sz w:val="20"/>
                <w:szCs w:val="20"/>
              </w:rPr>
              <w:t>Alte rezultate (de indicat)</w:t>
            </w:r>
          </w:p>
        </w:tc>
        <w:tc>
          <w:tcPr>
            <w:tcW w:w="10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pPr>
            <w:r>
              <w:rPr>
                <w:sz w:val="20"/>
                <w:szCs w:val="20"/>
              </w:rPr>
              <w:t> </w:t>
            </w:r>
          </w:p>
        </w:tc>
      </w:tr>
      <w:tr>
        <w:trPr>
          <w:trHeight w:val="270" w:hRule="atLeast"/>
        </w:trPr>
        <w:tc>
          <w:tcPr>
            <w:tcW w:w="7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 </w:t>
            </w:r>
          </w:p>
        </w:tc>
        <w:tc>
          <w:tcPr>
            <w:tcW w:w="874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CCFFCC"/>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b/>
                <w:bCs/>
                <w:sz w:val="20"/>
                <w:szCs w:val="20"/>
                <w:lang w:val="en-US"/>
              </w:rPr>
              <w:t>7.3. Asistenţă şi servicii ştiinţifice prestate</w:t>
            </w:r>
          </w:p>
        </w:tc>
      </w:tr>
      <w:tr>
        <w:trPr>
          <w:trHeight w:val="270" w:hRule="atLeast"/>
        </w:trPr>
        <w:tc>
          <w:tcPr>
            <w:tcW w:w="7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7.3.1.</w:t>
            </w:r>
          </w:p>
        </w:tc>
        <w:tc>
          <w:tcPr>
            <w:tcW w:w="77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pPr>
            <w:r>
              <w:rPr>
                <w:rFonts w:cs="Times New Roman CE" w:ascii="Times New Roman CE" w:hAnsi="Times New Roman CE"/>
                <w:sz w:val="20"/>
                <w:szCs w:val="20"/>
              </w:rPr>
              <w:t>Recomandări ştiinţifico-practic</w:t>
            </w:r>
            <w:r>
              <w:rPr>
                <w:sz w:val="20"/>
                <w:szCs w:val="20"/>
              </w:rPr>
              <w:t>e documentate</w:t>
            </w:r>
          </w:p>
        </w:tc>
        <w:tc>
          <w:tcPr>
            <w:tcW w:w="10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pPr>
            <w:r>
              <w:rPr>
                <w:sz w:val="20"/>
                <w:szCs w:val="20"/>
              </w:rPr>
              <w:t> </w:t>
            </w:r>
          </w:p>
        </w:tc>
      </w:tr>
      <w:tr>
        <w:trPr>
          <w:trHeight w:val="270" w:hRule="atLeast"/>
        </w:trPr>
        <w:tc>
          <w:tcPr>
            <w:tcW w:w="7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7.3.2.</w:t>
            </w:r>
          </w:p>
        </w:tc>
        <w:tc>
          <w:tcPr>
            <w:tcW w:w="77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rPr>
              <w:t>Prestări de servicii în laboratoare acreditate</w:t>
            </w:r>
          </w:p>
        </w:tc>
        <w:tc>
          <w:tcPr>
            <w:tcW w:w="10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en-US"/>
              </w:rPr>
            </w:pPr>
            <w:r>
              <w:rPr>
                <w:sz w:val="20"/>
                <w:szCs w:val="20"/>
                <w:lang w:val="en-US"/>
              </w:rPr>
              <w:t> </w:t>
            </w:r>
          </w:p>
        </w:tc>
      </w:tr>
      <w:tr>
        <w:trPr>
          <w:trHeight w:val="270" w:hRule="atLeast"/>
        </w:trPr>
        <w:tc>
          <w:tcPr>
            <w:tcW w:w="76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sz w:val="20"/>
                <w:szCs w:val="20"/>
              </w:rPr>
              <w:t>7.3.3.</w:t>
            </w:r>
          </w:p>
        </w:tc>
        <w:tc>
          <w:tcPr>
            <w:tcW w:w="77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rPr>
              <w:t>Prestări de servicii în laboratoare neacreditate</w:t>
            </w:r>
          </w:p>
        </w:tc>
        <w:tc>
          <w:tcPr>
            <w:tcW w:w="1028"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en-US"/>
              </w:rPr>
            </w:pPr>
            <w:r>
              <w:rPr>
                <w:sz w:val="20"/>
                <w:szCs w:val="20"/>
                <w:lang w:val="en-US"/>
              </w:rPr>
              <w:t> </w:t>
            </w:r>
          </w:p>
        </w:tc>
      </w:tr>
    </w:tbl>
    <w:p>
      <w:pPr>
        <w:pStyle w:val="Normal"/>
        <w:widowControl/>
        <w:bidi w:val="0"/>
        <w:spacing w:before="0" w:after="240"/>
        <w:ind w:left="0" w:right="-2016" w:hanging="0"/>
        <w:jc w:val="left"/>
        <w:textAlignment w:val="auto"/>
        <w:rPr>
          <w:rFonts w:ascii="Times New Roman" w:hAnsi="Times New Roman"/>
          <w:sz w:val="20"/>
          <w:szCs w:val="20"/>
          <w:lang w:val="en-US"/>
        </w:rPr>
      </w:pPr>
      <w:r>
        <w:rPr>
          <w:sz w:val="20"/>
          <w:szCs w:val="20"/>
          <w:lang w:val="en-US"/>
        </w:rPr>
      </w:r>
    </w:p>
    <w:p>
      <w:pPr>
        <w:pStyle w:val="Normal"/>
        <w:widowControl/>
        <w:bidi w:val="0"/>
        <w:spacing w:before="0" w:after="240"/>
        <w:ind w:left="0" w:right="-2016" w:hanging="0"/>
        <w:jc w:val="left"/>
        <w:textAlignment w:val="auto"/>
        <w:rPr>
          <w:lang w:val="en-US"/>
        </w:rPr>
      </w:pPr>
      <w:bookmarkStart w:id="441" w:name="RANGE!A1:C57"/>
      <w:bookmarkStart w:id="442" w:name="RANGE!A1:C57"/>
      <w:bookmarkEnd w:id="442"/>
      <w:r>
        <w:rPr>
          <w:lang w:val="en-US"/>
        </w:rPr>
      </w:r>
    </w:p>
    <w:p>
      <w:pPr>
        <w:pStyle w:val="Normal"/>
        <w:widowControl/>
        <w:bidi w:val="0"/>
        <w:spacing w:before="0" w:after="240"/>
        <w:ind w:left="0" w:right="-2016" w:hanging="0"/>
        <w:jc w:val="left"/>
        <w:textAlignment w:val="auto"/>
        <w:rPr>
          <w:rFonts w:ascii="Times New Roman" w:hAnsi="Times New Roman"/>
          <w:sz w:val="22"/>
          <w:szCs w:val="22"/>
          <w:lang w:val="en-US"/>
        </w:rPr>
      </w:pPr>
      <w:r>
        <w:rPr>
          <w:sz w:val="22"/>
          <w:szCs w:val="22"/>
          <w:lang w:val="en-US"/>
        </w:rPr>
      </w:r>
    </w:p>
    <w:p>
      <w:pPr>
        <w:pStyle w:val="Normal"/>
        <w:widowControl/>
        <w:bidi w:val="0"/>
        <w:spacing w:before="0" w:after="240"/>
        <w:ind w:left="0" w:right="-2016" w:hanging="0"/>
        <w:jc w:val="left"/>
        <w:textAlignment w:val="auto"/>
        <w:rPr>
          <w:rFonts w:ascii="Times New Roman" w:hAnsi="Times New Roman"/>
          <w:sz w:val="22"/>
          <w:szCs w:val="22"/>
          <w:lang w:val="en-US"/>
        </w:rPr>
      </w:pPr>
      <w:r>
        <w:rPr>
          <w:sz w:val="22"/>
          <w:szCs w:val="22"/>
          <w:lang w:val="en-US"/>
        </w:rPr>
      </w:r>
    </w:p>
    <w:p>
      <w:pPr>
        <w:pStyle w:val="Normal"/>
        <w:widowControl/>
        <w:bidi w:val="0"/>
        <w:spacing w:before="0" w:after="240"/>
        <w:ind w:left="0" w:right="-2016" w:hanging="0"/>
        <w:jc w:val="left"/>
        <w:textAlignment w:val="auto"/>
        <w:rPr>
          <w:rFonts w:ascii="Times New Roman" w:hAnsi="Times New Roman"/>
          <w:sz w:val="22"/>
          <w:szCs w:val="22"/>
          <w:lang w:val="en-US"/>
        </w:rPr>
      </w:pPr>
      <w:r>
        <w:rPr>
          <w:sz w:val="22"/>
          <w:szCs w:val="22"/>
          <w:lang w:val="en-US"/>
        </w:rPr>
      </w:r>
    </w:p>
    <w:p>
      <w:pPr>
        <w:pStyle w:val="Normal"/>
        <w:widowControl/>
        <w:bidi w:val="0"/>
        <w:spacing w:before="0" w:after="240"/>
        <w:ind w:left="0" w:right="-2016" w:hanging="0"/>
        <w:jc w:val="center"/>
        <w:textAlignment w:val="auto"/>
        <w:rPr>
          <w:rFonts w:ascii="Times New Roman" w:hAnsi="Times New Roman"/>
          <w:sz w:val="22"/>
          <w:szCs w:val="22"/>
          <w:lang w:val="ro-MD"/>
        </w:rPr>
      </w:pPr>
      <w:r>
        <w:rPr>
          <w:sz w:val="22"/>
          <w:szCs w:val="22"/>
          <w:lang w:val="ro-MD"/>
        </w:rPr>
      </w:r>
    </w:p>
    <w:p>
      <w:pPr>
        <w:pStyle w:val="Normal"/>
        <w:widowControl/>
        <w:bidi w:val="0"/>
        <w:spacing w:before="0" w:after="240"/>
        <w:ind w:left="0" w:right="-2016" w:hanging="0"/>
        <w:jc w:val="center"/>
        <w:textAlignment w:val="auto"/>
        <w:rPr>
          <w:rFonts w:ascii="Times New Roman" w:hAnsi="Times New Roman"/>
          <w:sz w:val="22"/>
          <w:szCs w:val="22"/>
          <w:lang w:val="ro-MD"/>
        </w:rPr>
      </w:pPr>
      <w:r>
        <w:rPr>
          <w:sz w:val="22"/>
          <w:szCs w:val="22"/>
          <w:lang w:val="ro-MD"/>
        </w:rPr>
      </w:r>
    </w:p>
    <w:tbl>
      <w:tblPr>
        <w:tblW w:w="8611" w:type="dxa"/>
        <w:jc w:val="left"/>
        <w:tblInd w:w="-109"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0" w:type="dxa"/>
          <w:left w:w="98" w:type="dxa"/>
          <w:bottom w:w="0" w:type="dxa"/>
          <w:right w:w="108" w:type="dxa"/>
        </w:tblCellMar>
      </w:tblPr>
      <w:tblGrid>
        <w:gridCol w:w="765"/>
        <w:gridCol w:w="7005"/>
        <w:gridCol w:w="841"/>
      </w:tblGrid>
      <w:tr>
        <w:trPr>
          <w:trHeight w:val="270" w:hRule="atLeast"/>
        </w:trPr>
        <w:tc>
          <w:tcPr>
            <w:tcW w:w="7770"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rFonts w:cs="Times New Roman CE" w:ascii="Times New Roman CE" w:hAnsi="Times New Roman CE"/>
                <w:b/>
                <w:bCs/>
                <w:sz w:val="20"/>
                <w:szCs w:val="20"/>
              </w:rPr>
              <w:t>8. RELEVANŢA SOCIALĂ</w:t>
            </w:r>
          </w:p>
        </w:tc>
        <w:tc>
          <w:tcPr>
            <w:tcW w:w="841" w:type="dxa"/>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b/>
                <w:bCs/>
                <w:sz w:val="22"/>
                <w:szCs w:val="22"/>
              </w:rPr>
              <w:t>201</w:t>
            </w:r>
            <w:r>
              <w:rPr>
                <w:b/>
                <w:bCs/>
                <w:sz w:val="22"/>
                <w:szCs w:val="22"/>
                <w:lang w:val="ro-RO"/>
              </w:rPr>
              <w:t>6</w:t>
            </w:r>
          </w:p>
        </w:tc>
      </w:tr>
      <w:tr>
        <w:trPr>
          <w:trHeight w:val="270"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pPr>
            <w:r>
              <w:rPr>
                <w:sz w:val="20"/>
                <w:szCs w:val="20"/>
              </w:rPr>
              <w:t> </w:t>
            </w:r>
          </w:p>
        </w:tc>
        <w:tc>
          <w:tcPr>
            <w:tcW w:w="7846" w:type="dxa"/>
            <w:gridSpan w:val="2"/>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lang w:val="fr-FR"/>
              </w:rPr>
            </w:pPr>
            <w:r>
              <w:rPr>
                <w:rFonts w:cs="Times New Roman CE" w:ascii="Times New Roman CE" w:hAnsi="Times New Roman CE"/>
                <w:b/>
                <w:bCs/>
                <w:sz w:val="20"/>
                <w:szCs w:val="20"/>
                <w:lang w:val="fr-FR"/>
              </w:rPr>
              <w:t>8.1. Transfer de cunoştinţe şi activitate didactică</w:t>
            </w:r>
          </w:p>
        </w:tc>
      </w:tr>
      <w:tr>
        <w:trPr>
          <w:trHeight w:val="270"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20"/>
                <w:szCs w:val="20"/>
              </w:rPr>
              <w:t>8.1.1.</w:t>
            </w:r>
          </w:p>
        </w:tc>
        <w:tc>
          <w:tcPr>
            <w:tcW w:w="7005"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sz w:val="20"/>
                <w:szCs w:val="20"/>
              </w:rPr>
              <w:t>Articole în enciclopedii</w:t>
            </w:r>
          </w:p>
        </w:tc>
        <w:tc>
          <w:tcPr>
            <w:tcW w:w="84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r>
      <w:tr>
        <w:trPr>
          <w:trHeight w:val="270"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20"/>
                <w:szCs w:val="20"/>
              </w:rPr>
              <w:t>8.1.2.</w:t>
            </w:r>
          </w:p>
        </w:tc>
        <w:tc>
          <w:tcPr>
            <w:tcW w:w="7005"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rFonts w:cs="Times New Roman CE" w:ascii="Times New Roman CE" w:hAnsi="Times New Roman CE"/>
                <w:sz w:val="20"/>
                <w:szCs w:val="20"/>
              </w:rPr>
              <w:t>Dicţionare</w:t>
            </w:r>
          </w:p>
        </w:tc>
        <w:tc>
          <w:tcPr>
            <w:tcW w:w="84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r>
      <w:tr>
        <w:trPr>
          <w:trHeight w:val="270" w:hRule="atLeast"/>
        </w:trPr>
        <w:tc>
          <w:tcPr>
            <w:tcW w:w="765" w:type="dxa"/>
            <w:tcBorders>
              <w:left w:val="single" w:sz="8" w:space="0" w:color="000001"/>
              <w:right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20"/>
                <w:szCs w:val="20"/>
              </w:rPr>
              <w:t>8.1.3.</w:t>
            </w:r>
          </w:p>
        </w:tc>
        <w:tc>
          <w:tcPr>
            <w:tcW w:w="7005"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rFonts w:cs="Times New Roman CE" w:ascii="Times New Roman CE" w:hAnsi="Times New Roman CE"/>
                <w:sz w:val="20"/>
                <w:szCs w:val="20"/>
              </w:rPr>
              <w:t>Manuale pentru învăţământ universitar</w:t>
            </w:r>
          </w:p>
        </w:tc>
        <w:tc>
          <w:tcPr>
            <w:tcW w:w="84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r>
      <w:tr>
        <w:trPr>
          <w:trHeight w:val="270" w:hRule="atLeast"/>
        </w:trPr>
        <w:tc>
          <w:tcPr>
            <w:tcW w:w="76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20"/>
                <w:szCs w:val="20"/>
              </w:rPr>
              <w:t>8.1.4.</w:t>
            </w:r>
          </w:p>
        </w:tc>
        <w:tc>
          <w:tcPr>
            <w:tcW w:w="7005"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rFonts w:cs="Times New Roman CE" w:ascii="Times New Roman CE" w:hAnsi="Times New Roman CE"/>
                <w:sz w:val="20"/>
                <w:szCs w:val="20"/>
              </w:rPr>
              <w:t>Manuale pentru învăţământ preuniversitar</w:t>
            </w:r>
          </w:p>
        </w:tc>
        <w:tc>
          <w:tcPr>
            <w:tcW w:w="84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r>
      <w:tr>
        <w:trPr>
          <w:trHeight w:val="270"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20"/>
                <w:szCs w:val="20"/>
              </w:rPr>
              <w:t>8.1.5.</w:t>
            </w:r>
          </w:p>
        </w:tc>
        <w:tc>
          <w:tcPr>
            <w:tcW w:w="7005"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rPr>
              <w:t>Capitole în manuale de învăţămînt universitar</w:t>
            </w:r>
          </w:p>
        </w:tc>
        <w:tc>
          <w:tcPr>
            <w:tcW w:w="84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rPr>
              <w:t> </w:t>
            </w:r>
          </w:p>
        </w:tc>
      </w:tr>
      <w:tr>
        <w:trPr>
          <w:trHeight w:val="270"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20"/>
                <w:szCs w:val="20"/>
              </w:rPr>
              <w:t>8.1.6.</w:t>
            </w:r>
          </w:p>
        </w:tc>
        <w:tc>
          <w:tcPr>
            <w:tcW w:w="7005"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rPr>
              <w:t>Capitole în manuale de învăţămînt preuniversitar</w:t>
            </w:r>
          </w:p>
        </w:tc>
        <w:tc>
          <w:tcPr>
            <w:tcW w:w="84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rPr>
              <w:t> </w:t>
            </w:r>
          </w:p>
        </w:tc>
      </w:tr>
      <w:tr>
        <w:trPr>
          <w:trHeight w:val="270"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20"/>
                <w:szCs w:val="20"/>
              </w:rPr>
              <w:t>8.1.7.</w:t>
            </w:r>
          </w:p>
        </w:tc>
        <w:tc>
          <w:tcPr>
            <w:tcW w:w="7005"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rPr>
              <w:t>Lucrări metod</w:t>
            </w:r>
            <w:r>
              <w:rPr>
                <w:sz w:val="20"/>
                <w:szCs w:val="20"/>
                <w:lang w:val="fr-FR"/>
              </w:rPr>
              <w:t>ice, note de curs, compendiumuri</w:t>
            </w:r>
          </w:p>
        </w:tc>
        <w:tc>
          <w:tcPr>
            <w:tcW w:w="84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rPr>
              <w:t>2 </w:t>
            </w:r>
          </w:p>
        </w:tc>
      </w:tr>
      <w:tr>
        <w:trPr>
          <w:trHeight w:val="270"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20"/>
                <w:szCs w:val="20"/>
              </w:rPr>
              <w:t>8.1.8.</w:t>
            </w:r>
          </w:p>
        </w:tc>
        <w:tc>
          <w:tcPr>
            <w:tcW w:w="7005"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rPr>
              <w:t>Cursuri elaborate în anul de referinţă</w:t>
            </w:r>
          </w:p>
        </w:tc>
        <w:tc>
          <w:tcPr>
            <w:tcW w:w="84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rPr>
              <w:t> </w:t>
            </w:r>
          </w:p>
        </w:tc>
      </w:tr>
      <w:tr>
        <w:trPr>
          <w:trHeight w:val="270"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20"/>
                <w:szCs w:val="20"/>
              </w:rPr>
              <w:t>8.1.9.</w:t>
            </w:r>
          </w:p>
        </w:tc>
        <w:tc>
          <w:tcPr>
            <w:tcW w:w="7005"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rPr>
              <w:t>Cursuri ţinute în anul de referinţă</w:t>
            </w:r>
          </w:p>
        </w:tc>
        <w:tc>
          <w:tcPr>
            <w:tcW w:w="84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1</w:t>
            </w:r>
            <w:r>
              <w:rPr>
                <w:sz w:val="20"/>
                <w:szCs w:val="20"/>
                <w:lang w:val="en-US"/>
              </w:rPr>
              <w:t>7</w:t>
            </w:r>
          </w:p>
        </w:tc>
      </w:tr>
      <w:tr>
        <w:trPr>
          <w:trHeight w:val="270"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20"/>
                <w:szCs w:val="20"/>
              </w:rPr>
              <w:t>8.1.10.</w:t>
            </w:r>
          </w:p>
        </w:tc>
        <w:tc>
          <w:tcPr>
            <w:tcW w:w="7005"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rPr>
              <w:t>Conducător al persoanelor care au susţinut tezei de licenţă/de masterat</w:t>
            </w:r>
          </w:p>
        </w:tc>
        <w:tc>
          <w:tcPr>
            <w:tcW w:w="84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rPr>
              <w:t>5</w:t>
            </w:r>
            <w:r>
              <w:rPr>
                <w:sz w:val="20"/>
                <w:szCs w:val="20"/>
              </w:rPr>
              <w:t>/</w:t>
            </w:r>
            <w:r>
              <w:rPr>
                <w:sz w:val="20"/>
                <w:szCs w:val="20"/>
                <w:lang w:val="en-US"/>
              </w:rPr>
              <w:t>3</w:t>
            </w:r>
          </w:p>
        </w:tc>
      </w:tr>
      <w:tr>
        <w:trPr>
          <w:trHeight w:val="270"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20"/>
                <w:szCs w:val="20"/>
              </w:rPr>
              <w:t>8.1.11.</w:t>
            </w:r>
          </w:p>
        </w:tc>
        <w:tc>
          <w:tcPr>
            <w:tcW w:w="7005"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rPr>
              <w:t>Conducător ştiinţific al persoanelor care au susţinut teza de doctor</w:t>
            </w:r>
          </w:p>
        </w:tc>
        <w:tc>
          <w:tcPr>
            <w:tcW w:w="84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rPr>
              <w:t>1 </w:t>
            </w:r>
          </w:p>
        </w:tc>
      </w:tr>
      <w:tr>
        <w:trPr>
          <w:trHeight w:val="270"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20"/>
                <w:szCs w:val="20"/>
              </w:rPr>
              <w:t>8.1.12.</w:t>
            </w:r>
          </w:p>
        </w:tc>
        <w:tc>
          <w:tcPr>
            <w:tcW w:w="7005"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rPr>
              <w:t>Consultant ştiinţific al persoanelor care au susţinut teza tezei de doctor</w:t>
            </w:r>
          </w:p>
        </w:tc>
        <w:tc>
          <w:tcPr>
            <w:tcW w:w="84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rPr>
              <w:t> </w:t>
            </w:r>
          </w:p>
        </w:tc>
      </w:tr>
      <w:tr>
        <w:trPr>
          <w:trHeight w:val="270"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20"/>
                <w:szCs w:val="20"/>
              </w:rPr>
              <w:t>8.1.13.</w:t>
            </w:r>
          </w:p>
        </w:tc>
        <w:tc>
          <w:tcPr>
            <w:tcW w:w="7005"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rPr>
              <w:t>Consultant ştiinţific al persoanelor care au susţinut teza de doctor habilitat</w:t>
            </w:r>
          </w:p>
        </w:tc>
        <w:tc>
          <w:tcPr>
            <w:tcW w:w="84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rPr>
              <w:t> </w:t>
            </w:r>
          </w:p>
        </w:tc>
      </w:tr>
      <w:tr>
        <w:trPr>
          <w:trHeight w:val="270"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20"/>
                <w:szCs w:val="20"/>
              </w:rPr>
              <w:t>8.1.14.</w:t>
            </w:r>
          </w:p>
        </w:tc>
        <w:tc>
          <w:tcPr>
            <w:tcW w:w="7005" w:type="dxa"/>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rPr>
              <w:t>Studenţi, masteranzi, care au</w:t>
            </w:r>
            <w:r>
              <w:rPr>
                <w:sz w:val="20"/>
                <w:szCs w:val="20"/>
                <w:lang w:val="en-US"/>
              </w:rPr>
              <w:t xml:space="preserve"> efectut stagiere practica în cadrul subdiviziunii</w:t>
            </w:r>
          </w:p>
        </w:tc>
        <w:tc>
          <w:tcPr>
            <w:tcW w:w="84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20"/>
                <w:szCs w:val="20"/>
              </w:rPr>
              <w:t>5</w:t>
            </w:r>
          </w:p>
        </w:tc>
      </w:tr>
      <w:tr>
        <w:trPr>
          <w:trHeight w:val="270"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pPr>
            <w:r>
              <w:rPr>
                <w:sz w:val="20"/>
                <w:szCs w:val="20"/>
              </w:rPr>
              <w:t> </w:t>
            </w:r>
          </w:p>
        </w:tc>
        <w:tc>
          <w:tcPr>
            <w:tcW w:w="7846" w:type="dxa"/>
            <w:gridSpan w:val="2"/>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lang w:val="en-US"/>
              </w:rPr>
            </w:pPr>
            <w:r>
              <w:rPr>
                <w:rFonts w:cs="Times New Roman CE" w:ascii="Times New Roman CE" w:hAnsi="Times New Roman CE"/>
                <w:b/>
                <w:bCs/>
                <w:sz w:val="20"/>
                <w:szCs w:val="20"/>
                <w:lang w:val="en-US"/>
              </w:rPr>
              <w:t>8.2. Participări în elaborarea actelor normative şi activităţi de consultanţă</w:t>
            </w:r>
          </w:p>
        </w:tc>
      </w:tr>
      <w:tr>
        <w:trPr>
          <w:trHeight w:val="270"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20"/>
                <w:szCs w:val="20"/>
              </w:rPr>
              <w:t>8.2.1.</w:t>
            </w:r>
          </w:p>
        </w:tc>
        <w:tc>
          <w:tcPr>
            <w:tcW w:w="7005"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rPr>
              <w:t>Documente de politici elaborate şi aprobate</w:t>
            </w:r>
          </w:p>
        </w:tc>
        <w:tc>
          <w:tcPr>
            <w:tcW w:w="84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rPr>
              <w:t> </w:t>
            </w:r>
          </w:p>
        </w:tc>
      </w:tr>
      <w:tr>
        <w:trPr>
          <w:trHeight w:val="270"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20"/>
                <w:szCs w:val="20"/>
              </w:rPr>
              <w:t>8.2.2.</w:t>
            </w:r>
          </w:p>
        </w:tc>
        <w:tc>
          <w:tcPr>
            <w:tcW w:w="7005"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rPr>
              <w:t>Acte normative elaborate, inclusiv tratate internaţionale</w:t>
            </w:r>
          </w:p>
        </w:tc>
        <w:tc>
          <w:tcPr>
            <w:tcW w:w="84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rPr>
              <w:t> </w:t>
            </w:r>
          </w:p>
        </w:tc>
      </w:tr>
      <w:tr>
        <w:trPr>
          <w:trHeight w:val="270"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20"/>
                <w:szCs w:val="20"/>
              </w:rPr>
              <w:t>8.2.3.</w:t>
            </w:r>
          </w:p>
        </w:tc>
        <w:tc>
          <w:tcPr>
            <w:tcW w:w="7005"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rPr>
              <w:t>Avize a proiectelor de legi şi alte acte normative</w:t>
            </w:r>
          </w:p>
        </w:tc>
        <w:tc>
          <w:tcPr>
            <w:tcW w:w="84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rPr>
              <w:t> </w:t>
            </w:r>
          </w:p>
        </w:tc>
      </w:tr>
      <w:tr>
        <w:trPr>
          <w:trHeight w:val="525"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20"/>
                <w:szCs w:val="20"/>
              </w:rPr>
              <w:t>8.2.4.</w:t>
            </w:r>
          </w:p>
        </w:tc>
        <w:tc>
          <w:tcPr>
            <w:tcW w:w="7005"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rPr>
              <w:t>Recomandări metodologice elaborate şi implementate în activitatea autorităţilor publice centrale şi locale</w:t>
            </w:r>
          </w:p>
        </w:tc>
        <w:tc>
          <w:tcPr>
            <w:tcW w:w="84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rPr>
              <w:t> </w:t>
            </w:r>
          </w:p>
        </w:tc>
      </w:tr>
      <w:tr>
        <w:trPr>
          <w:trHeight w:val="525"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20"/>
                <w:szCs w:val="20"/>
              </w:rPr>
              <w:t>8.2.5.</w:t>
            </w:r>
          </w:p>
        </w:tc>
        <w:tc>
          <w:tcPr>
            <w:tcW w:w="7005"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rPr>
              <w:t>Participării în activitatea comisiilor instituite de preşedinţie, parl</w:t>
            </w:r>
            <w:r>
              <w:rPr>
                <w:sz w:val="20"/>
                <w:szCs w:val="20"/>
                <w:lang w:val="fr-FR"/>
              </w:rPr>
              <w:t>ament, guvern</w:t>
            </w:r>
          </w:p>
        </w:tc>
        <w:tc>
          <w:tcPr>
            <w:tcW w:w="84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rPr>
              <w:t> </w:t>
            </w:r>
          </w:p>
        </w:tc>
      </w:tr>
      <w:tr>
        <w:trPr>
          <w:trHeight w:val="525"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20"/>
                <w:szCs w:val="20"/>
              </w:rPr>
              <w:t>8.2.6.</w:t>
            </w:r>
          </w:p>
        </w:tc>
        <w:tc>
          <w:tcPr>
            <w:tcW w:w="7005"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rPr>
              <w:t>Participării în activitatea grupurilor de lucru instituite de ministere, departamente</w:t>
            </w:r>
          </w:p>
        </w:tc>
        <w:tc>
          <w:tcPr>
            <w:tcW w:w="84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rPr>
              <w:t>5</w:t>
            </w:r>
          </w:p>
        </w:tc>
      </w:tr>
      <w:tr>
        <w:trPr>
          <w:trHeight w:val="270"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pPr>
            <w:r>
              <w:rPr>
                <w:sz w:val="20"/>
                <w:szCs w:val="20"/>
              </w:rPr>
              <w:t> </w:t>
            </w:r>
          </w:p>
        </w:tc>
        <w:tc>
          <w:tcPr>
            <w:tcW w:w="7846" w:type="dxa"/>
            <w:gridSpan w:val="2"/>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lang w:val="en-US"/>
              </w:rPr>
            </w:pPr>
            <w:r>
              <w:rPr>
                <w:rFonts w:cs="Times New Roman CE" w:ascii="Times New Roman CE" w:hAnsi="Times New Roman CE"/>
                <w:b/>
                <w:bCs/>
                <w:sz w:val="20"/>
                <w:szCs w:val="20"/>
                <w:lang w:val="en-US"/>
              </w:rPr>
              <w:t>8.3. Diseminarea informaţiei ştiinţifice şi promovarea imaginii ştiinţei</w:t>
            </w:r>
          </w:p>
        </w:tc>
      </w:tr>
      <w:tr>
        <w:trPr>
          <w:trHeight w:val="270"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20"/>
                <w:szCs w:val="20"/>
              </w:rPr>
              <w:t>8.3.1.</w:t>
            </w:r>
          </w:p>
        </w:tc>
        <w:tc>
          <w:tcPr>
            <w:tcW w:w="7005"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rFonts w:cs="Times New Roman CE" w:ascii="Times New Roman CE" w:hAnsi="Times New Roman CE"/>
                <w:sz w:val="20"/>
                <w:szCs w:val="20"/>
              </w:rPr>
              <w:t>Manifestări ştiinţifice internaţionale organizate</w:t>
            </w:r>
          </w:p>
        </w:tc>
        <w:tc>
          <w:tcPr>
            <w:tcW w:w="84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1</w:t>
            </w:r>
          </w:p>
        </w:tc>
      </w:tr>
      <w:tr>
        <w:trPr>
          <w:trHeight w:val="270"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20"/>
                <w:szCs w:val="20"/>
              </w:rPr>
              <w:t>8.3.2.</w:t>
            </w:r>
          </w:p>
        </w:tc>
        <w:tc>
          <w:tcPr>
            <w:tcW w:w="7005"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rFonts w:cs="Times New Roman CE" w:ascii="Times New Roman CE" w:hAnsi="Times New Roman CE"/>
                <w:sz w:val="20"/>
                <w:szCs w:val="20"/>
              </w:rPr>
              <w:t>Manifestări ştiinţifice naţionale organizate</w:t>
            </w:r>
          </w:p>
        </w:tc>
        <w:tc>
          <w:tcPr>
            <w:tcW w:w="84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r>
      <w:tr>
        <w:trPr>
          <w:trHeight w:val="270"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20"/>
                <w:szCs w:val="20"/>
              </w:rPr>
              <w:t>8.3.3.</w:t>
            </w:r>
          </w:p>
        </w:tc>
        <w:tc>
          <w:tcPr>
            <w:tcW w:w="7005"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rPr>
              <w:t xml:space="preserve">Cărţi de popularizare a ştiinţei </w:t>
            </w:r>
          </w:p>
        </w:tc>
        <w:tc>
          <w:tcPr>
            <w:tcW w:w="84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rPr>
              <w:t> </w:t>
            </w:r>
          </w:p>
        </w:tc>
      </w:tr>
      <w:tr>
        <w:trPr>
          <w:trHeight w:val="270"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20"/>
                <w:szCs w:val="20"/>
              </w:rPr>
              <w:t>8.3.4.</w:t>
            </w:r>
          </w:p>
        </w:tc>
        <w:tc>
          <w:tcPr>
            <w:tcW w:w="7005"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rPr>
              <w:t xml:space="preserve">Articole de popularizare a ştiinţei </w:t>
            </w:r>
          </w:p>
        </w:tc>
        <w:tc>
          <w:tcPr>
            <w:tcW w:w="84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rPr>
              <w:t> </w:t>
            </w:r>
          </w:p>
        </w:tc>
      </w:tr>
      <w:tr>
        <w:trPr>
          <w:trHeight w:val="270"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20"/>
                <w:szCs w:val="20"/>
              </w:rPr>
              <w:t>8.3.5.</w:t>
            </w:r>
          </w:p>
        </w:tc>
        <w:tc>
          <w:tcPr>
            <w:tcW w:w="7005"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rPr>
              <w:t xml:space="preserve">Participări la emisiuni tele-radio consacrate ştiinţei </w:t>
            </w:r>
          </w:p>
        </w:tc>
        <w:tc>
          <w:tcPr>
            <w:tcW w:w="84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rPr>
              <w:t> </w:t>
            </w:r>
          </w:p>
        </w:tc>
      </w:tr>
      <w:tr>
        <w:trPr>
          <w:trHeight w:val="270"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20"/>
                <w:szCs w:val="20"/>
              </w:rPr>
              <w:t>8.3.6.</w:t>
            </w:r>
          </w:p>
        </w:tc>
        <w:tc>
          <w:tcPr>
            <w:tcW w:w="7005"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rPr>
              <w:t>Seminare ştiinţifice de profil şi manifestăr</w:t>
            </w:r>
            <w:r>
              <w:rPr>
                <w:sz w:val="20"/>
                <w:szCs w:val="20"/>
                <w:lang w:val="fr-FR"/>
              </w:rPr>
              <w:t>i organizate</w:t>
            </w:r>
          </w:p>
        </w:tc>
        <w:tc>
          <w:tcPr>
            <w:tcW w:w="84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rPr>
              <w:t>3</w:t>
            </w:r>
          </w:p>
        </w:tc>
      </w:tr>
    </w:tbl>
    <w:p>
      <w:pPr>
        <w:pStyle w:val="Normal"/>
        <w:widowControl/>
        <w:bidi w:val="0"/>
        <w:spacing w:before="0" w:after="240"/>
        <w:ind w:left="0" w:right="-2016" w:hanging="0"/>
        <w:jc w:val="center"/>
        <w:textAlignment w:val="auto"/>
        <w:rPr>
          <w:rFonts w:ascii="Times New Roman" w:hAnsi="Times New Roman"/>
          <w:sz w:val="22"/>
          <w:szCs w:val="22"/>
          <w:lang w:val="ro-MD"/>
        </w:rPr>
      </w:pPr>
      <w:r>
        <w:rPr>
          <w:sz w:val="22"/>
          <w:szCs w:val="22"/>
          <w:lang w:val="ro-MD"/>
        </w:rPr>
      </w:r>
    </w:p>
    <w:p>
      <w:pPr>
        <w:pStyle w:val="Normal"/>
        <w:widowControl/>
        <w:bidi w:val="0"/>
        <w:spacing w:before="0" w:after="240"/>
        <w:ind w:left="0" w:right="-2016" w:hanging="0"/>
        <w:jc w:val="center"/>
        <w:textAlignment w:val="auto"/>
        <w:rPr>
          <w:lang w:val="ro-MD"/>
        </w:rPr>
      </w:pPr>
      <w:bookmarkStart w:id="443" w:name="RANGE!A1:C28"/>
      <w:bookmarkStart w:id="444" w:name="RANGE!A1:C28"/>
      <w:bookmarkEnd w:id="444"/>
      <w:r>
        <w:rPr>
          <w:lang w:val="ro-MD"/>
        </w:rPr>
      </w:r>
    </w:p>
    <w:p>
      <w:pPr>
        <w:pStyle w:val="Normal"/>
        <w:widowControl/>
        <w:bidi w:val="0"/>
        <w:spacing w:before="0" w:after="240"/>
        <w:ind w:left="0" w:right="-2016" w:hanging="0"/>
        <w:jc w:val="center"/>
        <w:textAlignment w:val="auto"/>
        <w:rPr>
          <w:rFonts w:ascii="Times New Roman" w:hAnsi="Times New Roman"/>
          <w:sz w:val="22"/>
          <w:szCs w:val="22"/>
          <w:lang w:val="ro-MD"/>
        </w:rPr>
      </w:pPr>
      <w:r>
        <w:rPr>
          <w:sz w:val="22"/>
          <w:szCs w:val="22"/>
          <w:lang w:val="ro-MD"/>
        </w:rPr>
      </w:r>
    </w:p>
    <w:p>
      <w:pPr>
        <w:pStyle w:val="Normal"/>
        <w:widowControl/>
        <w:bidi w:val="0"/>
        <w:spacing w:before="0" w:after="240"/>
        <w:ind w:left="0" w:right="-2016" w:hanging="0"/>
        <w:jc w:val="center"/>
        <w:textAlignment w:val="auto"/>
        <w:rPr>
          <w:rFonts w:ascii="Times New Roman" w:hAnsi="Times New Roman"/>
          <w:sz w:val="22"/>
          <w:szCs w:val="22"/>
          <w:lang w:val="ro-MD"/>
        </w:rPr>
      </w:pPr>
      <w:r>
        <w:rPr>
          <w:sz w:val="22"/>
          <w:szCs w:val="22"/>
          <w:lang w:val="ro-MD"/>
        </w:rPr>
      </w:r>
    </w:p>
    <w:p>
      <w:pPr>
        <w:pStyle w:val="Normal"/>
        <w:widowControl/>
        <w:bidi w:val="0"/>
        <w:spacing w:before="0" w:after="240"/>
        <w:ind w:left="0" w:right="-2016" w:hanging="0"/>
        <w:jc w:val="center"/>
        <w:textAlignment w:val="auto"/>
        <w:rPr>
          <w:rFonts w:ascii="Times New Roman" w:hAnsi="Times New Roman"/>
          <w:sz w:val="22"/>
          <w:szCs w:val="22"/>
          <w:lang w:val="ro-MD"/>
        </w:rPr>
      </w:pPr>
      <w:r>
        <w:rPr>
          <w:sz w:val="22"/>
          <w:szCs w:val="22"/>
          <w:lang w:val="ro-MD"/>
        </w:rPr>
      </w:r>
    </w:p>
    <w:p>
      <w:pPr>
        <w:pStyle w:val="Normal"/>
        <w:widowControl/>
        <w:bidi w:val="0"/>
        <w:spacing w:before="0" w:after="240"/>
        <w:ind w:left="0" w:right="-2016" w:hanging="0"/>
        <w:jc w:val="center"/>
        <w:textAlignment w:val="auto"/>
        <w:rPr>
          <w:rFonts w:ascii="Times New Roman" w:hAnsi="Times New Roman"/>
          <w:sz w:val="22"/>
          <w:szCs w:val="22"/>
          <w:lang w:val="ro-MD"/>
        </w:rPr>
      </w:pPr>
      <w:r>
        <w:rPr>
          <w:sz w:val="22"/>
          <w:szCs w:val="22"/>
          <w:lang w:val="ro-MD"/>
        </w:rPr>
      </w:r>
    </w:p>
    <w:p>
      <w:pPr>
        <w:pStyle w:val="Normal"/>
        <w:widowControl/>
        <w:bidi w:val="0"/>
        <w:spacing w:before="0" w:after="240"/>
        <w:ind w:left="0" w:right="-2016" w:hanging="0"/>
        <w:jc w:val="center"/>
        <w:textAlignment w:val="auto"/>
        <w:rPr>
          <w:rFonts w:ascii="Times New Roman" w:hAnsi="Times New Roman"/>
          <w:sz w:val="22"/>
          <w:szCs w:val="22"/>
          <w:lang w:val="ro-MD"/>
        </w:rPr>
      </w:pPr>
      <w:r>
        <w:rPr>
          <w:sz w:val="22"/>
          <w:szCs w:val="22"/>
          <w:lang w:val="ro-MD"/>
        </w:rPr>
      </w:r>
    </w:p>
    <w:p>
      <w:pPr>
        <w:pStyle w:val="Normal"/>
        <w:widowControl/>
        <w:bidi w:val="0"/>
        <w:spacing w:before="0" w:after="240"/>
        <w:ind w:left="0" w:right="-2016" w:hanging="0"/>
        <w:jc w:val="center"/>
        <w:textAlignment w:val="auto"/>
        <w:rPr>
          <w:rFonts w:ascii="Times New Roman" w:hAnsi="Times New Roman"/>
          <w:sz w:val="22"/>
          <w:szCs w:val="22"/>
          <w:lang w:val="ro-MD"/>
        </w:rPr>
      </w:pPr>
      <w:r>
        <w:rPr>
          <w:sz w:val="22"/>
          <w:szCs w:val="22"/>
          <w:lang w:val="ro-MD"/>
        </w:rPr>
      </w:r>
    </w:p>
    <w:p>
      <w:pPr>
        <w:pStyle w:val="Normal"/>
        <w:widowControl/>
        <w:bidi w:val="0"/>
        <w:spacing w:before="0" w:after="240"/>
        <w:ind w:left="0" w:right="-2016" w:hanging="0"/>
        <w:jc w:val="center"/>
        <w:textAlignment w:val="auto"/>
        <w:rPr>
          <w:rFonts w:ascii="Times New Roman" w:hAnsi="Times New Roman"/>
          <w:sz w:val="22"/>
          <w:szCs w:val="22"/>
          <w:lang w:val="ro-MD"/>
        </w:rPr>
      </w:pPr>
      <w:r>
        <w:rPr>
          <w:sz w:val="22"/>
          <w:szCs w:val="22"/>
          <w:lang w:val="ro-MD"/>
        </w:rPr>
      </w:r>
    </w:p>
    <w:p>
      <w:pPr>
        <w:pStyle w:val="Normal"/>
        <w:widowControl/>
        <w:bidi w:val="0"/>
        <w:spacing w:before="0" w:after="240"/>
        <w:ind w:left="0" w:right="-2016" w:hanging="0"/>
        <w:jc w:val="center"/>
        <w:textAlignment w:val="auto"/>
        <w:rPr>
          <w:rFonts w:ascii="Times New Roman" w:hAnsi="Times New Roman"/>
          <w:sz w:val="22"/>
          <w:szCs w:val="22"/>
          <w:lang w:val="ro-MD"/>
        </w:rPr>
      </w:pPr>
      <w:r>
        <w:rPr>
          <w:sz w:val="22"/>
          <w:szCs w:val="22"/>
          <w:lang w:val="ro-MD"/>
        </w:rPr>
      </w:r>
    </w:p>
    <w:p>
      <w:pPr>
        <w:pStyle w:val="Normal"/>
        <w:widowControl/>
        <w:bidi w:val="0"/>
        <w:spacing w:before="0" w:after="240"/>
        <w:ind w:left="0" w:right="-2016" w:hanging="0"/>
        <w:jc w:val="center"/>
        <w:textAlignment w:val="auto"/>
        <w:rPr>
          <w:rFonts w:ascii="Times New Roman" w:hAnsi="Times New Roman"/>
          <w:sz w:val="22"/>
          <w:szCs w:val="22"/>
          <w:lang w:val="ro-MD"/>
        </w:rPr>
      </w:pPr>
      <w:r>
        <w:rPr>
          <w:sz w:val="22"/>
          <w:szCs w:val="22"/>
          <w:lang w:val="ro-MD"/>
        </w:rPr>
      </w:r>
    </w:p>
    <w:p>
      <w:pPr>
        <w:pStyle w:val="Normal"/>
        <w:widowControl/>
        <w:bidi w:val="0"/>
        <w:spacing w:before="0" w:after="240"/>
        <w:ind w:left="0" w:right="-2016" w:hanging="0"/>
        <w:jc w:val="center"/>
        <w:textAlignment w:val="auto"/>
        <w:rPr>
          <w:rFonts w:ascii="Times New Roman" w:hAnsi="Times New Roman"/>
          <w:sz w:val="22"/>
          <w:szCs w:val="22"/>
          <w:lang w:val="ro-MD"/>
        </w:rPr>
      </w:pPr>
      <w:r>
        <w:rPr>
          <w:sz w:val="22"/>
          <w:szCs w:val="22"/>
          <w:lang w:val="ro-MD"/>
        </w:rPr>
      </w:r>
    </w:p>
    <w:p>
      <w:pPr>
        <w:pStyle w:val="Normal"/>
        <w:widowControl/>
        <w:bidi w:val="0"/>
        <w:spacing w:before="0" w:after="240"/>
        <w:ind w:left="0" w:right="-2016" w:hanging="0"/>
        <w:jc w:val="center"/>
        <w:textAlignment w:val="auto"/>
        <w:rPr>
          <w:rFonts w:ascii="Times New Roman" w:hAnsi="Times New Roman"/>
          <w:sz w:val="22"/>
          <w:szCs w:val="22"/>
          <w:lang w:val="ro-MD"/>
        </w:rPr>
      </w:pPr>
      <w:r>
        <w:rPr>
          <w:sz w:val="22"/>
          <w:szCs w:val="22"/>
          <w:lang w:val="ro-MD"/>
        </w:rPr>
      </w:r>
    </w:p>
    <w:p>
      <w:pPr>
        <w:pStyle w:val="Normal"/>
        <w:widowControl/>
        <w:bidi w:val="0"/>
        <w:spacing w:before="0" w:after="240"/>
        <w:ind w:left="0" w:right="-2016" w:hanging="0"/>
        <w:jc w:val="center"/>
        <w:textAlignment w:val="auto"/>
        <w:rPr>
          <w:rFonts w:ascii="Times New Roman" w:hAnsi="Times New Roman"/>
          <w:sz w:val="22"/>
          <w:szCs w:val="22"/>
          <w:lang w:val="ro-MD"/>
        </w:rPr>
      </w:pPr>
      <w:r>
        <w:rPr>
          <w:sz w:val="22"/>
          <w:szCs w:val="22"/>
          <w:lang w:val="ro-MD"/>
        </w:rPr>
      </w:r>
    </w:p>
    <w:p>
      <w:pPr>
        <w:pStyle w:val="Normal"/>
        <w:widowControl/>
        <w:bidi w:val="0"/>
        <w:spacing w:before="0" w:after="240"/>
        <w:ind w:left="0" w:right="-2016" w:hanging="0"/>
        <w:jc w:val="center"/>
        <w:textAlignment w:val="auto"/>
        <w:rPr>
          <w:rFonts w:ascii="Times New Roman" w:hAnsi="Times New Roman"/>
          <w:sz w:val="22"/>
          <w:szCs w:val="22"/>
          <w:lang w:val="ro-MD"/>
        </w:rPr>
      </w:pPr>
      <w:r>
        <w:rPr>
          <w:sz w:val="22"/>
          <w:szCs w:val="22"/>
          <w:lang w:val="ro-MD"/>
        </w:rPr>
      </w:r>
    </w:p>
    <w:p>
      <w:pPr>
        <w:pStyle w:val="Normal"/>
        <w:widowControl/>
        <w:bidi w:val="0"/>
        <w:spacing w:before="0" w:after="240"/>
        <w:ind w:left="0" w:right="-2016" w:hanging="0"/>
        <w:jc w:val="center"/>
        <w:textAlignment w:val="auto"/>
        <w:rPr>
          <w:rFonts w:ascii="Times New Roman" w:hAnsi="Times New Roman"/>
          <w:sz w:val="22"/>
          <w:szCs w:val="22"/>
          <w:lang w:val="ro-MD"/>
        </w:rPr>
      </w:pPr>
      <w:r>
        <w:rPr>
          <w:sz w:val="22"/>
          <w:szCs w:val="22"/>
          <w:lang w:val="ro-MD"/>
        </w:rPr>
      </w:r>
    </w:p>
    <w:p>
      <w:pPr>
        <w:pStyle w:val="Normal"/>
        <w:widowControl/>
        <w:bidi w:val="0"/>
        <w:ind w:left="0" w:right="0" w:firstLine="708"/>
        <w:jc w:val="both"/>
        <w:textAlignment w:val="auto"/>
        <w:rPr>
          <w:rFonts w:ascii="Times New Roman" w:hAnsi="Times New Roman"/>
          <w:i/>
          <w:i/>
          <w:lang w:val="ro-MD"/>
        </w:rPr>
      </w:pPr>
      <w:r>
        <w:rPr>
          <w:i/>
          <w:lang w:val="ro-MD"/>
        </w:rPr>
      </w:r>
    </w:p>
    <w:p>
      <w:pPr>
        <w:pStyle w:val="Normal"/>
        <w:widowControl/>
        <w:bidi w:val="0"/>
        <w:ind w:left="0" w:right="0" w:firstLine="708"/>
        <w:jc w:val="both"/>
        <w:textAlignment w:val="auto"/>
        <w:rPr>
          <w:rFonts w:ascii="Times New Roman" w:hAnsi="Times New Roman"/>
          <w:i/>
          <w:i/>
          <w:lang w:val="ro-MD"/>
        </w:rPr>
      </w:pPr>
      <w:r>
        <w:rPr>
          <w:i/>
          <w:lang w:val="ro-MD"/>
        </w:rPr>
      </w:r>
    </w:p>
    <w:p>
      <w:pPr>
        <w:pStyle w:val="Normal"/>
        <w:widowControl/>
        <w:bidi w:val="0"/>
        <w:ind w:left="0" w:right="0" w:firstLine="708"/>
        <w:jc w:val="both"/>
        <w:textAlignment w:val="auto"/>
        <w:rPr>
          <w:rFonts w:ascii="Times New Roman" w:hAnsi="Times New Roman"/>
          <w:i/>
          <w:i/>
          <w:lang w:val="ro-MD"/>
        </w:rPr>
      </w:pPr>
      <w:r>
        <w:rPr>
          <w:i/>
          <w:lang w:val="ro-MD"/>
        </w:rPr>
      </w:r>
    </w:p>
    <w:p>
      <w:pPr>
        <w:pStyle w:val="Normal"/>
        <w:widowControl/>
        <w:bidi w:val="0"/>
        <w:ind w:left="0" w:right="0" w:firstLine="708"/>
        <w:jc w:val="both"/>
        <w:textAlignment w:val="auto"/>
        <w:rPr>
          <w:rFonts w:ascii="Times New Roman" w:hAnsi="Times New Roman"/>
          <w:i/>
          <w:i/>
          <w:lang w:val="ro-MD"/>
        </w:rPr>
      </w:pPr>
      <w:r>
        <w:rPr>
          <w:i/>
          <w:lang w:val="ro-MD"/>
        </w:rPr>
      </w:r>
    </w:p>
    <w:p>
      <w:pPr>
        <w:pStyle w:val="Normal"/>
        <w:widowControl/>
        <w:bidi w:val="0"/>
        <w:ind w:left="0" w:right="0" w:firstLine="708"/>
        <w:jc w:val="both"/>
        <w:textAlignment w:val="auto"/>
        <w:rPr>
          <w:rFonts w:ascii="Times New Roman" w:hAnsi="Times New Roman"/>
          <w:i/>
          <w:i/>
          <w:lang w:val="ro-MD"/>
        </w:rPr>
      </w:pPr>
      <w:r>
        <w:rPr>
          <w:i/>
          <w:lang w:val="ro-MD"/>
        </w:rPr>
      </w:r>
    </w:p>
    <w:p>
      <w:pPr>
        <w:pStyle w:val="Normal"/>
        <w:widowControl/>
        <w:bidi w:val="0"/>
        <w:ind w:left="0" w:right="0" w:firstLine="708"/>
        <w:jc w:val="both"/>
        <w:textAlignment w:val="auto"/>
        <w:rPr>
          <w:rFonts w:ascii="Times New Roman" w:hAnsi="Times New Roman"/>
          <w:i/>
          <w:i/>
          <w:lang w:val="ro-MD"/>
        </w:rPr>
      </w:pPr>
      <w:r>
        <w:rPr>
          <w:i/>
          <w:lang w:val="ro-MD"/>
        </w:rPr>
      </w:r>
    </w:p>
    <w:p>
      <w:pPr>
        <w:pStyle w:val="Normal"/>
        <w:widowControl/>
        <w:bidi w:val="0"/>
        <w:ind w:left="0" w:right="0" w:firstLine="708"/>
        <w:jc w:val="both"/>
        <w:textAlignment w:val="auto"/>
        <w:rPr>
          <w:rFonts w:ascii="Times New Roman" w:hAnsi="Times New Roman"/>
          <w:i/>
          <w:i/>
          <w:lang w:val="ro-MD"/>
        </w:rPr>
      </w:pPr>
      <w:r>
        <w:rPr>
          <w:i/>
          <w:lang w:val="ro-MD"/>
        </w:rPr>
      </w:r>
    </w:p>
    <w:p>
      <w:pPr>
        <w:pStyle w:val="Normal"/>
        <w:widowControl/>
        <w:bidi w:val="0"/>
        <w:ind w:left="0" w:right="0" w:firstLine="708"/>
        <w:jc w:val="both"/>
        <w:textAlignment w:val="auto"/>
        <w:rPr>
          <w:rFonts w:ascii="Times New Roman" w:hAnsi="Times New Roman"/>
          <w:i/>
          <w:i/>
          <w:lang w:val="ro-MD"/>
        </w:rPr>
      </w:pPr>
      <w:r>
        <w:rPr>
          <w:i/>
          <w:lang w:val="ro-MD"/>
        </w:rPr>
      </w:r>
    </w:p>
    <w:p>
      <w:pPr>
        <w:pStyle w:val="Normal"/>
        <w:widowControl/>
        <w:bidi w:val="0"/>
        <w:ind w:left="0" w:right="0" w:firstLine="708"/>
        <w:jc w:val="both"/>
        <w:textAlignment w:val="auto"/>
        <w:rPr>
          <w:rFonts w:ascii="Times New Roman" w:hAnsi="Times New Roman"/>
          <w:i/>
          <w:i/>
          <w:lang w:val="ro-MD"/>
        </w:rPr>
      </w:pPr>
      <w:r>
        <w:rPr>
          <w:i/>
          <w:lang w:val="ro-MD"/>
        </w:rPr>
      </w:r>
    </w:p>
    <w:p>
      <w:pPr>
        <w:pStyle w:val="Normal"/>
        <w:widowControl/>
        <w:bidi w:val="0"/>
        <w:ind w:left="0" w:right="0" w:firstLine="708"/>
        <w:jc w:val="both"/>
        <w:textAlignment w:val="auto"/>
        <w:rPr>
          <w:rFonts w:ascii="Times New Roman" w:hAnsi="Times New Roman"/>
          <w:i/>
          <w:i/>
          <w:lang w:val="ro-MD"/>
        </w:rPr>
      </w:pPr>
      <w:r>
        <w:rPr>
          <w:i/>
          <w:lang w:val="ro-MD"/>
        </w:rPr>
      </w:r>
    </w:p>
    <w:p>
      <w:pPr>
        <w:pStyle w:val="Normal"/>
        <w:widowControl/>
        <w:bidi w:val="0"/>
        <w:ind w:left="0" w:right="0" w:firstLine="708"/>
        <w:jc w:val="both"/>
        <w:textAlignment w:val="auto"/>
        <w:rPr>
          <w:rFonts w:ascii="Times New Roman" w:hAnsi="Times New Roman"/>
          <w:i/>
          <w:i/>
          <w:lang w:val="ro-MD"/>
        </w:rPr>
      </w:pPr>
      <w:r>
        <w:rPr>
          <w:i/>
          <w:lang w:val="ro-MD"/>
        </w:rPr>
      </w:r>
    </w:p>
    <w:p>
      <w:pPr>
        <w:pStyle w:val="Normal"/>
        <w:widowControl/>
        <w:bidi w:val="0"/>
        <w:ind w:left="0" w:right="0" w:firstLine="708"/>
        <w:jc w:val="both"/>
        <w:textAlignment w:val="auto"/>
        <w:rPr>
          <w:rFonts w:ascii="Times New Roman" w:hAnsi="Times New Roman"/>
          <w:i/>
          <w:i/>
          <w:lang w:val="ro-MD"/>
        </w:rPr>
      </w:pPr>
      <w:r>
        <w:rPr>
          <w:i/>
          <w:lang w:val="ro-MD"/>
        </w:rPr>
      </w:r>
    </w:p>
    <w:p>
      <w:pPr>
        <w:pStyle w:val="Normal"/>
        <w:widowControl/>
        <w:bidi w:val="0"/>
        <w:ind w:left="0" w:right="0" w:firstLine="708"/>
        <w:jc w:val="both"/>
        <w:textAlignment w:val="auto"/>
        <w:rPr>
          <w:rFonts w:ascii="Times New Roman" w:hAnsi="Times New Roman"/>
          <w:i/>
          <w:i/>
          <w:lang w:val="ro-MD"/>
        </w:rPr>
      </w:pPr>
      <w:r>
        <w:rPr>
          <w:i/>
          <w:lang w:val="ro-MD"/>
        </w:rPr>
      </w:r>
    </w:p>
    <w:p>
      <w:pPr>
        <w:pStyle w:val="Normal"/>
        <w:widowControl/>
        <w:bidi w:val="0"/>
        <w:ind w:left="0" w:right="0" w:firstLine="708"/>
        <w:jc w:val="both"/>
        <w:textAlignment w:val="auto"/>
        <w:rPr>
          <w:rFonts w:ascii="Times New Roman" w:hAnsi="Times New Roman"/>
          <w:i/>
          <w:i/>
          <w:lang w:val="ro-MD"/>
        </w:rPr>
      </w:pPr>
      <w:r>
        <w:rPr>
          <w:i/>
          <w:lang w:val="ro-MD"/>
        </w:rPr>
      </w:r>
    </w:p>
    <w:p>
      <w:pPr>
        <w:pStyle w:val="Normal"/>
        <w:widowControl/>
        <w:bidi w:val="0"/>
        <w:ind w:left="0" w:right="0" w:firstLine="708"/>
        <w:jc w:val="both"/>
        <w:textAlignment w:val="auto"/>
        <w:rPr>
          <w:rFonts w:ascii="Times New Roman" w:hAnsi="Times New Roman"/>
          <w:i/>
          <w:i/>
          <w:lang w:val="ro-MD"/>
        </w:rPr>
      </w:pPr>
      <w:r>
        <w:rPr>
          <w:i/>
          <w:lang w:val="ro-MD"/>
        </w:rPr>
      </w:r>
    </w:p>
    <w:p>
      <w:pPr>
        <w:pStyle w:val="Normal"/>
        <w:widowControl/>
        <w:bidi w:val="0"/>
        <w:ind w:left="0" w:right="0" w:firstLine="708"/>
        <w:jc w:val="both"/>
        <w:textAlignment w:val="auto"/>
        <w:rPr>
          <w:rFonts w:ascii="Times New Roman" w:hAnsi="Times New Roman"/>
          <w:i/>
          <w:i/>
          <w:lang w:val="ro-MD"/>
        </w:rPr>
      </w:pPr>
      <w:r>
        <w:rPr>
          <w:i/>
          <w:lang w:val="ro-MD"/>
        </w:rPr>
      </w:r>
    </w:p>
    <w:p>
      <w:pPr>
        <w:pStyle w:val="Normal"/>
        <w:widowControl/>
        <w:bidi w:val="0"/>
        <w:ind w:left="0" w:right="0" w:firstLine="708"/>
        <w:jc w:val="both"/>
        <w:textAlignment w:val="auto"/>
        <w:rPr>
          <w:rFonts w:ascii="Times New Roman" w:hAnsi="Times New Roman"/>
          <w:i/>
          <w:i/>
          <w:lang w:val="ro-MD"/>
        </w:rPr>
      </w:pPr>
      <w:r>
        <w:rPr>
          <w:i/>
          <w:lang w:val="ro-MD"/>
        </w:rPr>
      </w:r>
    </w:p>
    <w:p>
      <w:pPr>
        <w:pStyle w:val="Normal"/>
        <w:widowControl/>
        <w:bidi w:val="0"/>
        <w:ind w:left="0" w:right="0" w:firstLine="708"/>
        <w:jc w:val="both"/>
        <w:textAlignment w:val="auto"/>
        <w:rPr>
          <w:rFonts w:ascii="Times New Roman" w:hAnsi="Times New Roman"/>
          <w:i/>
          <w:i/>
          <w:lang w:val="ro-MD"/>
        </w:rPr>
      </w:pPr>
      <w:r>
        <w:rPr>
          <w:i/>
          <w:lang w:val="ro-MD"/>
        </w:rPr>
      </w:r>
    </w:p>
    <w:p>
      <w:pPr>
        <w:pStyle w:val="Normal"/>
        <w:widowControl/>
        <w:bidi w:val="0"/>
        <w:ind w:left="0" w:right="0" w:firstLine="708"/>
        <w:jc w:val="both"/>
        <w:textAlignment w:val="auto"/>
        <w:rPr>
          <w:rFonts w:ascii="Times New Roman" w:hAnsi="Times New Roman"/>
          <w:i/>
          <w:i/>
          <w:lang w:val="ro-MD"/>
        </w:rPr>
      </w:pPr>
      <w:r>
        <w:rPr>
          <w:i/>
          <w:lang w:val="ro-MD"/>
        </w:rPr>
      </w:r>
    </w:p>
    <w:p>
      <w:pPr>
        <w:pStyle w:val="Normal"/>
        <w:widowControl/>
        <w:bidi w:val="0"/>
        <w:ind w:left="0" w:right="0" w:firstLine="708"/>
        <w:jc w:val="both"/>
        <w:textAlignment w:val="auto"/>
        <w:rPr>
          <w:rFonts w:ascii="Times New Roman" w:hAnsi="Times New Roman"/>
          <w:i/>
          <w:i/>
          <w:lang w:val="ro-MD"/>
        </w:rPr>
      </w:pPr>
      <w:r>
        <w:rPr>
          <w:i/>
          <w:lang w:val="ro-MD"/>
        </w:rPr>
      </w:r>
    </w:p>
    <w:p>
      <w:pPr>
        <w:pStyle w:val="Normal"/>
        <w:widowControl/>
        <w:bidi w:val="0"/>
        <w:ind w:left="0" w:right="0" w:firstLine="708"/>
        <w:jc w:val="both"/>
        <w:textAlignment w:val="auto"/>
        <w:rPr>
          <w:rFonts w:ascii="Times New Roman" w:hAnsi="Times New Roman"/>
          <w:i/>
          <w:i/>
          <w:lang w:val="ro-MD"/>
        </w:rPr>
      </w:pPr>
      <w:r>
        <w:rPr>
          <w:i/>
          <w:lang w:val="ro-MD"/>
        </w:rPr>
      </w:r>
    </w:p>
    <w:p>
      <w:pPr>
        <w:pStyle w:val="Normal"/>
        <w:widowControl/>
        <w:bidi w:val="0"/>
        <w:ind w:left="0" w:right="0" w:firstLine="708"/>
        <w:jc w:val="both"/>
        <w:textAlignment w:val="auto"/>
        <w:rPr>
          <w:rFonts w:ascii="Times New Roman" w:hAnsi="Times New Roman"/>
          <w:i/>
          <w:i/>
          <w:lang w:val="ro-MD"/>
        </w:rPr>
      </w:pPr>
      <w:r>
        <w:rPr>
          <w:i/>
          <w:lang w:val="ro-MD"/>
        </w:rPr>
      </w:r>
    </w:p>
    <w:p>
      <w:pPr>
        <w:pStyle w:val="Normal"/>
        <w:widowControl/>
        <w:bidi w:val="0"/>
        <w:ind w:left="0" w:right="0" w:firstLine="708"/>
        <w:jc w:val="both"/>
        <w:textAlignment w:val="auto"/>
        <w:rPr>
          <w:rFonts w:ascii="Times New Roman" w:hAnsi="Times New Roman"/>
          <w:i/>
          <w:i/>
          <w:lang w:val="ro-MD"/>
        </w:rPr>
      </w:pPr>
      <w:r>
        <w:rPr>
          <w:i/>
          <w:lang w:val="ro-MD"/>
        </w:rPr>
      </w:r>
    </w:p>
    <w:p>
      <w:pPr>
        <w:pStyle w:val="Normal"/>
        <w:widowControl/>
        <w:bidi w:val="0"/>
        <w:ind w:left="0" w:right="0" w:firstLine="708"/>
        <w:jc w:val="both"/>
        <w:textAlignment w:val="auto"/>
        <w:rPr>
          <w:rFonts w:ascii="Times New Roman" w:hAnsi="Times New Roman"/>
          <w:i/>
          <w:i/>
          <w:lang w:val="ro-MD"/>
        </w:rPr>
      </w:pPr>
      <w:r>
        <w:rPr>
          <w:i/>
          <w:lang w:val="ro-MD"/>
        </w:rPr>
      </w:r>
    </w:p>
    <w:p>
      <w:pPr>
        <w:pStyle w:val="Normal"/>
        <w:widowControl/>
        <w:bidi w:val="0"/>
        <w:ind w:left="0" w:right="0" w:firstLine="708"/>
        <w:jc w:val="both"/>
        <w:textAlignment w:val="auto"/>
        <w:rPr>
          <w:rFonts w:ascii="Times New Roman" w:hAnsi="Times New Roman"/>
          <w:i/>
          <w:i/>
          <w:lang w:val="ro-MD"/>
        </w:rPr>
      </w:pPr>
      <w:r>
        <w:rPr>
          <w:i/>
          <w:lang w:val="ro-MD"/>
        </w:rPr>
      </w:r>
    </w:p>
    <w:p>
      <w:pPr>
        <w:pStyle w:val="2"/>
        <w:keepNext/>
        <w:widowControl/>
        <w:numPr>
          <w:ilvl w:val="0"/>
          <w:numId w:val="0"/>
        </w:numPr>
        <w:bidi w:val="0"/>
        <w:ind w:left="0" w:right="0" w:hanging="0"/>
        <w:jc w:val="left"/>
        <w:textAlignment w:val="auto"/>
        <w:outlineLvl w:val="1"/>
        <w:rPr/>
      </w:pPr>
      <w:bookmarkStart w:id="445" w:name="_Toc375219619"/>
      <w:bookmarkStart w:id="446" w:name="_Toc311820817"/>
      <w:bookmarkStart w:id="447" w:name="_Toc311820493"/>
      <w:bookmarkStart w:id="448" w:name="_Toc311820013"/>
      <w:bookmarkStart w:id="449" w:name="_Toc311819744"/>
      <w:bookmarkStart w:id="450" w:name="_Toc311818806"/>
      <w:bookmarkStart w:id="451" w:name="_Toc311818474"/>
      <w:bookmarkStart w:id="452" w:name="_Toc469652038"/>
      <w:bookmarkEnd w:id="445"/>
      <w:bookmarkEnd w:id="446"/>
      <w:bookmarkEnd w:id="447"/>
      <w:bookmarkEnd w:id="448"/>
      <w:bookmarkEnd w:id="449"/>
      <w:bookmarkEnd w:id="450"/>
      <w:bookmarkEnd w:id="451"/>
      <w:bookmarkEnd w:id="452"/>
      <w:r>
        <w:rPr>
          <w:rFonts w:cs="Times New Roman CE" w:ascii="Times New Roman CE" w:hAnsi="Times New Roman CE"/>
          <w:i/>
          <w:sz w:val="26"/>
          <w:szCs w:val="26"/>
        </w:rPr>
        <w:t>Anexa III. Forma indicatorilor de activitate a laboratorului Ecuaţii Diferenţiale</w:t>
      </w:r>
    </w:p>
    <w:p>
      <w:pPr>
        <w:pStyle w:val="Normal"/>
        <w:widowControl/>
        <w:bidi w:val="0"/>
        <w:spacing w:before="0" w:after="240"/>
        <w:ind w:left="0" w:right="-2016" w:hanging="0"/>
        <w:jc w:val="center"/>
        <w:textAlignment w:val="auto"/>
        <w:rPr>
          <w:rFonts w:ascii="Times New Roman" w:hAnsi="Times New Roman"/>
          <w:sz w:val="22"/>
          <w:szCs w:val="22"/>
          <w:lang w:val="ro-RO"/>
        </w:rPr>
      </w:pPr>
      <w:bookmarkStart w:id="453" w:name="_Toc375219619"/>
      <w:bookmarkStart w:id="454" w:name="_Toc311820817"/>
      <w:bookmarkStart w:id="455" w:name="_Toc311820493"/>
      <w:bookmarkStart w:id="456" w:name="_Toc311820013"/>
      <w:bookmarkStart w:id="457" w:name="_Toc311819744"/>
      <w:bookmarkStart w:id="458" w:name="_Toc311818806"/>
      <w:bookmarkStart w:id="459" w:name="_Toc375219619"/>
      <w:bookmarkStart w:id="460" w:name="_Toc311820817"/>
      <w:bookmarkStart w:id="461" w:name="_Toc311820493"/>
      <w:bookmarkStart w:id="462" w:name="_Toc311820013"/>
      <w:bookmarkStart w:id="463" w:name="_Toc311819744"/>
      <w:bookmarkStart w:id="464" w:name="_Toc311818806"/>
      <w:bookmarkEnd w:id="459"/>
      <w:bookmarkEnd w:id="460"/>
      <w:bookmarkEnd w:id="461"/>
      <w:bookmarkEnd w:id="462"/>
      <w:bookmarkEnd w:id="463"/>
      <w:bookmarkEnd w:id="464"/>
      <w:r>
        <w:rPr>
          <w:sz w:val="22"/>
          <w:szCs w:val="22"/>
          <w:lang w:val="ro-RO"/>
        </w:rPr>
      </w:r>
    </w:p>
    <w:tbl>
      <w:tblPr>
        <w:tblW w:w="9661" w:type="dxa"/>
        <w:jc w:val="left"/>
        <w:tblInd w:w="-109" w:type="dxa"/>
        <w:tblBorders/>
        <w:tblCellMar>
          <w:top w:w="0" w:type="dxa"/>
          <w:left w:w="108" w:type="dxa"/>
          <w:bottom w:w="0" w:type="dxa"/>
          <w:right w:w="108" w:type="dxa"/>
        </w:tblCellMar>
      </w:tblPr>
      <w:tblGrid>
        <w:gridCol w:w="1170"/>
        <w:gridCol w:w="3154"/>
        <w:gridCol w:w="5337"/>
      </w:tblGrid>
      <w:tr>
        <w:trPr>
          <w:trHeight w:val="206" w:hRule="atLeast"/>
        </w:trPr>
        <w:tc>
          <w:tcPr>
            <w:tcW w:w="9661" w:type="dxa"/>
            <w:gridSpan w:val="3"/>
            <w:tcBorders/>
            <w:shd w:fill="auto" w:val="clear"/>
            <w:vAlign w:val="bottom"/>
          </w:tcPr>
          <w:p>
            <w:pPr>
              <w:pStyle w:val="Normal"/>
              <w:widowControl/>
              <w:bidi w:val="0"/>
              <w:ind w:left="0" w:right="0" w:hanging="0"/>
              <w:jc w:val="center"/>
              <w:textAlignment w:val="auto"/>
              <w:rPr/>
            </w:pPr>
            <w:r>
              <w:rPr>
                <w:b/>
                <w:bCs/>
              </w:rPr>
              <w:t>1. DATE GENERALE</w:t>
            </w:r>
          </w:p>
        </w:tc>
      </w:tr>
      <w:tr>
        <w:trPr>
          <w:trHeight w:val="218" w:hRule="atLeast"/>
        </w:trPr>
        <w:tc>
          <w:tcPr>
            <w:tcW w:w="1170" w:type="dxa"/>
            <w:tcBorders/>
            <w:shd w:fill="auto" w:val="clear"/>
            <w:vAlign w:val="bottom"/>
          </w:tcPr>
          <w:p>
            <w:pPr>
              <w:pStyle w:val="Normal"/>
              <w:widowControl/>
              <w:bidi w:val="0"/>
              <w:ind w:left="0" w:right="0" w:hanging="0"/>
              <w:jc w:val="center"/>
              <w:textAlignment w:val="auto"/>
              <w:rPr>
                <w:rFonts w:ascii="Times New Roman" w:hAnsi="Times New Roman"/>
                <w:b/>
                <w:b/>
                <w:bCs/>
              </w:rPr>
            </w:pPr>
            <w:r>
              <w:rPr>
                <w:b/>
                <w:bCs/>
              </w:rPr>
            </w:r>
          </w:p>
        </w:tc>
        <w:tc>
          <w:tcPr>
            <w:tcW w:w="3154" w:type="dxa"/>
            <w:tcBorders/>
            <w:shd w:fill="auto" w:val="clear"/>
            <w:vAlign w:val="bottom"/>
          </w:tcPr>
          <w:p>
            <w:pPr>
              <w:pStyle w:val="Normal"/>
              <w:widowControl/>
              <w:bidi w:val="0"/>
              <w:ind w:left="0" w:right="0" w:hanging="0"/>
              <w:jc w:val="center"/>
              <w:textAlignment w:val="auto"/>
              <w:rPr>
                <w:rFonts w:ascii="Times New Roman" w:hAnsi="Times New Roman"/>
                <w:b/>
                <w:b/>
                <w:bCs/>
              </w:rPr>
            </w:pPr>
            <w:r>
              <w:rPr>
                <w:b/>
                <w:bCs/>
              </w:rPr>
            </w:r>
          </w:p>
        </w:tc>
        <w:tc>
          <w:tcPr>
            <w:tcW w:w="5337" w:type="dxa"/>
            <w:tcBorders/>
            <w:shd w:fill="auto" w:val="clear"/>
            <w:vAlign w:val="bottom"/>
          </w:tcPr>
          <w:p>
            <w:pPr>
              <w:pStyle w:val="Normal"/>
              <w:widowControl/>
              <w:bidi w:val="0"/>
              <w:ind w:left="0" w:right="0" w:hanging="0"/>
              <w:jc w:val="center"/>
              <w:textAlignment w:val="auto"/>
              <w:rPr>
                <w:rFonts w:ascii="Times New Roman" w:hAnsi="Times New Roman"/>
                <w:b/>
                <w:b/>
                <w:bCs/>
              </w:rPr>
            </w:pPr>
            <w:r>
              <w:rPr>
                <w:b/>
                <w:bCs/>
              </w:rPr>
            </w:r>
          </w:p>
        </w:tc>
      </w:tr>
      <w:tr>
        <w:trPr>
          <w:trHeight w:val="218" w:hRule="atLeast"/>
        </w:trPr>
        <w:tc>
          <w:tcPr>
            <w:tcW w:w="11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pPr>
            <w:r>
              <w:rPr>
                <w:b/>
                <w:bCs/>
              </w:rPr>
              <w:t>1.1.</w:t>
            </w:r>
          </w:p>
        </w:tc>
        <w:tc>
          <w:tcPr>
            <w:tcW w:w="3154" w:type="dxa"/>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b/>
                <w:bCs/>
              </w:rPr>
              <w:t>Denumirea subdiviziunii</w:t>
            </w:r>
          </w:p>
        </w:tc>
        <w:tc>
          <w:tcPr>
            <w:tcW w:w="5337" w:type="dxa"/>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rFonts w:cs="Times New Roman CE" w:ascii="Times New Roman CE" w:hAnsi="Times New Roman CE"/>
              </w:rPr>
              <w:t>Laboratorul "Ecuaţii diferenţiale"</w:t>
            </w:r>
          </w:p>
        </w:tc>
      </w:tr>
      <w:tr>
        <w:trPr>
          <w:trHeight w:val="218" w:hRule="atLeast"/>
        </w:trPr>
        <w:tc>
          <w:tcPr>
            <w:tcW w:w="117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pPr>
            <w:r>
              <w:rPr>
                <w:b/>
                <w:bCs/>
              </w:rPr>
              <w:t>1.2.</w:t>
            </w:r>
          </w:p>
        </w:tc>
        <w:tc>
          <w:tcPr>
            <w:tcW w:w="315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rFonts w:cs="Times New Roman CE" w:ascii="Times New Roman CE" w:hAnsi="Times New Roman CE"/>
                <w:b/>
                <w:bCs/>
              </w:rPr>
              <w:t>Organizaţia</w:t>
            </w:r>
          </w:p>
        </w:tc>
        <w:tc>
          <w:tcPr>
            <w:tcW w:w="533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lang w:val="fr-FR"/>
              </w:rPr>
              <w:t>Institutul d</w:t>
            </w:r>
            <w:r>
              <w:rPr>
                <w:rFonts w:cs="Times New Roman CE" w:ascii="Times New Roman CE" w:hAnsi="Times New Roman CE"/>
                <w:lang w:val="fr-FR"/>
              </w:rPr>
              <w:t>e Matematică şi Informatică</w:t>
            </w:r>
          </w:p>
        </w:tc>
      </w:tr>
      <w:tr>
        <w:trPr>
          <w:trHeight w:val="218" w:hRule="atLeast"/>
        </w:trPr>
        <w:tc>
          <w:tcPr>
            <w:tcW w:w="117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pPr>
            <w:r>
              <w:rPr>
                <w:b/>
                <w:bCs/>
              </w:rPr>
              <w:t>1.3.</w:t>
            </w:r>
          </w:p>
        </w:tc>
        <w:tc>
          <w:tcPr>
            <w:tcW w:w="8491" w:type="dxa"/>
            <w:gridSpan w:val="2"/>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pPr>
            <w:r>
              <w:rPr>
                <w:rFonts w:cs="Times New Roman CE" w:ascii="Times New Roman CE" w:hAnsi="Times New Roman CE"/>
                <w:b/>
                <w:bCs/>
              </w:rPr>
              <w:t>Conducătorul subdiviziunii:</w:t>
            </w:r>
          </w:p>
        </w:tc>
      </w:tr>
      <w:tr>
        <w:trPr>
          <w:trHeight w:val="218" w:hRule="atLeast"/>
        </w:trPr>
        <w:tc>
          <w:tcPr>
            <w:tcW w:w="117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1.3.1.</w:t>
            </w:r>
          </w:p>
        </w:tc>
        <w:tc>
          <w:tcPr>
            <w:tcW w:w="315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t>Numele de familie</w:t>
            </w:r>
          </w:p>
        </w:tc>
        <w:tc>
          <w:tcPr>
            <w:tcW w:w="533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ro-RO"/>
              </w:rPr>
            </w:pPr>
            <w:r>
              <w:rPr>
                <w:rFonts w:cs="Times New Roman CE" w:ascii="Times New Roman CE" w:hAnsi="Times New Roman CE"/>
                <w:lang w:val="ro-RO"/>
              </w:rPr>
              <w:t>Şubă</w:t>
            </w:r>
          </w:p>
        </w:tc>
      </w:tr>
      <w:tr>
        <w:trPr>
          <w:trHeight w:val="218" w:hRule="atLeast"/>
        </w:trPr>
        <w:tc>
          <w:tcPr>
            <w:tcW w:w="117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240"/>
              <w:jc w:val="left"/>
              <w:textAlignment w:val="auto"/>
              <w:rPr/>
            </w:pPr>
            <w:r>
              <w:rPr/>
              <w:t>1.3.2.</w:t>
            </w:r>
          </w:p>
        </w:tc>
        <w:tc>
          <w:tcPr>
            <w:tcW w:w="315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t>Prenumele</w:t>
            </w:r>
          </w:p>
        </w:tc>
        <w:tc>
          <w:tcPr>
            <w:tcW w:w="533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ro-RO"/>
              </w:rPr>
            </w:pPr>
            <w:r>
              <w:rPr>
                <w:lang w:val="ro-RO"/>
              </w:rPr>
              <w:t>Alexandru</w:t>
            </w:r>
          </w:p>
        </w:tc>
      </w:tr>
      <w:tr>
        <w:trPr>
          <w:trHeight w:val="218" w:hRule="atLeast"/>
        </w:trPr>
        <w:tc>
          <w:tcPr>
            <w:tcW w:w="117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240"/>
              <w:jc w:val="left"/>
              <w:textAlignment w:val="auto"/>
              <w:rPr/>
            </w:pPr>
            <w:r>
              <w:rPr/>
              <w:t xml:space="preserve">1.3.3. </w:t>
            </w:r>
          </w:p>
        </w:tc>
        <w:tc>
          <w:tcPr>
            <w:tcW w:w="315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rFonts w:cs="Times New Roman CE" w:ascii="Times New Roman CE" w:hAnsi="Times New Roman CE"/>
              </w:rPr>
              <w:t>Gradul ştiinţific</w:t>
            </w:r>
          </w:p>
        </w:tc>
        <w:tc>
          <w:tcPr>
            <w:tcW w:w="533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t>doctor habilitat</w:t>
            </w:r>
          </w:p>
        </w:tc>
      </w:tr>
      <w:tr>
        <w:trPr>
          <w:trHeight w:val="218" w:hRule="atLeast"/>
        </w:trPr>
        <w:tc>
          <w:tcPr>
            <w:tcW w:w="117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240"/>
              <w:jc w:val="left"/>
              <w:textAlignment w:val="auto"/>
              <w:rPr/>
            </w:pPr>
            <w:r>
              <w:rPr/>
              <w:t xml:space="preserve">1.3.4. </w:t>
            </w:r>
          </w:p>
        </w:tc>
        <w:tc>
          <w:tcPr>
            <w:tcW w:w="315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rFonts w:cs="Times New Roman CE" w:ascii="Times New Roman CE" w:hAnsi="Times New Roman CE"/>
              </w:rPr>
              <w:t>Titlul ştiinţific/ştiinţifico-didactic</w:t>
            </w:r>
          </w:p>
        </w:tc>
        <w:tc>
          <w:tcPr>
            <w:tcW w:w="533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t>Profesor universitar</w:t>
            </w:r>
          </w:p>
        </w:tc>
      </w:tr>
      <w:tr>
        <w:trPr>
          <w:trHeight w:val="218" w:hRule="atLeast"/>
        </w:trPr>
        <w:tc>
          <w:tcPr>
            <w:tcW w:w="117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240"/>
              <w:jc w:val="left"/>
              <w:textAlignment w:val="auto"/>
              <w:rPr/>
            </w:pPr>
            <w:r>
              <w:rPr/>
              <w:t>1.3.5.</w:t>
            </w:r>
          </w:p>
        </w:tc>
        <w:tc>
          <w:tcPr>
            <w:tcW w:w="315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40"/>
              <w:jc w:val="left"/>
              <w:textAlignment w:val="auto"/>
              <w:rPr/>
            </w:pPr>
            <w:r>
              <w:rPr/>
              <w:t>Titlul academic</w:t>
            </w:r>
          </w:p>
        </w:tc>
        <w:tc>
          <w:tcPr>
            <w:tcW w:w="533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rFonts w:ascii="Times New Roman" w:hAnsi="Times New Roman"/>
                <w:lang w:val="ro-RO"/>
              </w:rPr>
            </w:pPr>
            <w:r>
              <w:rPr>
                <w:lang w:val="ro-RO"/>
              </w:rPr>
            </w:r>
          </w:p>
        </w:tc>
      </w:tr>
      <w:tr>
        <w:trPr>
          <w:trHeight w:val="218" w:hRule="atLeast"/>
        </w:trPr>
        <w:tc>
          <w:tcPr>
            <w:tcW w:w="117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pPr>
            <w:r>
              <w:rPr>
                <w:b/>
                <w:bCs/>
              </w:rPr>
              <w:t>1.4.</w:t>
            </w:r>
          </w:p>
        </w:tc>
        <w:tc>
          <w:tcPr>
            <w:tcW w:w="315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rFonts w:cs="Times New Roman CE" w:ascii="Times New Roman CE" w:hAnsi="Times New Roman CE"/>
                <w:b/>
                <w:bCs/>
              </w:rPr>
              <w:t>Anul creării</w:t>
            </w:r>
          </w:p>
        </w:tc>
        <w:tc>
          <w:tcPr>
            <w:tcW w:w="533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t> </w:t>
            </w:r>
          </w:p>
        </w:tc>
      </w:tr>
      <w:tr>
        <w:trPr>
          <w:trHeight w:val="218" w:hRule="atLeast"/>
        </w:trPr>
        <w:tc>
          <w:tcPr>
            <w:tcW w:w="117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pPr>
            <w:r>
              <w:rPr>
                <w:b/>
                <w:bCs/>
              </w:rPr>
              <w:t xml:space="preserve">1.5. </w:t>
            </w:r>
          </w:p>
        </w:tc>
        <w:tc>
          <w:tcPr>
            <w:tcW w:w="8491" w:type="dxa"/>
            <w:gridSpan w:val="2"/>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pPr>
            <w:r>
              <w:rPr>
                <w:b/>
                <w:bCs/>
              </w:rPr>
              <w:t>Date de contact:</w:t>
            </w:r>
          </w:p>
        </w:tc>
      </w:tr>
      <w:tr>
        <w:trPr>
          <w:trHeight w:val="218" w:hRule="atLeast"/>
        </w:trPr>
        <w:tc>
          <w:tcPr>
            <w:tcW w:w="117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240"/>
              <w:jc w:val="left"/>
              <w:textAlignment w:val="auto"/>
              <w:rPr/>
            </w:pPr>
            <w:r>
              <w:rPr/>
              <w:t>1.5.1.</w:t>
            </w:r>
          </w:p>
        </w:tc>
        <w:tc>
          <w:tcPr>
            <w:tcW w:w="315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t>Telefon</w:t>
            </w:r>
          </w:p>
        </w:tc>
        <w:tc>
          <w:tcPr>
            <w:tcW w:w="533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ro-RO"/>
              </w:rPr>
            </w:pPr>
            <w:r>
              <w:rPr>
                <w:lang w:val="ro-RO"/>
              </w:rPr>
              <w:t xml:space="preserve">022 </w:t>
            </w:r>
            <w:r>
              <w:rPr/>
              <w:t>72</w:t>
            </w:r>
            <w:r>
              <w:rPr>
                <w:lang w:val="ro-RO"/>
              </w:rPr>
              <w:t xml:space="preserve"> </w:t>
            </w:r>
            <w:r>
              <w:rPr/>
              <w:t>70</w:t>
            </w:r>
            <w:r>
              <w:rPr>
                <w:lang w:val="ro-RO"/>
              </w:rPr>
              <w:t xml:space="preserve"> </w:t>
            </w:r>
            <w:r>
              <w:rPr/>
              <w:t>59</w:t>
            </w:r>
          </w:p>
        </w:tc>
      </w:tr>
      <w:tr>
        <w:trPr>
          <w:trHeight w:val="218" w:hRule="atLeast"/>
        </w:trPr>
        <w:tc>
          <w:tcPr>
            <w:tcW w:w="117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240"/>
              <w:jc w:val="left"/>
              <w:textAlignment w:val="auto"/>
              <w:rPr/>
            </w:pPr>
            <w:r>
              <w:rPr/>
              <w:t>1.5.2.</w:t>
            </w:r>
          </w:p>
        </w:tc>
        <w:tc>
          <w:tcPr>
            <w:tcW w:w="315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t>Fax</w:t>
            </w:r>
          </w:p>
        </w:tc>
        <w:tc>
          <w:tcPr>
            <w:tcW w:w="533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t> </w:t>
            </w:r>
            <w:r>
              <w:rPr>
                <w:lang w:val="ro-RO"/>
              </w:rPr>
              <w:t>022 73 80 27</w:t>
            </w:r>
          </w:p>
        </w:tc>
      </w:tr>
      <w:tr>
        <w:trPr>
          <w:trHeight w:val="218" w:hRule="atLeast"/>
        </w:trPr>
        <w:tc>
          <w:tcPr>
            <w:tcW w:w="117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240"/>
              <w:jc w:val="left"/>
              <w:textAlignment w:val="auto"/>
              <w:rPr/>
            </w:pPr>
            <w:r>
              <w:rPr/>
              <w:t>1.5.3.</w:t>
            </w:r>
          </w:p>
        </w:tc>
        <w:tc>
          <w:tcPr>
            <w:tcW w:w="315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t xml:space="preserve">E-mail </w:t>
            </w:r>
          </w:p>
        </w:tc>
        <w:tc>
          <w:tcPr>
            <w:tcW w:w="5337" w:type="dxa"/>
            <w:tcBorders/>
            <w:shd w:fill="auto" w:val="clear"/>
            <w:vAlign w:val="bottom"/>
          </w:tcPr>
          <w:p>
            <w:pPr>
              <w:pStyle w:val="Normal"/>
              <w:widowControl/>
              <w:bidi w:val="0"/>
              <w:ind w:left="0" w:right="0" w:hanging="0"/>
              <w:jc w:val="left"/>
              <w:textAlignment w:val="auto"/>
              <w:rPr/>
            </w:pPr>
            <w:hyperlink r:id="rId111">
              <w:r>
                <w:rPr>
                  <w:webHidden/>
                  <w:rStyle w:val="Style5"/>
                  <w:rFonts w:cs="Times New Roman CE" w:ascii="Times New Roman CE" w:hAnsi="Times New Roman CE"/>
                  <w:color w:val="0000FF"/>
                  <w:u w:val="single"/>
                  <w:lang w:val="ro-RO"/>
                </w:rPr>
                <w:t>subă</w:t>
              </w:r>
              <w:r>
                <w:rPr>
                  <w:rStyle w:val="Style5"/>
                  <w:color w:val="0000FF"/>
                  <w:u w:val="single"/>
                </w:rPr>
                <w:t>@ma</w:t>
              </w:r>
              <w:r>
                <w:rPr>
                  <w:rStyle w:val="Style5"/>
                  <w:color w:val="0000FF"/>
                  <w:u w:val="single"/>
                  <w:lang w:val="ro-RO"/>
                </w:rPr>
                <w:t>th</w:t>
              </w:r>
              <w:r>
                <w:rPr>
                  <w:rStyle w:val="Style5"/>
                  <w:color w:val="0000FF"/>
                  <w:u w:val="single"/>
                </w:rPr>
                <w:t>. m</w:t>
              </w:r>
            </w:hyperlink>
            <w:r>
              <w:rPr>
                <w:lang w:val="ro-RO"/>
              </w:rPr>
              <w:t>d</w:t>
            </w:r>
          </w:p>
        </w:tc>
      </w:tr>
      <w:tr>
        <w:trPr>
          <w:trHeight w:val="218" w:hRule="atLeast"/>
        </w:trPr>
        <w:tc>
          <w:tcPr>
            <w:tcW w:w="117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240"/>
              <w:jc w:val="left"/>
              <w:textAlignment w:val="auto"/>
              <w:rPr/>
            </w:pPr>
            <w:r>
              <w:rPr/>
              <w:t>1.5.4.</w:t>
            </w:r>
          </w:p>
        </w:tc>
        <w:tc>
          <w:tcPr>
            <w:tcW w:w="315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t>Pagina WEB a subdiviziunii</w:t>
            </w:r>
          </w:p>
        </w:tc>
        <w:tc>
          <w:tcPr>
            <w:tcW w:w="5337" w:type="dxa"/>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t>http://www.math.md/people/differential-equations/</w:t>
            </w:r>
          </w:p>
        </w:tc>
      </w:tr>
      <w:tr>
        <w:trPr>
          <w:trHeight w:val="218" w:hRule="atLeast"/>
        </w:trPr>
        <w:tc>
          <w:tcPr>
            <w:tcW w:w="1170" w:type="dxa"/>
            <w:tcBorders>
              <w:left w:val="single" w:sz="8" w:space="0" w:color="000001"/>
              <w:right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pPr>
            <w:r>
              <w:rPr>
                <w:b/>
                <w:bCs/>
              </w:rPr>
              <w:t>1.6.</w:t>
            </w:r>
          </w:p>
        </w:tc>
        <w:tc>
          <w:tcPr>
            <w:tcW w:w="8491" w:type="dxa"/>
            <w:gridSpan w:val="2"/>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lang w:val="fr-FR"/>
              </w:rPr>
            </w:pPr>
            <w:r>
              <w:rPr>
                <w:rFonts w:cs="Times New Roman CE" w:ascii="Times New Roman CE" w:hAnsi="Times New Roman CE"/>
                <w:b/>
                <w:bCs/>
                <w:lang w:val="fr-FR"/>
              </w:rPr>
              <w:t>Persoana responsabilă de completarea formularului:</w:t>
            </w:r>
          </w:p>
        </w:tc>
      </w:tr>
      <w:tr>
        <w:trPr>
          <w:trHeight w:val="218" w:hRule="atLeast"/>
        </w:trPr>
        <w:tc>
          <w:tcPr>
            <w:tcW w:w="1170" w:type="dxa"/>
            <w:tcBorders>
              <w:top w:val="single" w:sz="8" w:space="0" w:color="000001"/>
              <w:left w:val="single" w:sz="8" w:space="0" w:color="000001"/>
              <w:right w:val="single" w:sz="8" w:space="0" w:color="000001"/>
              <w:insideV w:val="single" w:sz="8" w:space="0" w:color="000001"/>
            </w:tcBorders>
            <w:shd w:fill="auto" w:val="clear"/>
            <w:tcMar>
              <w:left w:w="98" w:type="dxa"/>
            </w:tcMar>
            <w:vAlign w:val="bottom"/>
          </w:tcPr>
          <w:p>
            <w:pPr>
              <w:pStyle w:val="Normal"/>
              <w:widowControl/>
              <w:bidi w:val="0"/>
              <w:ind w:left="0" w:right="0" w:firstLine="240"/>
              <w:jc w:val="left"/>
              <w:textAlignment w:val="auto"/>
              <w:rPr/>
            </w:pPr>
            <w:r>
              <w:rPr/>
              <w:t>1.6.1.</w:t>
            </w:r>
          </w:p>
        </w:tc>
        <w:tc>
          <w:tcPr>
            <w:tcW w:w="315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40"/>
              <w:jc w:val="left"/>
              <w:textAlignment w:val="auto"/>
              <w:rPr/>
            </w:pPr>
            <w:r>
              <w:rPr/>
              <w:t xml:space="preserve">Numele, prenumele </w:t>
            </w:r>
          </w:p>
        </w:tc>
        <w:tc>
          <w:tcPr>
            <w:tcW w:w="533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ro-RO"/>
              </w:rPr>
            </w:pPr>
            <w:r>
              <w:rPr>
                <w:rFonts w:cs="Times New Roman CE" w:ascii="Times New Roman CE" w:hAnsi="Times New Roman CE"/>
                <w:lang w:val="ro-RO"/>
              </w:rPr>
              <w:t>Şubă Alexandru</w:t>
            </w:r>
          </w:p>
        </w:tc>
      </w:tr>
      <w:tr>
        <w:trPr>
          <w:trHeight w:val="218" w:hRule="atLeast"/>
        </w:trPr>
        <w:tc>
          <w:tcPr>
            <w:tcW w:w="1170"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240"/>
              <w:jc w:val="left"/>
              <w:textAlignment w:val="auto"/>
              <w:rPr/>
            </w:pPr>
            <w:r>
              <w:rPr/>
              <w:t>1.6.2.</w:t>
            </w:r>
          </w:p>
        </w:tc>
        <w:tc>
          <w:tcPr>
            <w:tcW w:w="315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40"/>
              <w:jc w:val="left"/>
              <w:textAlignment w:val="auto"/>
              <w:rPr/>
            </w:pPr>
            <w:r>
              <w:rPr/>
              <w:t xml:space="preserve">Telefon </w:t>
            </w:r>
          </w:p>
        </w:tc>
        <w:tc>
          <w:tcPr>
            <w:tcW w:w="533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ro-RO"/>
              </w:rPr>
            </w:pPr>
            <w:r>
              <w:rPr>
                <w:lang w:val="ro-RO"/>
              </w:rPr>
              <w:t xml:space="preserve">022 </w:t>
            </w:r>
            <w:r>
              <w:rPr/>
              <w:t>72</w:t>
            </w:r>
            <w:r>
              <w:rPr>
                <w:lang w:val="ro-RO"/>
              </w:rPr>
              <w:t xml:space="preserve"> </w:t>
            </w:r>
            <w:r>
              <w:rPr/>
              <w:t>70</w:t>
            </w:r>
            <w:r>
              <w:rPr>
                <w:lang w:val="ro-RO"/>
              </w:rPr>
              <w:t xml:space="preserve"> </w:t>
            </w:r>
            <w:r>
              <w:rPr/>
              <w:t>59</w:t>
            </w:r>
          </w:p>
        </w:tc>
      </w:tr>
      <w:tr>
        <w:trPr>
          <w:trHeight w:val="218" w:hRule="atLeast"/>
        </w:trPr>
        <w:tc>
          <w:tcPr>
            <w:tcW w:w="117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240"/>
              <w:jc w:val="left"/>
              <w:textAlignment w:val="auto"/>
              <w:rPr/>
            </w:pPr>
            <w:r>
              <w:rPr/>
              <w:t>1.6.3.</w:t>
            </w:r>
          </w:p>
        </w:tc>
        <w:tc>
          <w:tcPr>
            <w:tcW w:w="315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40"/>
              <w:jc w:val="left"/>
              <w:textAlignment w:val="auto"/>
              <w:rPr/>
            </w:pPr>
            <w:r>
              <w:rPr/>
              <w:t xml:space="preserve">E-mail </w:t>
            </w:r>
          </w:p>
        </w:tc>
        <w:tc>
          <w:tcPr>
            <w:tcW w:w="533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hyperlink r:id="rId112">
              <w:r>
                <w:rPr>
                  <w:webHidden/>
                  <w:rStyle w:val="Style5"/>
                  <w:rFonts w:cs="Times New Roman CE" w:ascii="Times New Roman CE" w:hAnsi="Times New Roman CE"/>
                  <w:color w:val="0000FF"/>
                  <w:u w:val="single"/>
                  <w:lang w:val="ro-RO"/>
                </w:rPr>
                <w:t>subă</w:t>
              </w:r>
              <w:r>
                <w:rPr>
                  <w:rStyle w:val="Style5"/>
                  <w:color w:val="0000FF"/>
                  <w:u w:val="single"/>
                </w:rPr>
                <w:t>@ma</w:t>
              </w:r>
              <w:r>
                <w:rPr>
                  <w:rStyle w:val="Style5"/>
                  <w:color w:val="0000FF"/>
                  <w:u w:val="single"/>
                  <w:lang w:val="ro-RO"/>
                </w:rPr>
                <w:t>th</w:t>
              </w:r>
              <w:r>
                <w:rPr>
                  <w:rStyle w:val="Style5"/>
                  <w:color w:val="0000FF"/>
                  <w:u w:val="single"/>
                </w:rPr>
                <w:t>. m</w:t>
              </w:r>
            </w:hyperlink>
            <w:r>
              <w:rPr>
                <w:lang w:val="ro-RO"/>
              </w:rPr>
              <w:t>d</w:t>
            </w:r>
          </w:p>
        </w:tc>
      </w:tr>
    </w:tbl>
    <w:p>
      <w:pPr>
        <w:pStyle w:val="Normal"/>
        <w:widowControl/>
        <w:tabs>
          <w:tab w:val="left" w:pos="4215" w:leader="none"/>
        </w:tabs>
        <w:bidi w:val="0"/>
        <w:ind w:left="0" w:right="0" w:hanging="0"/>
        <w:jc w:val="left"/>
        <w:textAlignment w:val="auto"/>
        <w:rPr>
          <w:rFonts w:ascii="Times New Roman" w:hAnsi="Times New Roman"/>
        </w:rPr>
      </w:pPr>
      <w:r>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tbl>
      <w:tblPr>
        <w:tblW w:w="9961" w:type="dxa"/>
        <w:jc w:val="left"/>
        <w:tblInd w:w="-284" w:type="dxa"/>
        <w:tblBorders>
          <w:top w:val="single" w:sz="8" w:space="0" w:color="000001"/>
          <w:left w:val="single" w:sz="8" w:space="0" w:color="000001"/>
          <w:bottom w:val="single" w:sz="8" w:space="0" w:color="000001"/>
          <w:insideH w:val="single" w:sz="8" w:space="0" w:color="000001"/>
        </w:tblBorders>
        <w:tblCellMar>
          <w:top w:w="0" w:type="dxa"/>
          <w:left w:w="98" w:type="dxa"/>
          <w:bottom w:w="0" w:type="dxa"/>
          <w:right w:w="108" w:type="dxa"/>
        </w:tblCellMar>
      </w:tblPr>
      <w:tblGrid>
        <w:gridCol w:w="1320"/>
        <w:gridCol w:w="4412"/>
        <w:gridCol w:w="2158"/>
        <w:gridCol w:w="1"/>
        <w:gridCol w:w="2069"/>
      </w:tblGrid>
      <w:tr>
        <w:trPr>
          <w:trHeight w:val="334" w:hRule="atLeast"/>
        </w:trPr>
        <w:tc>
          <w:tcPr>
            <w:tcW w:w="7891" w:type="dxa"/>
            <w:gridSpan w:val="4"/>
            <w:tcBorders>
              <w:top w:val="single" w:sz="8" w:space="0" w:color="000001"/>
              <w:left w:val="single" w:sz="8" w:space="0" w:color="000001"/>
              <w:bottom w:val="single" w:sz="8" w:space="0" w:color="000001"/>
              <w:insideH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b/>
                <w:bCs/>
                <w:lang w:val="fr-FR"/>
              </w:rPr>
              <w:t>2.1. CADRUL TEMATIC DE CERCETARE PE ANUL 2016</w:t>
            </w:r>
          </w:p>
        </w:tc>
        <w:tc>
          <w:tcPr>
            <w:tcW w:w="2069" w:type="dxa"/>
            <w:tcBorders>
              <w:top w:val="single" w:sz="8" w:space="0" w:color="000001"/>
              <w:right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lang w:val="fr-FR"/>
              </w:rPr>
              <w:t> </w:t>
            </w:r>
          </w:p>
        </w:tc>
      </w:tr>
      <w:tr>
        <w:trPr>
          <w:trHeight w:val="577" w:hRule="atLeast"/>
        </w:trPr>
        <w:tc>
          <w:tcPr>
            <w:tcW w:w="1320" w:type="dxa"/>
            <w:vMerge w:val="restart"/>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pPr>
            <w:r>
              <w:rPr>
                <w:rFonts w:cs="Arial" w:ascii="Arial" w:hAnsi="Arial"/>
                <w:b/>
                <w:bCs/>
                <w:sz w:val="20"/>
                <w:szCs w:val="20"/>
              </w:rPr>
              <w:t>Nr. d/o</w:t>
            </w:r>
          </w:p>
        </w:tc>
        <w:tc>
          <w:tcPr>
            <w:tcW w:w="4412" w:type="dxa"/>
            <w:vMerge w:val="restart"/>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center"/>
              <w:textAlignment w:val="auto"/>
              <w:rPr/>
            </w:pPr>
            <w:r>
              <w:rPr>
                <w:b/>
                <w:bCs/>
              </w:rPr>
              <w:t> </w:t>
            </w:r>
          </w:p>
        </w:tc>
        <w:tc>
          <w:tcPr>
            <w:tcW w:w="4228"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pPr>
            <w:r>
              <w:rPr>
                <w:rFonts w:cs="Times New Roman CE" w:ascii="Times New Roman CE" w:hAnsi="Times New Roman CE"/>
                <w:b/>
                <w:bCs/>
              </w:rPr>
              <w:t>Numărul de proiecte</w:t>
            </w:r>
          </w:p>
        </w:tc>
      </w:tr>
      <w:tr>
        <w:trPr>
          <w:trHeight w:val="380" w:hRule="atLeast"/>
        </w:trPr>
        <w:tc>
          <w:tcPr>
            <w:tcW w:w="1320" w:type="dxa"/>
            <w:vMerge w:val="continue"/>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Arial" w:hAnsi="Arial" w:cs="Arial"/>
                <w:b/>
                <w:b/>
                <w:bCs/>
                <w:sz w:val="20"/>
                <w:szCs w:val="20"/>
              </w:rPr>
            </w:pPr>
            <w:r>
              <w:rPr>
                <w:rFonts w:cs="Arial" w:ascii="Arial" w:hAnsi="Arial"/>
                <w:b/>
                <w:bCs/>
                <w:sz w:val="20"/>
                <w:szCs w:val="20"/>
              </w:rPr>
            </w:r>
          </w:p>
        </w:tc>
        <w:tc>
          <w:tcPr>
            <w:tcW w:w="4412" w:type="dxa"/>
            <w:vMerge w:val="continue"/>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b/>
                <w:b/>
                <w:bCs/>
              </w:rPr>
            </w:pPr>
            <w:r>
              <w:rPr>
                <w:b/>
                <w:bCs/>
              </w:rPr>
            </w:r>
          </w:p>
        </w:tc>
        <w:tc>
          <w:tcPr>
            <w:tcW w:w="2158" w:type="dxa"/>
            <w:tcBorders>
              <w:bottom w:val="single" w:sz="8" w:space="0" w:color="000001"/>
              <w:insideH w:val="single" w:sz="8" w:space="0" w:color="000001"/>
            </w:tcBorders>
            <w:shd w:fill="auto" w:val="clear"/>
            <w:vAlign w:val="center"/>
          </w:tcPr>
          <w:p>
            <w:pPr>
              <w:pStyle w:val="Normal"/>
              <w:widowControl/>
              <w:bidi w:val="0"/>
              <w:ind w:left="0" w:right="0" w:hanging="0"/>
              <w:jc w:val="center"/>
              <w:textAlignment w:val="auto"/>
              <w:rPr/>
            </w:pPr>
            <w:r>
              <w:rPr>
                <w:b/>
                <w:bCs/>
              </w:rPr>
              <w:t>fundamentale</w:t>
            </w:r>
          </w:p>
        </w:tc>
        <w:tc>
          <w:tcPr>
            <w:tcW w:w="2070"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pPr>
            <w:r>
              <w:rPr>
                <w:b/>
                <w:bCs/>
              </w:rPr>
              <w:t>aplicative</w:t>
            </w:r>
          </w:p>
        </w:tc>
      </w:tr>
      <w:tr>
        <w:trPr>
          <w:trHeight w:val="334" w:hRule="atLeast"/>
        </w:trPr>
        <w:tc>
          <w:tcPr>
            <w:tcW w:w="132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bCs/>
              </w:rPr>
              <w:t>2.1.</w:t>
            </w:r>
          </w:p>
        </w:tc>
        <w:tc>
          <w:tcPr>
            <w:tcW w:w="4412"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b/>
                <w:bCs/>
              </w:rPr>
              <w:t xml:space="preserve">TOTAL </w:t>
            </w:r>
          </w:p>
        </w:tc>
        <w:tc>
          <w:tcPr>
            <w:tcW w:w="2158" w:type="dxa"/>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ro-RO"/>
              </w:rPr>
            </w:pPr>
            <w:r>
              <w:rPr>
                <w:b/>
                <w:bCs/>
                <w:lang w:val="ro-RO"/>
              </w:rPr>
              <w:t>2</w:t>
            </w:r>
          </w:p>
        </w:tc>
        <w:tc>
          <w:tcPr>
            <w:tcW w:w="2070"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b/>
                <w:bCs/>
              </w:rPr>
              <w:t>0</w:t>
            </w:r>
          </w:p>
        </w:tc>
      </w:tr>
      <w:tr>
        <w:trPr>
          <w:trHeight w:val="334" w:hRule="atLeast"/>
        </w:trPr>
        <w:tc>
          <w:tcPr>
            <w:tcW w:w="132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bCs/>
              </w:rPr>
              <w:t>2.1.1.</w:t>
            </w:r>
          </w:p>
        </w:tc>
        <w:tc>
          <w:tcPr>
            <w:tcW w:w="4412"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rFonts w:cs="Times New Roman CE" w:ascii="Times New Roman CE" w:hAnsi="Times New Roman CE"/>
                <w:b/>
                <w:bCs/>
              </w:rPr>
              <w:t>Cercetări ştiinţifice, total</w:t>
            </w:r>
          </w:p>
        </w:tc>
        <w:tc>
          <w:tcPr>
            <w:tcW w:w="2158" w:type="dxa"/>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ro-RO"/>
              </w:rPr>
            </w:pPr>
            <w:r>
              <w:rPr>
                <w:b/>
                <w:bCs/>
                <w:lang w:val="ro-RO"/>
              </w:rPr>
              <w:t>1</w:t>
            </w:r>
          </w:p>
        </w:tc>
        <w:tc>
          <w:tcPr>
            <w:tcW w:w="2070"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b/>
                <w:bCs/>
              </w:rPr>
              <w:t>0</w:t>
            </w:r>
          </w:p>
        </w:tc>
      </w:tr>
      <w:tr>
        <w:trPr>
          <w:trHeight w:val="334" w:hRule="atLeast"/>
        </w:trPr>
        <w:tc>
          <w:tcPr>
            <w:tcW w:w="132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 </w:t>
            </w:r>
          </w:p>
        </w:tc>
        <w:tc>
          <w:tcPr>
            <w:tcW w:w="4412"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 xml:space="preserve">Inclusiv </w:t>
            </w:r>
          </w:p>
        </w:tc>
        <w:tc>
          <w:tcPr>
            <w:tcW w:w="2158" w:type="dxa"/>
            <w:tcBorders>
              <w:bottom w:val="single" w:sz="8" w:space="0" w:color="000001"/>
              <w:insideH w:val="single" w:sz="8" w:space="0" w:color="000001"/>
            </w:tcBorders>
            <w:shd w:color="auto" w:fill="C0C0C0"/>
          </w:tcPr>
          <w:p>
            <w:pPr>
              <w:pStyle w:val="Normal"/>
              <w:widowControl/>
              <w:bidi w:val="0"/>
              <w:ind w:left="0" w:right="0" w:hanging="0"/>
              <w:jc w:val="center"/>
              <w:textAlignment w:val="auto"/>
              <w:rPr/>
            </w:pPr>
            <w:r>
              <w:rPr>
                <w:b/>
                <w:bCs/>
              </w:rPr>
              <w:t> </w:t>
            </w:r>
          </w:p>
        </w:tc>
        <w:tc>
          <w:tcPr>
            <w:tcW w:w="2070" w:type="dxa"/>
            <w:gridSpan w:val="2"/>
            <w:tcBorders>
              <w:left w:val="single" w:sz="8" w:space="0" w:color="000001"/>
              <w:bottom w:val="single" w:sz="8" w:space="0" w:color="000001"/>
              <w:right w:val="single" w:sz="8" w:space="0" w:color="000001"/>
              <w:insideH w:val="single" w:sz="8" w:space="0" w:color="000001"/>
              <w:insideV w:val="single" w:sz="8" w:space="0" w:color="000001"/>
            </w:tcBorders>
            <w:shd w:color="auto" w:fill="C0C0C0"/>
            <w:tcMar>
              <w:left w:w="98" w:type="dxa"/>
            </w:tcMar>
          </w:tcPr>
          <w:p>
            <w:pPr>
              <w:pStyle w:val="Normal"/>
              <w:widowControl/>
              <w:bidi w:val="0"/>
              <w:ind w:left="0" w:right="0" w:hanging="0"/>
              <w:jc w:val="center"/>
              <w:textAlignment w:val="auto"/>
              <w:rPr/>
            </w:pPr>
            <w:r>
              <w:rPr>
                <w:b/>
                <w:bCs/>
              </w:rPr>
              <w:t> </w:t>
            </w:r>
          </w:p>
        </w:tc>
      </w:tr>
      <w:tr>
        <w:trPr>
          <w:trHeight w:val="319" w:hRule="atLeast"/>
        </w:trPr>
        <w:tc>
          <w:tcPr>
            <w:tcW w:w="132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2.1.1.1.</w:t>
            </w:r>
          </w:p>
        </w:tc>
        <w:tc>
          <w:tcPr>
            <w:tcW w:w="4412"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40"/>
              <w:jc w:val="left"/>
              <w:textAlignment w:val="auto"/>
              <w:rPr/>
            </w:pPr>
            <w:r>
              <w:rPr>
                <w:rFonts w:cs="Times New Roman CE" w:ascii="Times New Roman CE" w:hAnsi="Times New Roman CE"/>
              </w:rPr>
              <w:t>Proiecte de cercetări instituţionale</w:t>
            </w:r>
          </w:p>
        </w:tc>
        <w:tc>
          <w:tcPr>
            <w:tcW w:w="2158"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1</w:t>
            </w:r>
          </w:p>
        </w:tc>
        <w:tc>
          <w:tcPr>
            <w:tcW w:w="2070"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 </w:t>
            </w:r>
          </w:p>
        </w:tc>
      </w:tr>
      <w:tr>
        <w:trPr>
          <w:trHeight w:val="319" w:hRule="atLeast"/>
        </w:trPr>
        <w:tc>
          <w:tcPr>
            <w:tcW w:w="132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2.1.1.2.</w:t>
            </w:r>
          </w:p>
        </w:tc>
        <w:tc>
          <w:tcPr>
            <w:tcW w:w="4412"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40"/>
              <w:jc w:val="left"/>
              <w:textAlignment w:val="auto"/>
              <w:rPr>
                <w:lang w:val="fr-FR"/>
              </w:rPr>
            </w:pPr>
            <w:r>
              <w:rPr>
                <w:lang w:val="fr-FR"/>
              </w:rPr>
              <w:t>Proiecte din cadrul programelor de stat</w:t>
            </w:r>
          </w:p>
        </w:tc>
        <w:tc>
          <w:tcPr>
            <w:tcW w:w="2158"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lang w:val="fr-FR"/>
              </w:rPr>
            </w:pPr>
            <w:r>
              <w:rPr>
                <w:lang w:val="fr-FR"/>
              </w:rPr>
            </w:r>
          </w:p>
        </w:tc>
        <w:tc>
          <w:tcPr>
            <w:tcW w:w="2070"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fr-FR"/>
              </w:rPr>
            </w:pPr>
            <w:r>
              <w:rPr>
                <w:lang w:val="fr-FR"/>
              </w:rPr>
              <w:t> </w:t>
            </w:r>
          </w:p>
        </w:tc>
      </w:tr>
      <w:tr>
        <w:trPr>
          <w:trHeight w:val="319" w:hRule="atLeast"/>
        </w:trPr>
        <w:tc>
          <w:tcPr>
            <w:tcW w:w="132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2.1.1.3.</w:t>
            </w:r>
          </w:p>
        </w:tc>
        <w:tc>
          <w:tcPr>
            <w:tcW w:w="4412"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40"/>
              <w:jc w:val="left"/>
              <w:textAlignment w:val="auto"/>
              <w:rPr/>
            </w:pPr>
            <w:r>
              <w:rPr/>
              <w:t>P</w:t>
            </w:r>
            <w:r>
              <w:rPr>
                <w:rFonts w:cs="Times New Roman CE" w:ascii="Times New Roman CE" w:hAnsi="Times New Roman CE"/>
              </w:rPr>
              <w:t>roiecte pentru tineri cercetători</w:t>
            </w:r>
          </w:p>
        </w:tc>
        <w:tc>
          <w:tcPr>
            <w:tcW w:w="2158"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rPr>
            </w:pPr>
            <w:r>
              <w:rPr/>
            </w:r>
          </w:p>
        </w:tc>
        <w:tc>
          <w:tcPr>
            <w:tcW w:w="2070"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 </w:t>
            </w:r>
          </w:p>
        </w:tc>
      </w:tr>
      <w:tr>
        <w:trPr>
          <w:trHeight w:val="319" w:hRule="atLeast"/>
        </w:trPr>
        <w:tc>
          <w:tcPr>
            <w:tcW w:w="132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2.1.1.4.</w:t>
            </w:r>
          </w:p>
        </w:tc>
        <w:tc>
          <w:tcPr>
            <w:tcW w:w="4412"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40"/>
              <w:jc w:val="left"/>
              <w:textAlignment w:val="auto"/>
              <w:rPr/>
            </w:pPr>
            <w:r>
              <w:rPr/>
              <w:t>Proiecte pentru procurarea echipamentului</w:t>
            </w:r>
          </w:p>
        </w:tc>
        <w:tc>
          <w:tcPr>
            <w:tcW w:w="2158"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 </w:t>
            </w:r>
          </w:p>
        </w:tc>
        <w:tc>
          <w:tcPr>
            <w:tcW w:w="2070"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 </w:t>
            </w:r>
          </w:p>
        </w:tc>
      </w:tr>
      <w:tr>
        <w:trPr>
          <w:trHeight w:val="334" w:hRule="atLeast"/>
        </w:trPr>
        <w:tc>
          <w:tcPr>
            <w:tcW w:w="132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2.1.2.</w:t>
            </w:r>
          </w:p>
        </w:tc>
        <w:tc>
          <w:tcPr>
            <w:tcW w:w="4412"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41"/>
              <w:jc w:val="left"/>
              <w:textAlignment w:val="auto"/>
              <w:rPr/>
            </w:pPr>
            <w:r>
              <w:rPr>
                <w:rFonts w:cs="Times New Roman CE" w:ascii="Times New Roman CE" w:hAnsi="Times New Roman CE"/>
                <w:b/>
                <w:bCs/>
              </w:rPr>
              <w:t>Proiecte/granturi internaţionale</w:t>
            </w:r>
          </w:p>
        </w:tc>
        <w:tc>
          <w:tcPr>
            <w:tcW w:w="2158" w:type="dxa"/>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ro-RO"/>
              </w:rPr>
            </w:pPr>
            <w:r>
              <w:rPr>
                <w:b/>
                <w:bCs/>
                <w:lang w:val="ro-RO"/>
              </w:rPr>
              <w:t>1</w:t>
            </w:r>
          </w:p>
        </w:tc>
        <w:tc>
          <w:tcPr>
            <w:tcW w:w="2070"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b/>
                <w:bCs/>
              </w:rPr>
              <w:t>0</w:t>
            </w:r>
          </w:p>
        </w:tc>
      </w:tr>
      <w:tr>
        <w:trPr>
          <w:trHeight w:val="319" w:hRule="atLeast"/>
        </w:trPr>
        <w:tc>
          <w:tcPr>
            <w:tcW w:w="132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2.1.2.1.</w:t>
            </w:r>
          </w:p>
        </w:tc>
        <w:tc>
          <w:tcPr>
            <w:tcW w:w="4412"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40"/>
              <w:jc w:val="left"/>
              <w:textAlignment w:val="auto"/>
              <w:rPr/>
            </w:pPr>
            <w:r>
              <w:rPr/>
              <w:t xml:space="preserve">  </w:t>
            </w:r>
            <w:r>
              <w:rPr/>
              <w:t>Bilaterale</w:t>
            </w:r>
          </w:p>
        </w:tc>
        <w:tc>
          <w:tcPr>
            <w:tcW w:w="2158"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 </w:t>
            </w:r>
          </w:p>
        </w:tc>
        <w:tc>
          <w:tcPr>
            <w:tcW w:w="2070"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 </w:t>
            </w:r>
          </w:p>
        </w:tc>
      </w:tr>
      <w:tr>
        <w:trPr>
          <w:trHeight w:val="319" w:hRule="atLeast"/>
        </w:trPr>
        <w:tc>
          <w:tcPr>
            <w:tcW w:w="132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2.1.2.2.</w:t>
            </w:r>
          </w:p>
        </w:tc>
        <w:tc>
          <w:tcPr>
            <w:tcW w:w="4412"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40"/>
              <w:jc w:val="left"/>
              <w:textAlignment w:val="auto"/>
              <w:rPr/>
            </w:pPr>
            <w:r>
              <w:rPr/>
              <w:t xml:space="preserve">  </w:t>
            </w:r>
            <w:r>
              <w:rPr/>
              <w:t>PC6/PC7</w:t>
            </w:r>
          </w:p>
        </w:tc>
        <w:tc>
          <w:tcPr>
            <w:tcW w:w="2158"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 </w:t>
            </w:r>
            <w:r>
              <w:rPr>
                <w:lang w:val="ro-RO"/>
              </w:rPr>
              <w:t>1</w:t>
            </w:r>
          </w:p>
        </w:tc>
        <w:tc>
          <w:tcPr>
            <w:tcW w:w="2070"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 </w:t>
            </w:r>
          </w:p>
        </w:tc>
      </w:tr>
      <w:tr>
        <w:trPr>
          <w:trHeight w:val="319" w:hRule="atLeast"/>
        </w:trPr>
        <w:tc>
          <w:tcPr>
            <w:tcW w:w="132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2.1.2.3.</w:t>
            </w:r>
          </w:p>
        </w:tc>
        <w:tc>
          <w:tcPr>
            <w:tcW w:w="4412"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40"/>
              <w:jc w:val="left"/>
              <w:textAlignment w:val="auto"/>
              <w:rPr>
                <w:lang w:val="fr-FR"/>
              </w:rPr>
            </w:pPr>
            <w:r>
              <w:rPr>
                <w:lang w:val="fr-FR"/>
              </w:rPr>
              <w:t xml:space="preserve">  </w:t>
            </w:r>
            <w:r>
              <w:rPr>
                <w:lang w:val="fr-FR"/>
              </w:rPr>
              <w:t>Alte proiecte/granturi (de specificat)</w:t>
            </w:r>
          </w:p>
        </w:tc>
        <w:tc>
          <w:tcPr>
            <w:tcW w:w="2158"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fr-FR"/>
              </w:rPr>
            </w:pPr>
            <w:r>
              <w:rPr>
                <w:lang w:val="fr-FR"/>
              </w:rPr>
              <w:t> </w:t>
            </w:r>
          </w:p>
        </w:tc>
        <w:tc>
          <w:tcPr>
            <w:tcW w:w="2070"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fr-FR"/>
              </w:rPr>
            </w:pPr>
            <w:r>
              <w:rPr>
                <w:lang w:val="fr-FR"/>
              </w:rPr>
              <w:t> </w:t>
            </w:r>
          </w:p>
        </w:tc>
      </w:tr>
      <w:tr>
        <w:trPr>
          <w:trHeight w:val="319" w:hRule="atLeast"/>
        </w:trPr>
        <w:tc>
          <w:tcPr>
            <w:tcW w:w="132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2.1.3.</w:t>
            </w:r>
          </w:p>
        </w:tc>
        <w:tc>
          <w:tcPr>
            <w:tcW w:w="4412"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rPr>
              <w:t>Pro</w:t>
            </w:r>
            <w:r>
              <w:rPr>
                <w:rFonts w:cs="Times New Roman CE" w:ascii="Times New Roman CE" w:hAnsi="Times New Roman CE"/>
                <w:b/>
                <w:bCs/>
              </w:rPr>
              <w:t>iecte/granturi naţionale</w:t>
            </w:r>
          </w:p>
        </w:tc>
        <w:tc>
          <w:tcPr>
            <w:tcW w:w="2158"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 </w:t>
            </w:r>
          </w:p>
        </w:tc>
        <w:tc>
          <w:tcPr>
            <w:tcW w:w="2070"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 </w:t>
            </w:r>
          </w:p>
        </w:tc>
      </w:tr>
      <w:tr>
        <w:trPr>
          <w:trHeight w:val="319" w:hRule="atLeast"/>
        </w:trPr>
        <w:tc>
          <w:tcPr>
            <w:tcW w:w="132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2.1.4.</w:t>
            </w:r>
          </w:p>
        </w:tc>
        <w:tc>
          <w:tcPr>
            <w:tcW w:w="4412"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rFonts w:cs="Times New Roman CE" w:ascii="Times New Roman CE" w:hAnsi="Times New Roman CE"/>
                <w:b/>
                <w:bCs/>
              </w:rPr>
              <w:t>Contracte cu agenţi economici</w:t>
            </w:r>
          </w:p>
        </w:tc>
        <w:tc>
          <w:tcPr>
            <w:tcW w:w="2158"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 </w:t>
            </w:r>
          </w:p>
        </w:tc>
        <w:tc>
          <w:tcPr>
            <w:tcW w:w="2070"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 </w:t>
            </w:r>
          </w:p>
        </w:tc>
      </w:tr>
    </w:tbl>
    <w:p>
      <w:pPr>
        <w:pStyle w:val="Normal"/>
        <w:widowControl/>
        <w:tabs>
          <w:tab w:val="left" w:pos="4215" w:leader="none"/>
        </w:tabs>
        <w:bidi w:val="0"/>
        <w:ind w:left="0" w:right="0" w:hanging="0"/>
        <w:jc w:val="left"/>
        <w:textAlignment w:val="auto"/>
        <w:rPr>
          <w:rFonts w:ascii="Times New Roman" w:hAnsi="Times New Roman"/>
        </w:rPr>
      </w:pPr>
      <w:r>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tbl>
      <w:tblPr>
        <w:tblW w:w="10790" w:type="dxa"/>
        <w:jc w:val="left"/>
        <w:tblInd w:w="-109" w:type="dxa"/>
        <w:tblBorders/>
        <w:tblCellMar>
          <w:top w:w="0" w:type="dxa"/>
          <w:left w:w="108" w:type="dxa"/>
          <w:bottom w:w="0" w:type="dxa"/>
          <w:right w:w="108" w:type="dxa"/>
        </w:tblCellMar>
      </w:tblPr>
      <w:tblGrid>
        <w:gridCol w:w="722"/>
        <w:gridCol w:w="1872"/>
        <w:gridCol w:w="2"/>
        <w:gridCol w:w="717"/>
        <w:gridCol w:w="1"/>
        <w:gridCol w:w="240"/>
        <w:gridCol w:w="12"/>
        <w:gridCol w:w="323"/>
        <w:gridCol w:w="576"/>
        <w:gridCol w:w="202"/>
        <w:gridCol w:w="15"/>
        <w:gridCol w:w="503"/>
        <w:gridCol w:w="471"/>
        <w:gridCol w:w="18"/>
        <w:gridCol w:w="1"/>
        <w:gridCol w:w="231"/>
        <w:gridCol w:w="603"/>
        <w:gridCol w:w="21"/>
        <w:gridCol w:w="1"/>
        <w:gridCol w:w="96"/>
        <w:gridCol w:w="720"/>
        <w:gridCol w:w="150"/>
        <w:gridCol w:w="24"/>
        <w:gridCol w:w="1"/>
        <w:gridCol w:w="1"/>
        <w:gridCol w:w="547"/>
        <w:gridCol w:w="1"/>
        <w:gridCol w:w="36"/>
        <w:gridCol w:w="540"/>
        <w:gridCol w:w="1"/>
        <w:gridCol w:w="88"/>
        <w:gridCol w:w="487"/>
        <w:gridCol w:w="1"/>
        <w:gridCol w:w="273"/>
        <w:gridCol w:w="3"/>
        <w:gridCol w:w="66"/>
        <w:gridCol w:w="107"/>
        <w:gridCol w:w="70"/>
        <w:gridCol w:w="66"/>
        <w:gridCol w:w="107"/>
        <w:gridCol w:w="28"/>
        <w:gridCol w:w="1"/>
        <w:gridCol w:w="268"/>
        <w:gridCol w:w="68"/>
        <w:gridCol w:w="64"/>
        <w:gridCol w:w="1"/>
        <w:gridCol w:w="284"/>
        <w:gridCol w:w="88"/>
        <w:gridCol w:w="71"/>
      </w:tblGrid>
      <w:tr>
        <w:trPr>
          <w:trHeight w:val="256" w:hRule="atLeast"/>
        </w:trPr>
        <w:tc>
          <w:tcPr>
            <w:tcW w:w="10789" w:type="dxa"/>
            <w:gridSpan w:val="49"/>
            <w:tcBorders/>
            <w:shd w:fill="auto" w:val="clear"/>
            <w:vAlign w:val="bottom"/>
          </w:tcPr>
          <w:p>
            <w:pPr>
              <w:pStyle w:val="Normal"/>
              <w:widowControl/>
              <w:bidi w:val="0"/>
              <w:ind w:left="0" w:right="0" w:hanging="0"/>
              <w:jc w:val="center"/>
              <w:textAlignment w:val="auto"/>
              <w:rPr>
                <w:lang w:val="en-US"/>
              </w:rPr>
            </w:pPr>
            <w:r>
              <w:rPr>
                <w:rFonts w:cs="Times New Roman CE" w:ascii="Times New Roman CE" w:hAnsi="Times New Roman CE"/>
                <w:b/>
                <w:bCs/>
                <w:sz w:val="20"/>
                <w:szCs w:val="20"/>
                <w:lang w:val="en-US" w:eastAsia="en-US"/>
              </w:rPr>
              <w:t xml:space="preserve">3. RESURSE UMANE ŞI RETRIBUIREA MUNCII </w:t>
            </w:r>
          </w:p>
        </w:tc>
      </w:tr>
      <w:tr>
        <w:trPr>
          <w:trHeight w:val="362" w:hRule="atLeast"/>
        </w:trPr>
        <w:tc>
          <w:tcPr>
            <w:tcW w:w="10789" w:type="dxa"/>
            <w:gridSpan w:val="49"/>
            <w:tcBorders>
              <w:bottom w:val="single" w:sz="8" w:space="0" w:color="000001"/>
              <w:insideH w:val="single" w:sz="8" w:space="0" w:color="000001"/>
            </w:tcBorders>
            <w:shd w:fill="auto" w:val="clear"/>
            <w:vAlign w:val="bottom"/>
          </w:tcPr>
          <w:p>
            <w:pPr>
              <w:pStyle w:val="Normal"/>
              <w:widowControl/>
              <w:bidi w:val="0"/>
              <w:ind w:left="0" w:right="0" w:hanging="0"/>
              <w:jc w:val="center"/>
              <w:textAlignment w:val="auto"/>
              <w:rPr>
                <w:lang w:val="fr-FR"/>
              </w:rPr>
            </w:pPr>
            <w:r>
              <w:rPr>
                <w:rFonts w:cs="Times New Roman CE" w:ascii="Times New Roman CE" w:hAnsi="Times New Roman CE"/>
                <w:b/>
                <w:bCs/>
                <w:sz w:val="20"/>
                <w:szCs w:val="20"/>
                <w:lang w:val="fr-FR" w:eastAsia="en-US"/>
              </w:rPr>
              <w:t>3.1. Resurse umane şi structura personalului după ocupaţie, v</w:t>
            </w:r>
            <w:r>
              <w:rPr>
                <w:b/>
                <w:bCs/>
                <w:sz w:val="20"/>
                <w:szCs w:val="20"/>
                <w:lang w:val="fr-FR" w:eastAsia="en-US"/>
              </w:rPr>
              <w:t>â</w:t>
            </w:r>
            <w:r>
              <w:rPr>
                <w:rFonts w:cs="Times New Roman CE" w:ascii="Times New Roman CE" w:hAnsi="Times New Roman CE"/>
                <w:b/>
                <w:bCs/>
                <w:sz w:val="20"/>
                <w:szCs w:val="20"/>
                <w:lang w:val="fr-FR" w:eastAsia="en-US"/>
              </w:rPr>
              <w:t>rstă şi gen</w:t>
            </w:r>
            <w:r>
              <w:rPr>
                <w:b/>
                <w:bCs/>
                <w:sz w:val="20"/>
                <w:szCs w:val="20"/>
                <w:lang w:val="fr-FR" w:eastAsia="en-US"/>
              </w:rPr>
              <w:t xml:space="preserve"> 2016</w:t>
            </w:r>
          </w:p>
        </w:tc>
      </w:tr>
      <w:tr>
        <w:trPr>
          <w:trHeight w:val="271" w:hRule="atLeast"/>
        </w:trPr>
        <w:tc>
          <w:tcPr>
            <w:tcW w:w="2596" w:type="dxa"/>
            <w:gridSpan w:val="3"/>
            <w:vMerge w:val="restart"/>
            <w:tcBorders>
              <w:top w:val="single" w:sz="8" w:space="0" w:color="000001"/>
              <w:left w:val="single" w:sz="8" w:space="0" w:color="000001"/>
              <w:bottom w:val="single" w:sz="8" w:space="0" w:color="000001"/>
              <w:insideH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color w:val="000000"/>
                <w:sz w:val="20"/>
                <w:szCs w:val="20"/>
                <w:lang w:val="en-US" w:eastAsia="en-US"/>
              </w:rPr>
              <w:t>Categorii de personal</w:t>
            </w:r>
          </w:p>
        </w:tc>
        <w:tc>
          <w:tcPr>
            <w:tcW w:w="718" w:type="dxa"/>
            <w:gridSpan w:val="2"/>
            <w:vMerge w:val="restart"/>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extDirection w:val="btLr"/>
            <w:vAlign w:val="center"/>
          </w:tcPr>
          <w:p>
            <w:pPr>
              <w:pStyle w:val="Normal"/>
              <w:widowControl/>
              <w:bidi w:val="0"/>
              <w:ind w:left="0" w:right="0" w:hanging="0"/>
              <w:jc w:val="center"/>
              <w:textAlignment w:val="auto"/>
              <w:rPr>
                <w:lang w:val="en-US"/>
              </w:rPr>
            </w:pPr>
            <w:r>
              <w:rPr>
                <w:sz w:val="20"/>
                <w:szCs w:val="20"/>
                <w:lang w:val="en-US" w:eastAsia="en-US"/>
              </w:rPr>
              <w:t>Unitati conform statelor de personal</w:t>
            </w:r>
          </w:p>
        </w:tc>
        <w:tc>
          <w:tcPr>
            <w:tcW w:w="7475" w:type="dxa"/>
            <w:gridSpan w:val="44"/>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Persoane fizice</w:t>
            </w:r>
          </w:p>
        </w:tc>
      </w:tr>
      <w:tr>
        <w:trPr>
          <w:trHeight w:val="286" w:hRule="atLeast"/>
        </w:trPr>
        <w:tc>
          <w:tcPr>
            <w:tcW w:w="2594" w:type="dxa"/>
            <w:gridSpan w:val="2"/>
            <w:vMerge w:val="continue"/>
            <w:tcBorders>
              <w:top w:val="single" w:sz="8" w:space="0" w:color="000001"/>
              <w:left w:val="single" w:sz="8" w:space="0" w:color="000001"/>
              <w:bottom w:val="single" w:sz="8" w:space="0" w:color="000001"/>
              <w:insideH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color w:val="000000"/>
                <w:sz w:val="20"/>
                <w:szCs w:val="20"/>
                <w:lang w:val="en-US" w:eastAsia="en-US"/>
              </w:rPr>
            </w:pPr>
            <w:r>
              <w:rPr>
                <w:color w:val="000000"/>
                <w:sz w:val="20"/>
                <w:szCs w:val="20"/>
                <w:lang w:val="en-US" w:eastAsia="en-US"/>
              </w:rPr>
            </w:r>
          </w:p>
        </w:tc>
        <w:tc>
          <w:tcPr>
            <w:tcW w:w="719" w:type="dxa"/>
            <w:gridSpan w:val="2"/>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c>
          <w:tcPr>
            <w:tcW w:w="576" w:type="dxa"/>
            <w:gridSpan w:val="4"/>
            <w:vMerge w:val="restart"/>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extDirection w:val="btLr"/>
            <w:vAlign w:val="center"/>
          </w:tcPr>
          <w:p>
            <w:pPr>
              <w:pStyle w:val="Normal"/>
              <w:widowControl/>
              <w:bidi w:val="0"/>
              <w:ind w:left="0" w:right="0" w:hanging="0"/>
              <w:jc w:val="center"/>
              <w:textAlignment w:val="auto"/>
              <w:rPr>
                <w:lang w:val="en-US"/>
              </w:rPr>
            </w:pPr>
            <w:r>
              <w:rPr>
                <w:rFonts w:cs="Times New Roman CE" w:ascii="Times New Roman CE" w:hAnsi="Times New Roman CE"/>
                <w:sz w:val="20"/>
                <w:szCs w:val="20"/>
                <w:lang w:val="en-US" w:eastAsia="en-US"/>
              </w:rPr>
              <w:t>De bază</w:t>
            </w:r>
          </w:p>
        </w:tc>
        <w:tc>
          <w:tcPr>
            <w:tcW w:w="4182" w:type="dxa"/>
            <w:gridSpan w:val="19"/>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inclusiv</w:t>
            </w:r>
          </w:p>
        </w:tc>
        <w:tc>
          <w:tcPr>
            <w:tcW w:w="577" w:type="dxa"/>
            <w:gridSpan w:val="3"/>
            <w:vMerge w:val="restart"/>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extDirection w:val="btLr"/>
            <w:vAlign w:val="center"/>
          </w:tcPr>
          <w:p>
            <w:pPr>
              <w:pStyle w:val="Normal"/>
              <w:widowControl/>
              <w:bidi w:val="0"/>
              <w:ind w:left="0" w:right="0" w:hanging="0"/>
              <w:jc w:val="center"/>
              <w:textAlignment w:val="auto"/>
              <w:rPr>
                <w:lang w:val="en-US"/>
              </w:rPr>
            </w:pPr>
            <w:r>
              <w:rPr>
                <w:sz w:val="20"/>
                <w:szCs w:val="20"/>
                <w:lang w:val="en-US" w:eastAsia="en-US"/>
              </w:rPr>
              <w:t>Cumul intern</w:t>
            </w:r>
          </w:p>
        </w:tc>
        <w:tc>
          <w:tcPr>
            <w:tcW w:w="576" w:type="dxa"/>
            <w:gridSpan w:val="3"/>
            <w:vMerge w:val="restart"/>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extDirection w:val="btLr"/>
            <w:vAlign w:val="center"/>
          </w:tcPr>
          <w:p>
            <w:pPr>
              <w:pStyle w:val="Normal"/>
              <w:widowControl/>
              <w:bidi w:val="0"/>
              <w:ind w:left="0" w:right="0" w:hanging="0"/>
              <w:jc w:val="center"/>
              <w:textAlignment w:val="auto"/>
              <w:rPr>
                <w:lang w:val="en-US"/>
              </w:rPr>
            </w:pPr>
            <w:r>
              <w:rPr>
                <w:sz w:val="20"/>
                <w:szCs w:val="20"/>
                <w:lang w:val="en-US" w:eastAsia="en-US"/>
              </w:rPr>
              <w:t>Cumul extern</w:t>
            </w:r>
          </w:p>
        </w:tc>
        <w:tc>
          <w:tcPr>
            <w:tcW w:w="721" w:type="dxa"/>
            <w:gridSpan w:val="9"/>
            <w:vMerge w:val="restart"/>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extDirection w:val="btLr"/>
            <w:vAlign w:val="center"/>
          </w:tcPr>
          <w:p>
            <w:pPr>
              <w:pStyle w:val="Normal"/>
              <w:widowControl/>
              <w:bidi w:val="0"/>
              <w:ind w:left="0" w:right="0" w:hanging="0"/>
              <w:jc w:val="center"/>
              <w:textAlignment w:val="auto"/>
              <w:rPr>
                <w:lang w:val="en-US"/>
              </w:rPr>
            </w:pPr>
            <w:r>
              <w:rPr>
                <w:rFonts w:cs="Times New Roman CE" w:ascii="Times New Roman CE" w:hAnsi="Times New Roman CE"/>
                <w:sz w:val="20"/>
                <w:szCs w:val="20"/>
                <w:lang w:val="en-US" w:eastAsia="en-US"/>
              </w:rPr>
              <w:t>Acord de muncă (netitulari)</w:t>
            </w:r>
          </w:p>
        </w:tc>
        <w:tc>
          <w:tcPr>
            <w:tcW w:w="844" w:type="dxa"/>
            <w:gridSpan w:val="7"/>
            <w:vMerge w:val="restart"/>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extDirection w:val="btLr"/>
            <w:vAlign w:val="center"/>
          </w:tcPr>
          <w:p>
            <w:pPr>
              <w:pStyle w:val="Normal"/>
              <w:widowControl/>
              <w:bidi w:val="0"/>
              <w:ind w:left="0" w:right="0" w:hanging="0"/>
              <w:jc w:val="center"/>
              <w:textAlignment w:val="auto"/>
              <w:rPr>
                <w:lang w:val="fr-FR"/>
              </w:rPr>
            </w:pPr>
            <w:r>
              <w:rPr>
                <w:rFonts w:cs="Times New Roman CE" w:ascii="Times New Roman CE" w:hAnsi="Times New Roman CE"/>
                <w:sz w:val="20"/>
                <w:szCs w:val="20"/>
                <w:lang w:val="fr-FR" w:eastAsia="en-US"/>
              </w:rPr>
              <w:t>Total (fară cumul intern şi acord de muncă)</w:t>
            </w:r>
          </w:p>
        </w:tc>
      </w:tr>
      <w:tr>
        <w:trPr>
          <w:trHeight w:val="1121" w:hRule="atLeast"/>
        </w:trPr>
        <w:tc>
          <w:tcPr>
            <w:tcW w:w="2594" w:type="dxa"/>
            <w:gridSpan w:val="2"/>
            <w:vMerge w:val="continue"/>
            <w:tcBorders>
              <w:top w:val="single" w:sz="8" w:space="0" w:color="000001"/>
              <w:left w:val="single" w:sz="8" w:space="0" w:color="000001"/>
              <w:bottom w:val="single" w:sz="8" w:space="0" w:color="000001"/>
              <w:insideH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color w:val="000000"/>
                <w:sz w:val="20"/>
                <w:szCs w:val="20"/>
                <w:lang w:val="fr-FR" w:eastAsia="en-US"/>
              </w:rPr>
            </w:pPr>
            <w:r>
              <w:rPr>
                <w:color w:val="000000"/>
                <w:sz w:val="20"/>
                <w:szCs w:val="20"/>
                <w:lang w:val="fr-FR" w:eastAsia="en-US"/>
              </w:rPr>
            </w:r>
          </w:p>
        </w:tc>
        <w:tc>
          <w:tcPr>
            <w:tcW w:w="719" w:type="dxa"/>
            <w:gridSpan w:val="2"/>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fr-FR" w:eastAsia="en-US"/>
              </w:rPr>
            </w:pPr>
            <w:r>
              <w:rPr>
                <w:sz w:val="20"/>
                <w:szCs w:val="20"/>
                <w:lang w:val="fr-FR" w:eastAsia="en-US"/>
              </w:rPr>
            </w:r>
          </w:p>
        </w:tc>
        <w:tc>
          <w:tcPr>
            <w:tcW w:w="576" w:type="dxa"/>
            <w:gridSpan w:val="4"/>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fr-FR" w:eastAsia="en-US"/>
              </w:rPr>
            </w:pPr>
            <w:r>
              <w:rPr>
                <w:sz w:val="20"/>
                <w:szCs w:val="20"/>
                <w:lang w:val="fr-FR" w:eastAsia="en-US"/>
              </w:rPr>
            </w:r>
          </w:p>
        </w:tc>
        <w:tc>
          <w:tcPr>
            <w:tcW w:w="576" w:type="dxa"/>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rFonts w:cs="Times New Roman CE" w:ascii="Times New Roman CE" w:hAnsi="Times New Roman CE"/>
                <w:sz w:val="20"/>
                <w:szCs w:val="20"/>
                <w:lang w:val="en-US" w:eastAsia="en-US"/>
              </w:rPr>
              <w:t>Pînă la 25</w:t>
            </w:r>
          </w:p>
        </w:tc>
        <w:tc>
          <w:tcPr>
            <w:tcW w:w="720" w:type="dxa"/>
            <w:gridSpan w:val="3"/>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20"/>
                <w:szCs w:val="20"/>
                <w:lang w:val="en-US" w:eastAsia="en-US"/>
              </w:rPr>
              <w:t>25-34</w:t>
            </w:r>
          </w:p>
        </w:tc>
        <w:tc>
          <w:tcPr>
            <w:tcW w:w="721" w:type="dxa"/>
            <w:gridSpan w:val="4"/>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20"/>
                <w:szCs w:val="20"/>
                <w:lang w:val="en-US" w:eastAsia="en-US"/>
              </w:rPr>
              <w:t>35-44</w:t>
            </w:r>
          </w:p>
        </w:tc>
        <w:tc>
          <w:tcPr>
            <w:tcW w:w="721" w:type="dxa"/>
            <w:gridSpan w:val="4"/>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20"/>
                <w:szCs w:val="20"/>
                <w:lang w:val="en-US" w:eastAsia="en-US"/>
              </w:rPr>
              <w:t>45-54</w:t>
            </w:r>
          </w:p>
        </w:tc>
        <w:tc>
          <w:tcPr>
            <w:tcW w:w="720" w:type="dxa"/>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20"/>
                <w:szCs w:val="20"/>
                <w:lang w:val="en-US" w:eastAsia="en-US"/>
              </w:rPr>
              <w:t>55-64</w:t>
            </w:r>
          </w:p>
        </w:tc>
        <w:tc>
          <w:tcPr>
            <w:tcW w:w="723" w:type="dxa"/>
            <w:gridSpan w:val="5"/>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rFonts w:cs="Times New Roman CE" w:ascii="Times New Roman CE" w:hAnsi="Times New Roman CE"/>
                <w:sz w:val="20"/>
                <w:szCs w:val="20"/>
                <w:lang w:val="en-US" w:eastAsia="en-US"/>
              </w:rPr>
              <w:t>65 şi peste</w:t>
            </w:r>
          </w:p>
        </w:tc>
        <w:tc>
          <w:tcPr>
            <w:tcW w:w="577" w:type="dxa"/>
            <w:gridSpan w:val="3"/>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c>
          <w:tcPr>
            <w:tcW w:w="576" w:type="dxa"/>
            <w:gridSpan w:val="3"/>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c>
          <w:tcPr>
            <w:tcW w:w="721" w:type="dxa"/>
            <w:gridSpan w:val="9"/>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c>
          <w:tcPr>
            <w:tcW w:w="845" w:type="dxa"/>
            <w:gridSpan w:val="8"/>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281" w:hRule="atLeast"/>
        </w:trPr>
        <w:tc>
          <w:tcPr>
            <w:tcW w:w="2594"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lang w:val="en-US"/>
              </w:rPr>
            </w:pPr>
            <w:r>
              <w:rPr>
                <w:color w:val="000000"/>
                <w:sz w:val="20"/>
                <w:szCs w:val="20"/>
                <w:lang w:val="en-US" w:eastAsia="en-US"/>
              </w:rPr>
              <w:t>Conducatori</w:t>
            </w:r>
          </w:p>
        </w:tc>
        <w:tc>
          <w:tcPr>
            <w:tcW w:w="719" w:type="dxa"/>
            <w:gridSpan w:val="2"/>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1 </w:t>
            </w:r>
          </w:p>
        </w:tc>
        <w:tc>
          <w:tcPr>
            <w:tcW w:w="576" w:type="dxa"/>
            <w:gridSpan w:val="4"/>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20"/>
                <w:szCs w:val="20"/>
                <w:lang w:val="en-US" w:eastAsia="en-US"/>
              </w:rPr>
              <w:t>1</w:t>
            </w:r>
          </w:p>
        </w:tc>
        <w:tc>
          <w:tcPr>
            <w:tcW w:w="576" w:type="dxa"/>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20"/>
                <w:szCs w:val="20"/>
                <w:lang w:val="en-US" w:eastAsia="en-US"/>
              </w:rPr>
              <w:t> </w:t>
            </w:r>
          </w:p>
        </w:tc>
        <w:tc>
          <w:tcPr>
            <w:tcW w:w="720" w:type="dxa"/>
            <w:gridSpan w:val="3"/>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20"/>
                <w:szCs w:val="20"/>
                <w:lang w:val="en-US" w:eastAsia="en-US"/>
              </w:rPr>
              <w:t> </w:t>
            </w:r>
          </w:p>
        </w:tc>
        <w:tc>
          <w:tcPr>
            <w:tcW w:w="721" w:type="dxa"/>
            <w:gridSpan w:val="4"/>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20"/>
                <w:szCs w:val="20"/>
                <w:lang w:val="en-US" w:eastAsia="en-US"/>
              </w:rPr>
              <w:t> </w:t>
            </w:r>
          </w:p>
        </w:tc>
        <w:tc>
          <w:tcPr>
            <w:tcW w:w="721" w:type="dxa"/>
            <w:gridSpan w:val="4"/>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20"/>
                <w:szCs w:val="20"/>
                <w:lang w:val="en-US" w:eastAsia="en-US"/>
              </w:rPr>
              <w:t> </w:t>
            </w:r>
          </w:p>
        </w:tc>
        <w:tc>
          <w:tcPr>
            <w:tcW w:w="720" w:type="dxa"/>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c>
          <w:tcPr>
            <w:tcW w:w="723" w:type="dxa"/>
            <w:gridSpan w:val="5"/>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pPr>
            <w:r>
              <w:rPr>
                <w:sz w:val="20"/>
                <w:szCs w:val="20"/>
                <w:lang w:val="en-US" w:eastAsia="en-US"/>
              </w:rPr>
              <w:t> </w:t>
            </w:r>
            <w:r>
              <w:rPr>
                <w:sz w:val="20"/>
                <w:szCs w:val="20"/>
                <w:lang w:val="en-US" w:eastAsia="en-US"/>
              </w:rPr>
              <w:t>1</w:t>
            </w:r>
          </w:p>
        </w:tc>
        <w:tc>
          <w:tcPr>
            <w:tcW w:w="577" w:type="dxa"/>
            <w:gridSpan w:val="3"/>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20"/>
                <w:szCs w:val="20"/>
                <w:lang w:val="en-US" w:eastAsia="en-US"/>
              </w:rPr>
              <w:t> </w:t>
            </w:r>
          </w:p>
        </w:tc>
        <w:tc>
          <w:tcPr>
            <w:tcW w:w="576" w:type="dxa"/>
            <w:gridSpan w:val="3"/>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20"/>
                <w:szCs w:val="20"/>
                <w:lang w:val="en-US" w:eastAsia="en-US"/>
              </w:rPr>
              <w:t> </w:t>
            </w:r>
          </w:p>
        </w:tc>
        <w:tc>
          <w:tcPr>
            <w:tcW w:w="721" w:type="dxa"/>
            <w:gridSpan w:val="9"/>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20"/>
                <w:szCs w:val="20"/>
                <w:lang w:val="en-US" w:eastAsia="en-US"/>
              </w:rPr>
              <w:t> </w:t>
            </w:r>
          </w:p>
        </w:tc>
        <w:tc>
          <w:tcPr>
            <w:tcW w:w="845" w:type="dxa"/>
            <w:gridSpan w:val="8"/>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sz w:val="20"/>
                <w:szCs w:val="20"/>
                <w:lang w:val="en-US" w:eastAsia="en-US"/>
              </w:rPr>
              <w:t>1</w:t>
            </w:r>
          </w:p>
        </w:tc>
      </w:tr>
      <w:tr>
        <w:trPr>
          <w:trHeight w:val="258" w:hRule="atLeast"/>
        </w:trPr>
        <w:tc>
          <w:tcPr>
            <w:tcW w:w="722" w:type="dxa"/>
            <w:tcBorders>
              <w:left w:val="single" w:sz="8" w:space="0" w:color="000001"/>
              <w:bottom w:val="single" w:sz="8" w:space="0" w:color="000001"/>
              <w:insideH w:val="single" w:sz="8" w:space="0" w:color="000001"/>
            </w:tcBorders>
            <w:shd w:fill="auto" w:val="clear"/>
            <w:tcMar>
              <w:left w:w="98" w:type="dxa"/>
            </w:tcMar>
            <w:vAlign w:val="center"/>
          </w:tcPr>
          <w:p>
            <w:pPr>
              <w:pStyle w:val="Normal"/>
              <w:widowControl/>
              <w:bidi w:val="0"/>
              <w:ind w:left="0" w:right="0" w:hanging="0"/>
              <w:jc w:val="left"/>
              <w:textAlignment w:val="auto"/>
              <w:rPr>
                <w:lang w:val="en-US"/>
              </w:rPr>
            </w:pPr>
            <w:r>
              <w:rPr>
                <w:color w:val="000000"/>
                <w:sz w:val="20"/>
                <w:szCs w:val="20"/>
                <w:lang w:val="en-US" w:eastAsia="en-US"/>
              </w:rPr>
              <w:t> </w:t>
            </w:r>
          </w:p>
        </w:tc>
        <w:tc>
          <w:tcPr>
            <w:tcW w:w="187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lang w:val="en-US"/>
              </w:rPr>
            </w:pPr>
            <w:r>
              <w:rPr>
                <w:color w:val="000000"/>
                <w:sz w:val="20"/>
                <w:szCs w:val="20"/>
                <w:lang w:val="en-US" w:eastAsia="en-US"/>
              </w:rPr>
              <w:t>Femei</w:t>
            </w:r>
          </w:p>
        </w:tc>
        <w:tc>
          <w:tcPr>
            <w:tcW w:w="719" w:type="dxa"/>
            <w:gridSpan w:val="2"/>
            <w:tcBorders>
              <w:bottom w:val="single" w:sz="8" w:space="0" w:color="000001"/>
              <w:right w:val="single" w:sz="8" w:space="0" w:color="000001"/>
              <w:insideH w:val="single" w:sz="8" w:space="0" w:color="000001"/>
              <w:insideV w:val="single" w:sz="8" w:space="0" w:color="000001"/>
            </w:tcBorders>
            <w:shd w:color="auto" w:fill="C0C0C0"/>
            <w:textDirection w:val="btLr"/>
            <w:vAlign w:val="center"/>
          </w:tcPr>
          <w:p>
            <w:pPr>
              <w:pStyle w:val="Normal"/>
              <w:widowControl/>
              <w:bidi w:val="0"/>
              <w:ind w:left="0" w:right="0" w:hanging="0"/>
              <w:jc w:val="center"/>
              <w:textAlignment w:val="auto"/>
              <w:rPr>
                <w:lang w:val="en-US"/>
              </w:rPr>
            </w:pPr>
            <w:r>
              <w:rPr>
                <w:sz w:val="20"/>
                <w:szCs w:val="20"/>
                <w:lang w:val="en-US" w:eastAsia="en-US"/>
              </w:rPr>
              <w:t> </w:t>
            </w:r>
          </w:p>
        </w:tc>
        <w:tc>
          <w:tcPr>
            <w:tcW w:w="576" w:type="dxa"/>
            <w:gridSpan w:val="4"/>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0</w:t>
            </w:r>
          </w:p>
        </w:tc>
        <w:tc>
          <w:tcPr>
            <w:tcW w:w="576" w:type="dxa"/>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20"/>
                <w:szCs w:val="20"/>
                <w:lang w:val="en-US" w:eastAsia="en-US"/>
              </w:rPr>
              <w:t> </w:t>
            </w:r>
          </w:p>
        </w:tc>
        <w:tc>
          <w:tcPr>
            <w:tcW w:w="720" w:type="dxa"/>
            <w:gridSpan w:val="3"/>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20"/>
                <w:szCs w:val="20"/>
                <w:lang w:val="en-US" w:eastAsia="en-US"/>
              </w:rPr>
              <w:t> </w:t>
            </w:r>
          </w:p>
        </w:tc>
        <w:tc>
          <w:tcPr>
            <w:tcW w:w="721" w:type="dxa"/>
            <w:gridSpan w:val="4"/>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20"/>
                <w:szCs w:val="20"/>
                <w:lang w:val="en-US" w:eastAsia="en-US"/>
              </w:rPr>
              <w:t> </w:t>
            </w:r>
          </w:p>
        </w:tc>
        <w:tc>
          <w:tcPr>
            <w:tcW w:w="721" w:type="dxa"/>
            <w:gridSpan w:val="4"/>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20"/>
                <w:szCs w:val="20"/>
                <w:lang w:val="en-US" w:eastAsia="en-US"/>
              </w:rPr>
              <w:t> </w:t>
            </w:r>
          </w:p>
        </w:tc>
        <w:tc>
          <w:tcPr>
            <w:tcW w:w="720" w:type="dxa"/>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20"/>
                <w:szCs w:val="20"/>
                <w:lang w:val="en-US" w:eastAsia="en-US"/>
              </w:rPr>
              <w:t> </w:t>
            </w:r>
          </w:p>
        </w:tc>
        <w:tc>
          <w:tcPr>
            <w:tcW w:w="723" w:type="dxa"/>
            <w:gridSpan w:val="5"/>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20"/>
                <w:szCs w:val="20"/>
                <w:lang w:val="en-US" w:eastAsia="en-US"/>
              </w:rPr>
              <w:t> </w:t>
            </w:r>
          </w:p>
        </w:tc>
        <w:tc>
          <w:tcPr>
            <w:tcW w:w="577" w:type="dxa"/>
            <w:gridSpan w:val="3"/>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20"/>
                <w:szCs w:val="20"/>
                <w:lang w:val="en-US" w:eastAsia="en-US"/>
              </w:rPr>
              <w:t> </w:t>
            </w:r>
          </w:p>
        </w:tc>
        <w:tc>
          <w:tcPr>
            <w:tcW w:w="576" w:type="dxa"/>
            <w:gridSpan w:val="3"/>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20"/>
                <w:szCs w:val="20"/>
                <w:lang w:val="en-US" w:eastAsia="en-US"/>
              </w:rPr>
              <w:t> </w:t>
            </w:r>
          </w:p>
        </w:tc>
        <w:tc>
          <w:tcPr>
            <w:tcW w:w="721" w:type="dxa"/>
            <w:gridSpan w:val="9"/>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20"/>
                <w:szCs w:val="20"/>
                <w:lang w:val="en-US" w:eastAsia="en-US"/>
              </w:rPr>
              <w:t> </w:t>
            </w:r>
          </w:p>
        </w:tc>
        <w:tc>
          <w:tcPr>
            <w:tcW w:w="845" w:type="dxa"/>
            <w:gridSpan w:val="8"/>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20"/>
                <w:szCs w:val="20"/>
                <w:lang w:val="en-US" w:eastAsia="en-US"/>
              </w:rPr>
              <w:t>0</w:t>
            </w:r>
          </w:p>
        </w:tc>
      </w:tr>
      <w:tr>
        <w:trPr>
          <w:trHeight w:val="120" w:hRule="atLeast"/>
        </w:trPr>
        <w:tc>
          <w:tcPr>
            <w:tcW w:w="2594"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Cercetători</w:t>
            </w:r>
          </w:p>
        </w:tc>
        <w:tc>
          <w:tcPr>
            <w:tcW w:w="719"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en-US"/>
              </w:rPr>
            </w:pPr>
            <w:r>
              <w:rPr>
                <w:sz w:val="20"/>
                <w:szCs w:val="20"/>
                <w:lang w:val="en-US" w:eastAsia="en-US"/>
              </w:rPr>
              <w:t>7,5</w:t>
            </w:r>
          </w:p>
        </w:tc>
        <w:tc>
          <w:tcPr>
            <w:tcW w:w="576" w:type="dxa"/>
            <w:gridSpan w:val="4"/>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7</w:t>
            </w:r>
          </w:p>
        </w:tc>
        <w:tc>
          <w:tcPr>
            <w:tcW w:w="576"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 </w:t>
            </w:r>
          </w:p>
        </w:tc>
        <w:tc>
          <w:tcPr>
            <w:tcW w:w="72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c>
          <w:tcPr>
            <w:tcW w:w="721"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1 </w:t>
            </w:r>
          </w:p>
        </w:tc>
        <w:tc>
          <w:tcPr>
            <w:tcW w:w="721"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 </w:t>
            </w:r>
          </w:p>
        </w:tc>
        <w:tc>
          <w:tcPr>
            <w:tcW w:w="72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3</w:t>
            </w:r>
          </w:p>
        </w:tc>
        <w:tc>
          <w:tcPr>
            <w:tcW w:w="723" w:type="dxa"/>
            <w:gridSpan w:val="5"/>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3</w:t>
            </w:r>
          </w:p>
        </w:tc>
        <w:tc>
          <w:tcPr>
            <w:tcW w:w="57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 </w:t>
            </w:r>
          </w:p>
        </w:tc>
        <w:tc>
          <w:tcPr>
            <w:tcW w:w="576"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3</w:t>
            </w:r>
          </w:p>
        </w:tc>
        <w:tc>
          <w:tcPr>
            <w:tcW w:w="721" w:type="dxa"/>
            <w:gridSpan w:val="9"/>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lang w:val="en-US" w:eastAsia="en-US"/>
              </w:rPr>
              <w:t> </w:t>
            </w:r>
          </w:p>
        </w:tc>
        <w:tc>
          <w:tcPr>
            <w:tcW w:w="845" w:type="dxa"/>
            <w:gridSpan w:val="8"/>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20"/>
                <w:szCs w:val="20"/>
                <w:lang w:val="en-US" w:eastAsia="en-US"/>
              </w:rPr>
              <w:t>10</w:t>
            </w:r>
          </w:p>
        </w:tc>
      </w:tr>
      <w:tr>
        <w:trPr>
          <w:trHeight w:val="166" w:hRule="atLeast"/>
        </w:trPr>
        <w:tc>
          <w:tcPr>
            <w:tcW w:w="72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lang w:val="en-US"/>
              </w:rPr>
            </w:pPr>
            <w:r>
              <w:rPr>
                <w:sz w:val="20"/>
                <w:szCs w:val="20"/>
                <w:lang w:val="en-US" w:eastAsia="en-US"/>
              </w:rPr>
              <w:t> </w:t>
            </w:r>
          </w:p>
        </w:tc>
        <w:tc>
          <w:tcPr>
            <w:tcW w:w="1872"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0"/>
              <w:jc w:val="left"/>
              <w:textAlignment w:val="auto"/>
              <w:rPr>
                <w:lang w:val="en-US"/>
              </w:rPr>
            </w:pPr>
            <w:r>
              <w:rPr>
                <w:sz w:val="20"/>
                <w:szCs w:val="20"/>
                <w:lang w:val="en-US" w:eastAsia="en-US"/>
              </w:rPr>
              <w:t>Femei</w:t>
            </w:r>
          </w:p>
        </w:tc>
        <w:tc>
          <w:tcPr>
            <w:tcW w:w="719" w:type="dxa"/>
            <w:gridSpan w:val="2"/>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lang w:val="en-US"/>
              </w:rPr>
            </w:pPr>
            <w:r>
              <w:rPr>
                <w:sz w:val="20"/>
                <w:szCs w:val="20"/>
                <w:lang w:val="en-US" w:eastAsia="en-US"/>
              </w:rPr>
              <w:t> </w:t>
            </w:r>
            <w:r>
              <w:rPr>
                <w:sz w:val="20"/>
                <w:szCs w:val="20"/>
                <w:lang w:val="en-US" w:eastAsia="en-US"/>
              </w:rPr>
              <w:t>1</w:t>
            </w:r>
          </w:p>
        </w:tc>
        <w:tc>
          <w:tcPr>
            <w:tcW w:w="576" w:type="dxa"/>
            <w:gridSpan w:val="4"/>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1</w:t>
            </w:r>
          </w:p>
        </w:tc>
        <w:tc>
          <w:tcPr>
            <w:tcW w:w="576"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 </w:t>
            </w:r>
          </w:p>
        </w:tc>
        <w:tc>
          <w:tcPr>
            <w:tcW w:w="72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 </w:t>
            </w:r>
          </w:p>
        </w:tc>
        <w:tc>
          <w:tcPr>
            <w:tcW w:w="721"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1</w:t>
            </w:r>
          </w:p>
        </w:tc>
        <w:tc>
          <w:tcPr>
            <w:tcW w:w="721"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 </w:t>
            </w:r>
          </w:p>
        </w:tc>
        <w:tc>
          <w:tcPr>
            <w:tcW w:w="72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 </w:t>
            </w:r>
          </w:p>
        </w:tc>
        <w:tc>
          <w:tcPr>
            <w:tcW w:w="723" w:type="dxa"/>
            <w:gridSpan w:val="5"/>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 </w:t>
            </w:r>
          </w:p>
        </w:tc>
        <w:tc>
          <w:tcPr>
            <w:tcW w:w="57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 </w:t>
            </w:r>
          </w:p>
        </w:tc>
        <w:tc>
          <w:tcPr>
            <w:tcW w:w="576"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 </w:t>
            </w:r>
          </w:p>
        </w:tc>
        <w:tc>
          <w:tcPr>
            <w:tcW w:w="721" w:type="dxa"/>
            <w:gridSpan w:val="9"/>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lang w:val="en-US" w:eastAsia="en-US"/>
              </w:rPr>
              <w:t> </w:t>
            </w:r>
          </w:p>
        </w:tc>
        <w:tc>
          <w:tcPr>
            <w:tcW w:w="845" w:type="dxa"/>
            <w:gridSpan w:val="8"/>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20"/>
                <w:szCs w:val="20"/>
                <w:lang w:val="en-US" w:eastAsia="en-US"/>
              </w:rPr>
              <w:t>1</w:t>
            </w:r>
          </w:p>
        </w:tc>
      </w:tr>
      <w:tr>
        <w:trPr>
          <w:trHeight w:val="198" w:hRule="atLeast"/>
        </w:trPr>
        <w:tc>
          <w:tcPr>
            <w:tcW w:w="2594"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right"/>
              <w:textAlignment w:val="auto"/>
              <w:rPr>
                <w:lang w:val="en-US"/>
              </w:rPr>
            </w:pPr>
            <w:r>
              <w:rPr>
                <w:i/>
                <w:iCs/>
                <w:sz w:val="20"/>
                <w:szCs w:val="20"/>
                <w:lang w:val="en-US" w:eastAsia="en-US"/>
              </w:rPr>
              <w:t>din ei</w:t>
            </w:r>
            <w:r>
              <w:rPr>
                <w:sz w:val="20"/>
                <w:szCs w:val="20"/>
                <w:lang w:val="en-US" w:eastAsia="en-US"/>
              </w:rPr>
              <w:t>:</w:t>
            </w:r>
          </w:p>
        </w:tc>
        <w:tc>
          <w:tcPr>
            <w:tcW w:w="719" w:type="dxa"/>
            <w:gridSpan w:val="2"/>
            <w:tcBorders>
              <w:bottom w:val="single" w:sz="8" w:space="0" w:color="000001"/>
              <w:insideH w:val="single" w:sz="8" w:space="0" w:color="000001"/>
            </w:tcBorders>
            <w:shd w:color="auto" w:fill="C0C0C0"/>
          </w:tcPr>
          <w:p>
            <w:pPr>
              <w:pStyle w:val="Normal"/>
              <w:widowControl/>
              <w:bidi w:val="0"/>
              <w:ind w:left="0" w:right="0" w:firstLine="200"/>
              <w:jc w:val="right"/>
              <w:textAlignment w:val="auto"/>
              <w:rPr/>
            </w:pPr>
            <w:r>
              <w:rPr>
                <w:i/>
                <w:iCs/>
                <w:sz w:val="20"/>
                <w:szCs w:val="20"/>
                <w:lang w:val="en-US" w:eastAsia="en-US"/>
              </w:rPr>
              <w:t> </w:t>
            </w:r>
          </w:p>
        </w:tc>
        <w:tc>
          <w:tcPr>
            <w:tcW w:w="576" w:type="dxa"/>
            <w:gridSpan w:val="4"/>
            <w:tcBorders>
              <w:bottom w:val="single" w:sz="8" w:space="0" w:color="000001"/>
              <w:insideH w:val="single" w:sz="8" w:space="0" w:color="000001"/>
            </w:tcBorders>
            <w:shd w:color="auto" w:fill="C0C0C0"/>
          </w:tcPr>
          <w:p>
            <w:pPr>
              <w:pStyle w:val="Normal"/>
              <w:widowControl/>
              <w:bidi w:val="0"/>
              <w:ind w:left="0" w:right="0" w:firstLine="200"/>
              <w:jc w:val="right"/>
              <w:textAlignment w:val="auto"/>
              <w:rPr/>
            </w:pPr>
            <w:r>
              <w:rPr>
                <w:i/>
                <w:iCs/>
                <w:sz w:val="20"/>
                <w:szCs w:val="20"/>
                <w:lang w:val="en-US" w:eastAsia="en-US"/>
              </w:rPr>
              <w:t> </w:t>
            </w:r>
          </w:p>
        </w:tc>
        <w:tc>
          <w:tcPr>
            <w:tcW w:w="576" w:type="dxa"/>
            <w:tcBorders>
              <w:bottom w:val="single" w:sz="8" w:space="0" w:color="000001"/>
              <w:insideH w:val="single" w:sz="8" w:space="0" w:color="000001"/>
            </w:tcBorders>
            <w:shd w:color="auto" w:fill="C0C0C0"/>
          </w:tcPr>
          <w:p>
            <w:pPr>
              <w:pStyle w:val="Normal"/>
              <w:widowControl/>
              <w:bidi w:val="0"/>
              <w:ind w:left="0" w:right="0" w:firstLine="200"/>
              <w:jc w:val="right"/>
              <w:textAlignment w:val="auto"/>
              <w:rPr/>
            </w:pPr>
            <w:r>
              <w:rPr>
                <w:i/>
                <w:iCs/>
                <w:sz w:val="20"/>
                <w:szCs w:val="20"/>
                <w:lang w:val="en-US" w:eastAsia="en-US"/>
              </w:rPr>
              <w:t> </w:t>
            </w:r>
          </w:p>
        </w:tc>
        <w:tc>
          <w:tcPr>
            <w:tcW w:w="720" w:type="dxa"/>
            <w:gridSpan w:val="3"/>
            <w:tcBorders>
              <w:bottom w:val="single" w:sz="8" w:space="0" w:color="000001"/>
              <w:insideH w:val="single" w:sz="8" w:space="0" w:color="000001"/>
            </w:tcBorders>
            <w:shd w:color="auto" w:fill="C0C0C0"/>
          </w:tcPr>
          <w:p>
            <w:pPr>
              <w:pStyle w:val="Normal"/>
              <w:widowControl/>
              <w:bidi w:val="0"/>
              <w:ind w:left="0" w:right="0" w:firstLine="200"/>
              <w:jc w:val="right"/>
              <w:textAlignment w:val="auto"/>
              <w:rPr/>
            </w:pPr>
            <w:r>
              <w:rPr>
                <w:i/>
                <w:iCs/>
                <w:sz w:val="20"/>
                <w:szCs w:val="20"/>
                <w:lang w:val="en-US" w:eastAsia="en-US"/>
              </w:rPr>
              <w:t> </w:t>
            </w:r>
          </w:p>
        </w:tc>
        <w:tc>
          <w:tcPr>
            <w:tcW w:w="721" w:type="dxa"/>
            <w:gridSpan w:val="4"/>
            <w:tcBorders>
              <w:bottom w:val="single" w:sz="8" w:space="0" w:color="000001"/>
              <w:insideH w:val="single" w:sz="8" w:space="0" w:color="000001"/>
            </w:tcBorders>
            <w:shd w:color="auto" w:fill="C0C0C0"/>
          </w:tcPr>
          <w:p>
            <w:pPr>
              <w:pStyle w:val="Normal"/>
              <w:widowControl/>
              <w:bidi w:val="0"/>
              <w:ind w:left="0" w:right="0" w:firstLine="200"/>
              <w:jc w:val="right"/>
              <w:textAlignment w:val="auto"/>
              <w:rPr/>
            </w:pPr>
            <w:r>
              <w:rPr>
                <w:i/>
                <w:iCs/>
                <w:sz w:val="20"/>
                <w:szCs w:val="20"/>
                <w:lang w:val="en-US" w:eastAsia="en-US"/>
              </w:rPr>
              <w:t> </w:t>
            </w:r>
          </w:p>
        </w:tc>
        <w:tc>
          <w:tcPr>
            <w:tcW w:w="721" w:type="dxa"/>
            <w:gridSpan w:val="4"/>
            <w:tcBorders>
              <w:bottom w:val="single" w:sz="8" w:space="0" w:color="000001"/>
              <w:insideH w:val="single" w:sz="8" w:space="0" w:color="000001"/>
            </w:tcBorders>
            <w:shd w:color="auto" w:fill="C0C0C0"/>
          </w:tcPr>
          <w:p>
            <w:pPr>
              <w:pStyle w:val="Normal"/>
              <w:widowControl/>
              <w:bidi w:val="0"/>
              <w:ind w:left="0" w:right="0" w:firstLine="200"/>
              <w:jc w:val="right"/>
              <w:textAlignment w:val="auto"/>
              <w:rPr/>
            </w:pPr>
            <w:r>
              <w:rPr>
                <w:i/>
                <w:iCs/>
                <w:sz w:val="20"/>
                <w:szCs w:val="20"/>
                <w:lang w:val="en-US" w:eastAsia="en-US"/>
              </w:rPr>
              <w:t> </w:t>
            </w:r>
          </w:p>
        </w:tc>
        <w:tc>
          <w:tcPr>
            <w:tcW w:w="720" w:type="dxa"/>
            <w:tcBorders>
              <w:bottom w:val="single" w:sz="8" w:space="0" w:color="000001"/>
              <w:insideH w:val="single" w:sz="8" w:space="0" w:color="000001"/>
            </w:tcBorders>
            <w:shd w:color="auto" w:fill="C0C0C0"/>
          </w:tcPr>
          <w:p>
            <w:pPr>
              <w:pStyle w:val="Normal"/>
              <w:widowControl/>
              <w:bidi w:val="0"/>
              <w:ind w:left="0" w:right="0" w:firstLine="200"/>
              <w:jc w:val="right"/>
              <w:textAlignment w:val="auto"/>
              <w:rPr/>
            </w:pPr>
            <w:r>
              <w:rPr>
                <w:i/>
                <w:iCs/>
                <w:sz w:val="20"/>
                <w:szCs w:val="20"/>
                <w:lang w:val="en-US" w:eastAsia="en-US"/>
              </w:rPr>
              <w:t> </w:t>
            </w:r>
          </w:p>
        </w:tc>
        <w:tc>
          <w:tcPr>
            <w:tcW w:w="723" w:type="dxa"/>
            <w:gridSpan w:val="5"/>
            <w:tcBorders>
              <w:bottom w:val="single" w:sz="8" w:space="0" w:color="000001"/>
              <w:insideH w:val="single" w:sz="8" w:space="0" w:color="000001"/>
            </w:tcBorders>
            <w:shd w:color="auto" w:fill="C0C0C0"/>
          </w:tcPr>
          <w:p>
            <w:pPr>
              <w:pStyle w:val="Normal"/>
              <w:widowControl/>
              <w:bidi w:val="0"/>
              <w:ind w:left="0" w:right="0" w:firstLine="200"/>
              <w:jc w:val="right"/>
              <w:textAlignment w:val="auto"/>
              <w:rPr/>
            </w:pPr>
            <w:r>
              <w:rPr>
                <w:i/>
                <w:iCs/>
                <w:sz w:val="20"/>
                <w:szCs w:val="20"/>
                <w:lang w:val="en-US" w:eastAsia="en-US"/>
              </w:rPr>
              <w:t> </w:t>
            </w:r>
          </w:p>
        </w:tc>
        <w:tc>
          <w:tcPr>
            <w:tcW w:w="577" w:type="dxa"/>
            <w:gridSpan w:val="3"/>
            <w:tcBorders>
              <w:bottom w:val="single" w:sz="8" w:space="0" w:color="000001"/>
              <w:insideH w:val="single" w:sz="8" w:space="0" w:color="000001"/>
            </w:tcBorders>
            <w:shd w:color="auto" w:fill="C0C0C0"/>
          </w:tcPr>
          <w:p>
            <w:pPr>
              <w:pStyle w:val="Normal"/>
              <w:widowControl/>
              <w:bidi w:val="0"/>
              <w:ind w:left="0" w:right="0" w:firstLine="200"/>
              <w:jc w:val="right"/>
              <w:textAlignment w:val="auto"/>
              <w:rPr/>
            </w:pPr>
            <w:r>
              <w:rPr>
                <w:i/>
                <w:iCs/>
                <w:sz w:val="20"/>
                <w:szCs w:val="20"/>
                <w:lang w:val="en-US" w:eastAsia="en-US"/>
              </w:rPr>
              <w:t> </w:t>
            </w:r>
          </w:p>
        </w:tc>
        <w:tc>
          <w:tcPr>
            <w:tcW w:w="576" w:type="dxa"/>
            <w:gridSpan w:val="3"/>
            <w:tcBorders>
              <w:bottom w:val="single" w:sz="8" w:space="0" w:color="000001"/>
              <w:insideH w:val="single" w:sz="8" w:space="0" w:color="000001"/>
            </w:tcBorders>
            <w:shd w:color="auto" w:fill="C0C0C0"/>
          </w:tcPr>
          <w:p>
            <w:pPr>
              <w:pStyle w:val="Normal"/>
              <w:widowControl/>
              <w:bidi w:val="0"/>
              <w:ind w:left="0" w:right="0" w:firstLine="200"/>
              <w:jc w:val="right"/>
              <w:textAlignment w:val="auto"/>
              <w:rPr/>
            </w:pPr>
            <w:r>
              <w:rPr>
                <w:i/>
                <w:iCs/>
                <w:sz w:val="20"/>
                <w:szCs w:val="20"/>
                <w:lang w:val="en-US" w:eastAsia="en-US"/>
              </w:rPr>
              <w:t> </w:t>
            </w:r>
          </w:p>
        </w:tc>
        <w:tc>
          <w:tcPr>
            <w:tcW w:w="721" w:type="dxa"/>
            <w:gridSpan w:val="9"/>
            <w:tcBorders>
              <w:bottom w:val="single" w:sz="8" w:space="0" w:color="000001"/>
              <w:insideH w:val="single" w:sz="8" w:space="0" w:color="000001"/>
            </w:tcBorders>
            <w:shd w:color="auto" w:fill="C0C0C0"/>
          </w:tcPr>
          <w:p>
            <w:pPr>
              <w:pStyle w:val="Normal"/>
              <w:widowControl/>
              <w:bidi w:val="0"/>
              <w:ind w:left="0" w:right="0" w:firstLine="200"/>
              <w:jc w:val="right"/>
              <w:textAlignment w:val="auto"/>
              <w:rPr/>
            </w:pPr>
            <w:r>
              <w:rPr>
                <w:i/>
                <w:iCs/>
                <w:sz w:val="20"/>
                <w:szCs w:val="20"/>
                <w:lang w:val="en-US" w:eastAsia="en-US"/>
              </w:rPr>
              <w:t> </w:t>
            </w:r>
          </w:p>
        </w:tc>
        <w:tc>
          <w:tcPr>
            <w:tcW w:w="845" w:type="dxa"/>
            <w:gridSpan w:val="8"/>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right"/>
              <w:textAlignment w:val="auto"/>
              <w:rPr/>
            </w:pPr>
            <w:r>
              <w:rPr>
                <w:i/>
                <w:iCs/>
                <w:sz w:val="20"/>
                <w:szCs w:val="20"/>
                <w:lang w:val="en-US" w:eastAsia="en-US"/>
              </w:rPr>
              <w:t> </w:t>
            </w:r>
          </w:p>
        </w:tc>
      </w:tr>
      <w:tr>
        <w:trPr>
          <w:trHeight w:val="73" w:hRule="atLeast"/>
        </w:trPr>
        <w:tc>
          <w:tcPr>
            <w:tcW w:w="2594"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Doctori habilitaţi</w:t>
            </w:r>
          </w:p>
        </w:tc>
        <w:tc>
          <w:tcPr>
            <w:tcW w:w="719" w:type="dxa"/>
            <w:gridSpan w:val="2"/>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lang w:val="en-US"/>
              </w:rPr>
            </w:pPr>
            <w:r>
              <w:rPr>
                <w:sz w:val="20"/>
                <w:szCs w:val="20"/>
                <w:lang w:val="en-US" w:eastAsia="en-US"/>
              </w:rPr>
              <w:t> </w:t>
            </w:r>
            <w:r>
              <w:rPr>
                <w:sz w:val="20"/>
                <w:szCs w:val="20"/>
                <w:lang w:val="en-US" w:eastAsia="en-US"/>
              </w:rPr>
              <w:t>4</w:t>
            </w:r>
          </w:p>
        </w:tc>
        <w:tc>
          <w:tcPr>
            <w:tcW w:w="576" w:type="dxa"/>
            <w:gridSpan w:val="4"/>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4</w:t>
            </w:r>
          </w:p>
        </w:tc>
        <w:tc>
          <w:tcPr>
            <w:tcW w:w="576"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1"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1"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2</w:t>
            </w:r>
          </w:p>
        </w:tc>
        <w:tc>
          <w:tcPr>
            <w:tcW w:w="723" w:type="dxa"/>
            <w:gridSpan w:val="5"/>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2</w:t>
            </w:r>
          </w:p>
        </w:tc>
        <w:tc>
          <w:tcPr>
            <w:tcW w:w="57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76"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1" w:type="dxa"/>
            <w:gridSpan w:val="9"/>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20"/>
                <w:szCs w:val="20"/>
                <w:lang w:val="en-US" w:eastAsia="en-US"/>
              </w:rPr>
              <w:t> </w:t>
            </w:r>
          </w:p>
        </w:tc>
        <w:tc>
          <w:tcPr>
            <w:tcW w:w="845" w:type="dxa"/>
            <w:gridSpan w:val="8"/>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20"/>
                <w:szCs w:val="20"/>
                <w:lang w:val="en-US" w:eastAsia="en-US"/>
              </w:rPr>
              <w:t>4</w:t>
            </w:r>
          </w:p>
        </w:tc>
      </w:tr>
      <w:tr>
        <w:trPr>
          <w:trHeight w:val="120" w:hRule="atLeast"/>
        </w:trPr>
        <w:tc>
          <w:tcPr>
            <w:tcW w:w="72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lang w:val="en-US"/>
              </w:rPr>
            </w:pPr>
            <w:r>
              <w:rPr>
                <w:sz w:val="20"/>
                <w:szCs w:val="20"/>
                <w:lang w:val="en-US" w:eastAsia="en-US"/>
              </w:rPr>
              <w:t> </w:t>
            </w:r>
          </w:p>
        </w:tc>
        <w:tc>
          <w:tcPr>
            <w:tcW w:w="1872"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0"/>
              <w:jc w:val="left"/>
              <w:textAlignment w:val="auto"/>
              <w:rPr>
                <w:lang w:val="en-US"/>
              </w:rPr>
            </w:pPr>
            <w:r>
              <w:rPr>
                <w:sz w:val="20"/>
                <w:szCs w:val="20"/>
                <w:lang w:val="en-US" w:eastAsia="en-US"/>
              </w:rPr>
              <w:t>Femei</w:t>
            </w:r>
          </w:p>
        </w:tc>
        <w:tc>
          <w:tcPr>
            <w:tcW w:w="719" w:type="dxa"/>
            <w:gridSpan w:val="2"/>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lang w:val="en-US"/>
              </w:rPr>
            </w:pPr>
            <w:r>
              <w:rPr>
                <w:sz w:val="20"/>
                <w:szCs w:val="20"/>
                <w:lang w:val="en-US" w:eastAsia="en-US"/>
              </w:rPr>
              <w:t> </w:t>
            </w:r>
            <w:r>
              <w:rPr>
                <w:sz w:val="20"/>
                <w:szCs w:val="20"/>
                <w:lang w:val="en-US" w:eastAsia="en-US"/>
              </w:rPr>
              <w:t>0</w:t>
            </w:r>
          </w:p>
        </w:tc>
        <w:tc>
          <w:tcPr>
            <w:tcW w:w="576" w:type="dxa"/>
            <w:gridSpan w:val="4"/>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0</w:t>
            </w:r>
          </w:p>
        </w:tc>
        <w:tc>
          <w:tcPr>
            <w:tcW w:w="576"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1"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1"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3" w:type="dxa"/>
            <w:gridSpan w:val="5"/>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7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76"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1" w:type="dxa"/>
            <w:gridSpan w:val="9"/>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20"/>
                <w:szCs w:val="20"/>
                <w:lang w:val="en-US" w:eastAsia="en-US"/>
              </w:rPr>
              <w:t> </w:t>
            </w:r>
          </w:p>
        </w:tc>
        <w:tc>
          <w:tcPr>
            <w:tcW w:w="845" w:type="dxa"/>
            <w:gridSpan w:val="8"/>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20"/>
                <w:szCs w:val="20"/>
                <w:lang w:val="en-US" w:eastAsia="en-US"/>
              </w:rPr>
              <w:t>0</w:t>
            </w:r>
          </w:p>
        </w:tc>
      </w:tr>
      <w:tr>
        <w:trPr>
          <w:trHeight w:val="152" w:hRule="atLeast"/>
        </w:trPr>
        <w:tc>
          <w:tcPr>
            <w:tcW w:w="2594"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Doctori în ştiinţe</w:t>
            </w:r>
          </w:p>
        </w:tc>
        <w:tc>
          <w:tcPr>
            <w:tcW w:w="719" w:type="dxa"/>
            <w:gridSpan w:val="2"/>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lang w:val="en-US"/>
              </w:rPr>
            </w:pPr>
            <w:r>
              <w:rPr>
                <w:sz w:val="20"/>
                <w:szCs w:val="20"/>
                <w:lang w:val="en-US" w:eastAsia="en-US"/>
              </w:rPr>
              <w:t>3,5</w:t>
            </w:r>
          </w:p>
        </w:tc>
        <w:tc>
          <w:tcPr>
            <w:tcW w:w="576" w:type="dxa"/>
            <w:gridSpan w:val="4"/>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3</w:t>
            </w:r>
          </w:p>
        </w:tc>
        <w:tc>
          <w:tcPr>
            <w:tcW w:w="576"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 </w:t>
            </w:r>
          </w:p>
        </w:tc>
        <w:tc>
          <w:tcPr>
            <w:tcW w:w="72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 </w:t>
            </w:r>
          </w:p>
        </w:tc>
        <w:tc>
          <w:tcPr>
            <w:tcW w:w="721"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1 </w:t>
            </w:r>
          </w:p>
        </w:tc>
        <w:tc>
          <w:tcPr>
            <w:tcW w:w="721"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 </w:t>
            </w:r>
          </w:p>
        </w:tc>
        <w:tc>
          <w:tcPr>
            <w:tcW w:w="72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1</w:t>
            </w:r>
          </w:p>
        </w:tc>
        <w:tc>
          <w:tcPr>
            <w:tcW w:w="723" w:type="dxa"/>
            <w:gridSpan w:val="5"/>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1</w:t>
            </w:r>
          </w:p>
        </w:tc>
        <w:tc>
          <w:tcPr>
            <w:tcW w:w="57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 </w:t>
            </w:r>
          </w:p>
        </w:tc>
        <w:tc>
          <w:tcPr>
            <w:tcW w:w="576"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 </w:t>
            </w:r>
            <w:r>
              <w:rPr>
                <w:sz w:val="20"/>
                <w:szCs w:val="20"/>
                <w:lang w:val="en-US" w:eastAsia="en-US"/>
              </w:rPr>
              <w:t>3</w:t>
            </w:r>
          </w:p>
        </w:tc>
        <w:tc>
          <w:tcPr>
            <w:tcW w:w="721" w:type="dxa"/>
            <w:gridSpan w:val="9"/>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lang w:val="en-US" w:eastAsia="en-US"/>
              </w:rPr>
              <w:t> </w:t>
            </w:r>
          </w:p>
        </w:tc>
        <w:tc>
          <w:tcPr>
            <w:tcW w:w="845" w:type="dxa"/>
            <w:gridSpan w:val="8"/>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20"/>
                <w:szCs w:val="20"/>
                <w:lang w:val="en-US" w:eastAsia="en-US"/>
              </w:rPr>
              <w:t>6</w:t>
            </w:r>
          </w:p>
        </w:tc>
      </w:tr>
      <w:tr>
        <w:trPr>
          <w:trHeight w:val="184" w:hRule="atLeast"/>
        </w:trPr>
        <w:tc>
          <w:tcPr>
            <w:tcW w:w="72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lang w:val="en-US"/>
              </w:rPr>
            </w:pPr>
            <w:r>
              <w:rPr>
                <w:sz w:val="20"/>
                <w:szCs w:val="20"/>
                <w:lang w:val="en-US" w:eastAsia="en-US"/>
              </w:rPr>
              <w:t> </w:t>
            </w:r>
          </w:p>
        </w:tc>
        <w:tc>
          <w:tcPr>
            <w:tcW w:w="1872"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0"/>
              <w:jc w:val="left"/>
              <w:textAlignment w:val="auto"/>
              <w:rPr>
                <w:lang w:val="en-US"/>
              </w:rPr>
            </w:pPr>
            <w:r>
              <w:rPr>
                <w:sz w:val="20"/>
                <w:szCs w:val="20"/>
                <w:lang w:val="en-US" w:eastAsia="en-US"/>
              </w:rPr>
              <w:t>Femei</w:t>
            </w:r>
          </w:p>
        </w:tc>
        <w:tc>
          <w:tcPr>
            <w:tcW w:w="719" w:type="dxa"/>
            <w:gridSpan w:val="2"/>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lang w:val="en-US"/>
              </w:rPr>
            </w:pPr>
            <w:r>
              <w:rPr>
                <w:sz w:val="20"/>
                <w:szCs w:val="20"/>
                <w:lang w:val="en-US" w:eastAsia="en-US"/>
              </w:rPr>
              <w:t> </w:t>
            </w:r>
          </w:p>
        </w:tc>
        <w:tc>
          <w:tcPr>
            <w:tcW w:w="576" w:type="dxa"/>
            <w:gridSpan w:val="4"/>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0</w:t>
            </w:r>
          </w:p>
        </w:tc>
        <w:tc>
          <w:tcPr>
            <w:tcW w:w="576"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1"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1"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3" w:type="dxa"/>
            <w:gridSpan w:val="5"/>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7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76"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1" w:type="dxa"/>
            <w:gridSpan w:val="9"/>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20"/>
                <w:szCs w:val="20"/>
                <w:lang w:val="en-US" w:eastAsia="en-US"/>
              </w:rPr>
              <w:t> </w:t>
            </w:r>
          </w:p>
        </w:tc>
        <w:tc>
          <w:tcPr>
            <w:tcW w:w="845" w:type="dxa"/>
            <w:gridSpan w:val="8"/>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20"/>
                <w:szCs w:val="20"/>
                <w:lang w:val="en-US" w:eastAsia="en-US"/>
              </w:rPr>
              <w:t>1</w:t>
            </w:r>
          </w:p>
        </w:tc>
      </w:tr>
      <w:tr>
        <w:trPr>
          <w:trHeight w:val="216" w:hRule="atLeast"/>
        </w:trPr>
        <w:tc>
          <w:tcPr>
            <w:tcW w:w="2594"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sz w:val="20"/>
                <w:szCs w:val="20"/>
                <w:lang w:val="en-US" w:eastAsia="en-US"/>
              </w:rPr>
              <w:t xml:space="preserve">Postdoctoranzi </w:t>
            </w:r>
          </w:p>
        </w:tc>
        <w:tc>
          <w:tcPr>
            <w:tcW w:w="719" w:type="dxa"/>
            <w:gridSpan w:val="2"/>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lang w:val="en-US"/>
              </w:rPr>
            </w:pPr>
            <w:r>
              <w:rPr>
                <w:sz w:val="20"/>
                <w:szCs w:val="20"/>
                <w:lang w:val="en-US" w:eastAsia="en-US"/>
              </w:rPr>
              <w:t> </w:t>
            </w:r>
          </w:p>
        </w:tc>
        <w:tc>
          <w:tcPr>
            <w:tcW w:w="576" w:type="dxa"/>
            <w:gridSpan w:val="4"/>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0</w:t>
            </w:r>
          </w:p>
        </w:tc>
        <w:tc>
          <w:tcPr>
            <w:tcW w:w="576"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1"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1"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3" w:type="dxa"/>
            <w:gridSpan w:val="5"/>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7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76"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1" w:type="dxa"/>
            <w:gridSpan w:val="9"/>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20"/>
                <w:szCs w:val="20"/>
                <w:lang w:val="en-US" w:eastAsia="en-US"/>
              </w:rPr>
              <w:t> </w:t>
            </w:r>
          </w:p>
        </w:tc>
        <w:tc>
          <w:tcPr>
            <w:tcW w:w="845" w:type="dxa"/>
            <w:gridSpan w:val="8"/>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20"/>
                <w:szCs w:val="20"/>
                <w:lang w:val="en-US" w:eastAsia="en-US"/>
              </w:rPr>
              <w:t>0</w:t>
            </w:r>
          </w:p>
        </w:tc>
      </w:tr>
      <w:tr>
        <w:trPr>
          <w:trHeight w:val="106" w:hRule="atLeast"/>
        </w:trPr>
        <w:tc>
          <w:tcPr>
            <w:tcW w:w="72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lang w:val="en-US"/>
              </w:rPr>
            </w:pPr>
            <w:r>
              <w:rPr>
                <w:sz w:val="20"/>
                <w:szCs w:val="20"/>
                <w:lang w:val="en-US" w:eastAsia="en-US"/>
              </w:rPr>
              <w:t> </w:t>
            </w:r>
          </w:p>
        </w:tc>
        <w:tc>
          <w:tcPr>
            <w:tcW w:w="1872"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0"/>
              <w:jc w:val="left"/>
              <w:textAlignment w:val="auto"/>
              <w:rPr>
                <w:lang w:val="en-US"/>
              </w:rPr>
            </w:pPr>
            <w:r>
              <w:rPr>
                <w:sz w:val="20"/>
                <w:szCs w:val="20"/>
                <w:lang w:val="en-US" w:eastAsia="en-US"/>
              </w:rPr>
              <w:t>Femei</w:t>
            </w:r>
          </w:p>
        </w:tc>
        <w:tc>
          <w:tcPr>
            <w:tcW w:w="719" w:type="dxa"/>
            <w:gridSpan w:val="2"/>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lang w:val="en-US"/>
              </w:rPr>
            </w:pPr>
            <w:r>
              <w:rPr>
                <w:sz w:val="20"/>
                <w:szCs w:val="20"/>
                <w:lang w:val="en-US" w:eastAsia="en-US"/>
              </w:rPr>
              <w:t> </w:t>
            </w:r>
          </w:p>
        </w:tc>
        <w:tc>
          <w:tcPr>
            <w:tcW w:w="576" w:type="dxa"/>
            <w:gridSpan w:val="4"/>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0</w:t>
            </w:r>
          </w:p>
        </w:tc>
        <w:tc>
          <w:tcPr>
            <w:tcW w:w="576"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1"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1"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3" w:type="dxa"/>
            <w:gridSpan w:val="5"/>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7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76"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1" w:type="dxa"/>
            <w:gridSpan w:val="9"/>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20"/>
                <w:szCs w:val="20"/>
                <w:lang w:val="en-US" w:eastAsia="en-US"/>
              </w:rPr>
              <w:t> </w:t>
            </w:r>
          </w:p>
        </w:tc>
        <w:tc>
          <w:tcPr>
            <w:tcW w:w="845" w:type="dxa"/>
            <w:gridSpan w:val="8"/>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20"/>
                <w:szCs w:val="20"/>
                <w:lang w:val="en-US" w:eastAsia="en-US"/>
              </w:rPr>
              <w:t>0</w:t>
            </w:r>
          </w:p>
        </w:tc>
      </w:tr>
      <w:tr>
        <w:trPr>
          <w:trHeight w:val="137" w:hRule="atLeast"/>
        </w:trPr>
        <w:tc>
          <w:tcPr>
            <w:tcW w:w="2594"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sz w:val="20"/>
                <w:szCs w:val="20"/>
                <w:lang w:val="en-US" w:eastAsia="en-US"/>
              </w:rPr>
              <w:t xml:space="preserve">Doctoranzi </w:t>
            </w:r>
          </w:p>
        </w:tc>
        <w:tc>
          <w:tcPr>
            <w:tcW w:w="719" w:type="dxa"/>
            <w:gridSpan w:val="2"/>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lang w:val="en-US"/>
              </w:rPr>
            </w:pPr>
            <w:r>
              <w:rPr>
                <w:sz w:val="20"/>
                <w:szCs w:val="20"/>
                <w:lang w:val="en-US" w:eastAsia="en-US"/>
              </w:rPr>
              <w:t> </w:t>
            </w:r>
          </w:p>
        </w:tc>
        <w:tc>
          <w:tcPr>
            <w:tcW w:w="576" w:type="dxa"/>
            <w:gridSpan w:val="4"/>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0</w:t>
            </w:r>
          </w:p>
        </w:tc>
        <w:tc>
          <w:tcPr>
            <w:tcW w:w="576"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 </w:t>
            </w:r>
          </w:p>
        </w:tc>
        <w:tc>
          <w:tcPr>
            <w:tcW w:w="72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c>
          <w:tcPr>
            <w:tcW w:w="721"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c>
          <w:tcPr>
            <w:tcW w:w="721"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c>
          <w:tcPr>
            <w:tcW w:w="72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c>
          <w:tcPr>
            <w:tcW w:w="723" w:type="dxa"/>
            <w:gridSpan w:val="5"/>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c>
          <w:tcPr>
            <w:tcW w:w="57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c>
          <w:tcPr>
            <w:tcW w:w="576"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c>
          <w:tcPr>
            <w:tcW w:w="721" w:type="dxa"/>
            <w:gridSpan w:val="9"/>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c>
          <w:tcPr>
            <w:tcW w:w="845" w:type="dxa"/>
            <w:gridSpan w:val="8"/>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r>
      <w:tr>
        <w:trPr>
          <w:trHeight w:val="184" w:hRule="atLeast"/>
        </w:trPr>
        <w:tc>
          <w:tcPr>
            <w:tcW w:w="72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lang w:val="en-US"/>
              </w:rPr>
            </w:pPr>
            <w:r>
              <w:rPr>
                <w:sz w:val="20"/>
                <w:szCs w:val="20"/>
                <w:lang w:val="en-US" w:eastAsia="en-US"/>
              </w:rPr>
              <w:t> </w:t>
            </w:r>
          </w:p>
        </w:tc>
        <w:tc>
          <w:tcPr>
            <w:tcW w:w="1872"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0"/>
              <w:jc w:val="left"/>
              <w:textAlignment w:val="auto"/>
              <w:rPr>
                <w:lang w:val="en-US"/>
              </w:rPr>
            </w:pPr>
            <w:r>
              <w:rPr>
                <w:sz w:val="20"/>
                <w:szCs w:val="20"/>
                <w:lang w:val="en-US" w:eastAsia="en-US"/>
              </w:rPr>
              <w:t>Femei</w:t>
            </w:r>
          </w:p>
        </w:tc>
        <w:tc>
          <w:tcPr>
            <w:tcW w:w="719" w:type="dxa"/>
            <w:gridSpan w:val="2"/>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lang w:val="en-US"/>
              </w:rPr>
            </w:pPr>
            <w:r>
              <w:rPr>
                <w:sz w:val="20"/>
                <w:szCs w:val="20"/>
                <w:lang w:val="en-US" w:eastAsia="en-US"/>
              </w:rPr>
              <w:t> </w:t>
            </w:r>
          </w:p>
        </w:tc>
        <w:tc>
          <w:tcPr>
            <w:tcW w:w="576" w:type="dxa"/>
            <w:gridSpan w:val="4"/>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0</w:t>
            </w:r>
          </w:p>
        </w:tc>
        <w:tc>
          <w:tcPr>
            <w:tcW w:w="576"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 </w:t>
            </w:r>
          </w:p>
        </w:tc>
        <w:tc>
          <w:tcPr>
            <w:tcW w:w="72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c>
          <w:tcPr>
            <w:tcW w:w="721"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c>
          <w:tcPr>
            <w:tcW w:w="721"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c>
          <w:tcPr>
            <w:tcW w:w="72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c>
          <w:tcPr>
            <w:tcW w:w="723" w:type="dxa"/>
            <w:gridSpan w:val="5"/>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c>
          <w:tcPr>
            <w:tcW w:w="57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c>
          <w:tcPr>
            <w:tcW w:w="576"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c>
          <w:tcPr>
            <w:tcW w:w="721" w:type="dxa"/>
            <w:gridSpan w:val="9"/>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c>
          <w:tcPr>
            <w:tcW w:w="845" w:type="dxa"/>
            <w:gridSpan w:val="8"/>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r>
      <w:tr>
        <w:trPr>
          <w:trHeight w:val="216" w:hRule="atLeast"/>
        </w:trPr>
        <w:tc>
          <w:tcPr>
            <w:tcW w:w="2594"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sz w:val="20"/>
                <w:szCs w:val="20"/>
                <w:lang w:val="en-US" w:eastAsia="en-US"/>
              </w:rPr>
              <w:t xml:space="preserve">Masteranzi </w:t>
            </w:r>
          </w:p>
        </w:tc>
        <w:tc>
          <w:tcPr>
            <w:tcW w:w="719" w:type="dxa"/>
            <w:gridSpan w:val="2"/>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lang w:val="en-US"/>
              </w:rPr>
            </w:pPr>
            <w:r>
              <w:rPr>
                <w:sz w:val="20"/>
                <w:szCs w:val="20"/>
                <w:lang w:val="en-US" w:eastAsia="en-US"/>
              </w:rPr>
              <w:t> </w:t>
            </w:r>
          </w:p>
        </w:tc>
        <w:tc>
          <w:tcPr>
            <w:tcW w:w="576" w:type="dxa"/>
            <w:gridSpan w:val="4"/>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0</w:t>
            </w:r>
          </w:p>
        </w:tc>
        <w:tc>
          <w:tcPr>
            <w:tcW w:w="576"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1"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1"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3" w:type="dxa"/>
            <w:gridSpan w:val="5"/>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7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76"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1" w:type="dxa"/>
            <w:gridSpan w:val="9"/>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20"/>
                <w:szCs w:val="20"/>
                <w:lang w:val="en-US" w:eastAsia="en-US"/>
              </w:rPr>
              <w:t> </w:t>
            </w:r>
          </w:p>
        </w:tc>
        <w:tc>
          <w:tcPr>
            <w:tcW w:w="845" w:type="dxa"/>
            <w:gridSpan w:val="8"/>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20"/>
                <w:szCs w:val="20"/>
                <w:lang w:val="en-US" w:eastAsia="en-US"/>
              </w:rPr>
              <w:t>0</w:t>
            </w:r>
          </w:p>
        </w:tc>
      </w:tr>
      <w:tr>
        <w:trPr>
          <w:trHeight w:val="91" w:hRule="atLeast"/>
        </w:trPr>
        <w:tc>
          <w:tcPr>
            <w:tcW w:w="72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lang w:val="en-US"/>
              </w:rPr>
            </w:pPr>
            <w:r>
              <w:rPr>
                <w:sz w:val="20"/>
                <w:szCs w:val="20"/>
                <w:lang w:val="en-US" w:eastAsia="en-US"/>
              </w:rPr>
              <w:t> </w:t>
            </w:r>
          </w:p>
        </w:tc>
        <w:tc>
          <w:tcPr>
            <w:tcW w:w="1872"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0"/>
              <w:jc w:val="left"/>
              <w:textAlignment w:val="auto"/>
              <w:rPr>
                <w:lang w:val="en-US"/>
              </w:rPr>
            </w:pPr>
            <w:r>
              <w:rPr>
                <w:sz w:val="20"/>
                <w:szCs w:val="20"/>
                <w:lang w:val="en-US" w:eastAsia="en-US"/>
              </w:rPr>
              <w:t>Femei</w:t>
            </w:r>
          </w:p>
        </w:tc>
        <w:tc>
          <w:tcPr>
            <w:tcW w:w="719" w:type="dxa"/>
            <w:gridSpan w:val="2"/>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lang w:val="en-US"/>
              </w:rPr>
            </w:pPr>
            <w:r>
              <w:rPr>
                <w:sz w:val="20"/>
                <w:szCs w:val="20"/>
                <w:lang w:val="en-US" w:eastAsia="en-US"/>
              </w:rPr>
              <w:t> </w:t>
            </w:r>
          </w:p>
        </w:tc>
        <w:tc>
          <w:tcPr>
            <w:tcW w:w="576" w:type="dxa"/>
            <w:gridSpan w:val="4"/>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0</w:t>
            </w:r>
          </w:p>
        </w:tc>
        <w:tc>
          <w:tcPr>
            <w:tcW w:w="576"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1"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1"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3" w:type="dxa"/>
            <w:gridSpan w:val="5"/>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7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76"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1" w:type="dxa"/>
            <w:gridSpan w:val="9"/>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20"/>
                <w:szCs w:val="20"/>
                <w:lang w:val="en-US" w:eastAsia="en-US"/>
              </w:rPr>
              <w:t> </w:t>
            </w:r>
          </w:p>
        </w:tc>
        <w:tc>
          <w:tcPr>
            <w:tcW w:w="845" w:type="dxa"/>
            <w:gridSpan w:val="8"/>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20"/>
                <w:szCs w:val="20"/>
                <w:lang w:val="en-US" w:eastAsia="en-US"/>
              </w:rPr>
              <w:t>0</w:t>
            </w:r>
          </w:p>
        </w:tc>
      </w:tr>
      <w:tr>
        <w:trPr>
          <w:trHeight w:val="138" w:hRule="atLeast"/>
        </w:trPr>
        <w:tc>
          <w:tcPr>
            <w:tcW w:w="2594"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sz w:val="20"/>
                <w:szCs w:val="20"/>
                <w:lang w:val="en-US" w:eastAsia="en-US"/>
              </w:rPr>
              <w:t>I</w:t>
            </w:r>
            <w:r>
              <w:rPr>
                <w:rFonts w:cs="Times New Roman CE" w:ascii="Times New Roman CE" w:hAnsi="Times New Roman CE"/>
                <w:sz w:val="20"/>
                <w:szCs w:val="20"/>
                <w:lang w:val="en-US" w:eastAsia="en-US"/>
              </w:rPr>
              <w:t xml:space="preserve">ngineri şi specialişti cu </w:t>
            </w:r>
            <w:r>
              <w:rPr>
                <w:color w:val="000000"/>
                <w:sz w:val="20"/>
                <w:szCs w:val="20"/>
                <w:lang w:val="en-US" w:eastAsia="en-US"/>
              </w:rPr>
              <w:t>studii superioare</w:t>
            </w:r>
            <w:r>
              <w:rPr>
                <w:sz w:val="20"/>
                <w:szCs w:val="20"/>
                <w:lang w:val="en-US" w:eastAsia="en-US"/>
              </w:rPr>
              <w:t xml:space="preserve"> </w:t>
            </w:r>
          </w:p>
        </w:tc>
        <w:tc>
          <w:tcPr>
            <w:tcW w:w="719" w:type="dxa"/>
            <w:gridSpan w:val="2"/>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firstLine="200"/>
              <w:jc w:val="center"/>
              <w:textAlignment w:val="auto"/>
              <w:rPr>
                <w:lang w:val="en-US"/>
              </w:rPr>
            </w:pPr>
            <w:r>
              <w:rPr>
                <w:sz w:val="20"/>
                <w:szCs w:val="20"/>
                <w:lang w:val="en-US" w:eastAsia="en-US"/>
              </w:rPr>
              <w:t>1</w:t>
            </w:r>
          </w:p>
        </w:tc>
        <w:tc>
          <w:tcPr>
            <w:tcW w:w="576" w:type="dxa"/>
            <w:gridSpan w:val="4"/>
            <w:tcBorders>
              <w:bottom w:val="single" w:sz="8" w:space="0" w:color="000001"/>
              <w:right w:val="single" w:sz="8" w:space="0" w:color="000001"/>
              <w:insideH w:val="single" w:sz="8" w:space="0" w:color="000001"/>
              <w:insideV w:val="single" w:sz="8" w:space="0" w:color="000001"/>
            </w:tcBorders>
            <w:shd w:color="auto" w:fill="CCFFCC"/>
            <w:vAlign w:val="center"/>
          </w:tcPr>
          <w:p>
            <w:pPr>
              <w:pStyle w:val="Normal"/>
              <w:widowControl/>
              <w:bidi w:val="0"/>
              <w:ind w:left="0" w:right="0" w:hanging="0"/>
              <w:jc w:val="center"/>
              <w:textAlignment w:val="auto"/>
              <w:rPr>
                <w:lang w:val="en-US"/>
              </w:rPr>
            </w:pPr>
            <w:r>
              <w:rPr>
                <w:sz w:val="20"/>
                <w:szCs w:val="20"/>
                <w:lang w:val="en-US" w:eastAsia="en-US"/>
              </w:rPr>
              <w:t>0</w:t>
            </w:r>
          </w:p>
        </w:tc>
        <w:tc>
          <w:tcPr>
            <w:tcW w:w="576" w:type="dxa"/>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c>
          <w:tcPr>
            <w:tcW w:w="720" w:type="dxa"/>
            <w:gridSpan w:val="3"/>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2</w:t>
            </w:r>
          </w:p>
        </w:tc>
        <w:tc>
          <w:tcPr>
            <w:tcW w:w="721" w:type="dxa"/>
            <w:gridSpan w:val="4"/>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c>
          <w:tcPr>
            <w:tcW w:w="721" w:type="dxa"/>
            <w:gridSpan w:val="4"/>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c>
          <w:tcPr>
            <w:tcW w:w="720" w:type="dxa"/>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c>
          <w:tcPr>
            <w:tcW w:w="723" w:type="dxa"/>
            <w:gridSpan w:val="5"/>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c>
          <w:tcPr>
            <w:tcW w:w="577" w:type="dxa"/>
            <w:gridSpan w:val="3"/>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c>
          <w:tcPr>
            <w:tcW w:w="576" w:type="dxa"/>
            <w:gridSpan w:val="3"/>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c>
          <w:tcPr>
            <w:tcW w:w="721" w:type="dxa"/>
            <w:gridSpan w:val="9"/>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c>
          <w:tcPr>
            <w:tcW w:w="845" w:type="dxa"/>
            <w:gridSpan w:val="8"/>
            <w:tcBorders>
              <w:bottom w:val="single" w:sz="8" w:space="0" w:color="000001"/>
              <w:right w:val="single" w:sz="8" w:space="0" w:color="000001"/>
              <w:insideH w:val="single" w:sz="8" w:space="0" w:color="000001"/>
              <w:insideV w:val="single" w:sz="8" w:space="0" w:color="000001"/>
            </w:tcBorders>
            <w:shd w:color="auto" w:fill="CCFFCC"/>
            <w:vAlign w:val="center"/>
          </w:tcPr>
          <w:p>
            <w:pPr>
              <w:pStyle w:val="Normal"/>
              <w:widowControl/>
              <w:bidi w:val="0"/>
              <w:ind w:left="0" w:right="0" w:hanging="0"/>
              <w:jc w:val="center"/>
              <w:textAlignment w:val="auto"/>
              <w:rPr>
                <w:lang w:val="en-US"/>
              </w:rPr>
            </w:pPr>
            <w:r>
              <w:rPr>
                <w:sz w:val="20"/>
                <w:szCs w:val="20"/>
                <w:lang w:val="en-US" w:eastAsia="en-US"/>
              </w:rPr>
              <w:t>2</w:t>
            </w:r>
          </w:p>
        </w:tc>
      </w:tr>
      <w:tr>
        <w:trPr>
          <w:trHeight w:val="230" w:hRule="atLeast"/>
        </w:trPr>
        <w:tc>
          <w:tcPr>
            <w:tcW w:w="72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lang w:val="en-US"/>
              </w:rPr>
            </w:pPr>
            <w:r>
              <w:rPr>
                <w:sz w:val="20"/>
                <w:szCs w:val="20"/>
                <w:lang w:val="en-US" w:eastAsia="en-US"/>
              </w:rPr>
              <w:t> </w:t>
            </w:r>
          </w:p>
        </w:tc>
        <w:tc>
          <w:tcPr>
            <w:tcW w:w="1872"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0"/>
              <w:jc w:val="left"/>
              <w:textAlignment w:val="auto"/>
              <w:rPr>
                <w:lang w:val="en-US"/>
              </w:rPr>
            </w:pPr>
            <w:r>
              <w:rPr>
                <w:sz w:val="20"/>
                <w:szCs w:val="20"/>
                <w:lang w:val="en-US" w:eastAsia="en-US"/>
              </w:rPr>
              <w:t>Femei</w:t>
            </w:r>
          </w:p>
        </w:tc>
        <w:tc>
          <w:tcPr>
            <w:tcW w:w="719" w:type="dxa"/>
            <w:gridSpan w:val="2"/>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lang w:val="en-US"/>
              </w:rPr>
            </w:pPr>
            <w:r>
              <w:rPr>
                <w:sz w:val="20"/>
                <w:szCs w:val="20"/>
                <w:lang w:val="en-US" w:eastAsia="en-US"/>
              </w:rPr>
              <w:t>0,5</w:t>
            </w:r>
          </w:p>
        </w:tc>
        <w:tc>
          <w:tcPr>
            <w:tcW w:w="576" w:type="dxa"/>
            <w:gridSpan w:val="4"/>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0</w:t>
            </w:r>
          </w:p>
        </w:tc>
        <w:tc>
          <w:tcPr>
            <w:tcW w:w="576"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 </w:t>
            </w:r>
          </w:p>
        </w:tc>
        <w:tc>
          <w:tcPr>
            <w:tcW w:w="72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c>
          <w:tcPr>
            <w:tcW w:w="721"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 </w:t>
            </w:r>
          </w:p>
        </w:tc>
        <w:tc>
          <w:tcPr>
            <w:tcW w:w="721"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 </w:t>
            </w:r>
          </w:p>
        </w:tc>
        <w:tc>
          <w:tcPr>
            <w:tcW w:w="72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 </w:t>
            </w:r>
          </w:p>
        </w:tc>
        <w:tc>
          <w:tcPr>
            <w:tcW w:w="723" w:type="dxa"/>
            <w:gridSpan w:val="5"/>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 </w:t>
            </w:r>
          </w:p>
        </w:tc>
        <w:tc>
          <w:tcPr>
            <w:tcW w:w="57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 </w:t>
            </w:r>
          </w:p>
        </w:tc>
        <w:tc>
          <w:tcPr>
            <w:tcW w:w="576"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 </w:t>
            </w:r>
          </w:p>
        </w:tc>
        <w:tc>
          <w:tcPr>
            <w:tcW w:w="721" w:type="dxa"/>
            <w:gridSpan w:val="9"/>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lang w:val="en-US" w:eastAsia="en-US"/>
              </w:rPr>
              <w:t> </w:t>
            </w:r>
            <w:r>
              <w:rPr>
                <w:sz w:val="20"/>
                <w:szCs w:val="20"/>
                <w:lang w:val="en-US" w:eastAsia="en-US"/>
              </w:rPr>
              <w:t>1</w:t>
            </w:r>
          </w:p>
        </w:tc>
        <w:tc>
          <w:tcPr>
            <w:tcW w:w="845" w:type="dxa"/>
            <w:gridSpan w:val="8"/>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20"/>
                <w:szCs w:val="20"/>
                <w:lang w:val="en-US" w:eastAsia="en-US"/>
              </w:rPr>
              <w:t>1</w:t>
            </w:r>
          </w:p>
        </w:tc>
      </w:tr>
      <w:tr>
        <w:trPr>
          <w:trHeight w:val="106" w:hRule="atLeast"/>
        </w:trPr>
        <w:tc>
          <w:tcPr>
            <w:tcW w:w="2594"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Tehnicieni, laboranţi </w:t>
            </w:r>
          </w:p>
        </w:tc>
        <w:tc>
          <w:tcPr>
            <w:tcW w:w="719"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0"/>
              <w:jc w:val="left"/>
              <w:textAlignment w:val="auto"/>
              <w:rPr>
                <w:lang w:val="en-US"/>
              </w:rPr>
            </w:pPr>
            <w:r>
              <w:rPr>
                <w:sz w:val="20"/>
                <w:szCs w:val="20"/>
                <w:lang w:val="en-US" w:eastAsia="en-US"/>
              </w:rPr>
              <w:t> </w:t>
            </w:r>
          </w:p>
        </w:tc>
        <w:tc>
          <w:tcPr>
            <w:tcW w:w="576" w:type="dxa"/>
            <w:gridSpan w:val="4"/>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0</w:t>
            </w:r>
          </w:p>
        </w:tc>
        <w:tc>
          <w:tcPr>
            <w:tcW w:w="576"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1"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1"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3" w:type="dxa"/>
            <w:gridSpan w:val="5"/>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7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76"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1" w:type="dxa"/>
            <w:gridSpan w:val="9"/>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20"/>
                <w:szCs w:val="20"/>
                <w:lang w:val="en-US" w:eastAsia="en-US"/>
              </w:rPr>
              <w:t> </w:t>
            </w:r>
          </w:p>
        </w:tc>
        <w:tc>
          <w:tcPr>
            <w:tcW w:w="845" w:type="dxa"/>
            <w:gridSpan w:val="8"/>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20"/>
                <w:szCs w:val="20"/>
                <w:lang w:val="en-US" w:eastAsia="en-US"/>
              </w:rPr>
              <w:t>2</w:t>
            </w:r>
          </w:p>
        </w:tc>
      </w:tr>
      <w:tr>
        <w:trPr>
          <w:trHeight w:val="138" w:hRule="atLeast"/>
        </w:trPr>
        <w:tc>
          <w:tcPr>
            <w:tcW w:w="72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lang w:val="en-US"/>
              </w:rPr>
            </w:pPr>
            <w:r>
              <w:rPr>
                <w:sz w:val="20"/>
                <w:szCs w:val="20"/>
                <w:lang w:val="en-US" w:eastAsia="en-US"/>
              </w:rPr>
              <w:t> </w:t>
            </w:r>
          </w:p>
        </w:tc>
        <w:tc>
          <w:tcPr>
            <w:tcW w:w="1872"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0"/>
              <w:jc w:val="left"/>
              <w:textAlignment w:val="auto"/>
              <w:rPr>
                <w:lang w:val="en-US"/>
              </w:rPr>
            </w:pPr>
            <w:r>
              <w:rPr>
                <w:sz w:val="20"/>
                <w:szCs w:val="20"/>
                <w:lang w:val="en-US" w:eastAsia="en-US"/>
              </w:rPr>
              <w:t>Femei</w:t>
            </w:r>
          </w:p>
        </w:tc>
        <w:tc>
          <w:tcPr>
            <w:tcW w:w="719" w:type="dxa"/>
            <w:gridSpan w:val="2"/>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lang w:val="en-US"/>
              </w:rPr>
            </w:pPr>
            <w:r>
              <w:rPr>
                <w:sz w:val="20"/>
                <w:szCs w:val="20"/>
                <w:lang w:val="en-US" w:eastAsia="en-US"/>
              </w:rPr>
              <w:t> </w:t>
            </w:r>
          </w:p>
        </w:tc>
        <w:tc>
          <w:tcPr>
            <w:tcW w:w="576" w:type="dxa"/>
            <w:gridSpan w:val="4"/>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0</w:t>
            </w:r>
          </w:p>
        </w:tc>
        <w:tc>
          <w:tcPr>
            <w:tcW w:w="576"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1"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1"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3" w:type="dxa"/>
            <w:gridSpan w:val="5"/>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7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76"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1" w:type="dxa"/>
            <w:gridSpan w:val="9"/>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20"/>
                <w:szCs w:val="20"/>
                <w:lang w:val="en-US" w:eastAsia="en-US"/>
              </w:rPr>
              <w:t> </w:t>
            </w:r>
          </w:p>
        </w:tc>
        <w:tc>
          <w:tcPr>
            <w:tcW w:w="845" w:type="dxa"/>
            <w:gridSpan w:val="8"/>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20"/>
                <w:szCs w:val="20"/>
                <w:lang w:val="en-US" w:eastAsia="en-US"/>
              </w:rPr>
              <w:t>0</w:t>
            </w:r>
          </w:p>
        </w:tc>
      </w:tr>
      <w:tr>
        <w:trPr>
          <w:trHeight w:val="184" w:hRule="atLeast"/>
        </w:trPr>
        <w:tc>
          <w:tcPr>
            <w:tcW w:w="2594"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Alte categorii de salariaţi </w:t>
            </w:r>
          </w:p>
        </w:tc>
        <w:tc>
          <w:tcPr>
            <w:tcW w:w="719"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0"/>
              <w:jc w:val="left"/>
              <w:textAlignment w:val="auto"/>
              <w:rPr>
                <w:lang w:val="en-US"/>
              </w:rPr>
            </w:pPr>
            <w:r>
              <w:rPr>
                <w:sz w:val="20"/>
                <w:szCs w:val="20"/>
                <w:lang w:val="en-US" w:eastAsia="en-US"/>
              </w:rPr>
              <w:t> </w:t>
            </w:r>
          </w:p>
        </w:tc>
        <w:tc>
          <w:tcPr>
            <w:tcW w:w="576" w:type="dxa"/>
            <w:gridSpan w:val="4"/>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c>
          <w:tcPr>
            <w:tcW w:w="576"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1"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1"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c>
          <w:tcPr>
            <w:tcW w:w="723" w:type="dxa"/>
            <w:gridSpan w:val="5"/>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7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0 </w:t>
            </w:r>
          </w:p>
        </w:tc>
        <w:tc>
          <w:tcPr>
            <w:tcW w:w="576"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 </w:t>
            </w:r>
          </w:p>
        </w:tc>
        <w:tc>
          <w:tcPr>
            <w:tcW w:w="721" w:type="dxa"/>
            <w:gridSpan w:val="9"/>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lang w:val="en-US" w:eastAsia="en-US"/>
              </w:rPr>
              <w:t> </w:t>
            </w:r>
          </w:p>
        </w:tc>
        <w:tc>
          <w:tcPr>
            <w:tcW w:w="845" w:type="dxa"/>
            <w:gridSpan w:val="8"/>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20"/>
                <w:szCs w:val="20"/>
                <w:lang w:val="en-US" w:eastAsia="en-US"/>
              </w:rPr>
              <w:t>0</w:t>
            </w:r>
          </w:p>
        </w:tc>
      </w:tr>
      <w:tr>
        <w:trPr>
          <w:trHeight w:val="216" w:hRule="atLeast"/>
        </w:trPr>
        <w:tc>
          <w:tcPr>
            <w:tcW w:w="72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lang w:val="en-US"/>
              </w:rPr>
            </w:pPr>
            <w:r>
              <w:rPr>
                <w:sz w:val="20"/>
                <w:szCs w:val="20"/>
                <w:lang w:val="en-US" w:eastAsia="en-US"/>
              </w:rPr>
              <w:t> </w:t>
            </w:r>
          </w:p>
        </w:tc>
        <w:tc>
          <w:tcPr>
            <w:tcW w:w="1872"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0"/>
              <w:jc w:val="left"/>
              <w:textAlignment w:val="auto"/>
              <w:rPr>
                <w:lang w:val="en-US"/>
              </w:rPr>
            </w:pPr>
            <w:r>
              <w:rPr>
                <w:sz w:val="20"/>
                <w:szCs w:val="20"/>
                <w:lang w:val="en-US" w:eastAsia="en-US"/>
              </w:rPr>
              <w:t>Femei</w:t>
            </w:r>
          </w:p>
        </w:tc>
        <w:tc>
          <w:tcPr>
            <w:tcW w:w="719" w:type="dxa"/>
            <w:gridSpan w:val="2"/>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lang w:val="en-US"/>
              </w:rPr>
            </w:pPr>
            <w:r>
              <w:rPr>
                <w:sz w:val="20"/>
                <w:szCs w:val="20"/>
                <w:lang w:val="en-US" w:eastAsia="en-US"/>
              </w:rPr>
              <w:t> </w:t>
            </w:r>
          </w:p>
        </w:tc>
        <w:tc>
          <w:tcPr>
            <w:tcW w:w="576" w:type="dxa"/>
            <w:gridSpan w:val="4"/>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c>
          <w:tcPr>
            <w:tcW w:w="576"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1"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1"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3" w:type="dxa"/>
            <w:gridSpan w:val="5"/>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7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76"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1" w:type="dxa"/>
            <w:gridSpan w:val="9"/>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20"/>
                <w:szCs w:val="20"/>
                <w:lang w:val="en-US" w:eastAsia="en-US"/>
              </w:rPr>
              <w:t> </w:t>
            </w:r>
          </w:p>
        </w:tc>
        <w:tc>
          <w:tcPr>
            <w:tcW w:w="845" w:type="dxa"/>
            <w:gridSpan w:val="8"/>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r>
      <w:tr>
        <w:trPr>
          <w:trHeight w:val="232" w:hRule="atLeast"/>
        </w:trPr>
        <w:tc>
          <w:tcPr>
            <w:tcW w:w="2594"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1"/>
              <w:jc w:val="left"/>
              <w:textAlignment w:val="auto"/>
              <w:rPr>
                <w:lang w:val="en-US"/>
              </w:rPr>
            </w:pPr>
            <w:r>
              <w:rPr>
                <w:b/>
                <w:bCs/>
                <w:sz w:val="20"/>
                <w:szCs w:val="20"/>
                <w:lang w:val="en-US" w:eastAsia="en-US"/>
              </w:rPr>
              <w:t>Total</w:t>
            </w:r>
          </w:p>
        </w:tc>
        <w:tc>
          <w:tcPr>
            <w:tcW w:w="71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00"/>
              <w:jc w:val="center"/>
              <w:textAlignment w:val="auto"/>
              <w:rPr>
                <w:lang w:val="en-US"/>
              </w:rPr>
            </w:pPr>
            <w:r>
              <w:rPr>
                <w:bCs/>
                <w:sz w:val="20"/>
                <w:szCs w:val="20"/>
                <w:lang w:val="en-US" w:eastAsia="en-US"/>
              </w:rPr>
              <w:t>8,5</w:t>
            </w:r>
          </w:p>
        </w:tc>
        <w:tc>
          <w:tcPr>
            <w:tcW w:w="576" w:type="dxa"/>
            <w:gridSpan w:val="4"/>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7</w:t>
            </w:r>
          </w:p>
        </w:tc>
        <w:tc>
          <w:tcPr>
            <w:tcW w:w="576" w:type="dxa"/>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20"/>
                <w:szCs w:val="20"/>
                <w:lang w:val="en-US" w:eastAsia="en-US"/>
              </w:rPr>
              <w:t>0</w:t>
            </w:r>
          </w:p>
        </w:tc>
        <w:tc>
          <w:tcPr>
            <w:tcW w:w="720"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0</w:t>
            </w:r>
          </w:p>
        </w:tc>
        <w:tc>
          <w:tcPr>
            <w:tcW w:w="721" w:type="dxa"/>
            <w:gridSpan w:val="4"/>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1</w:t>
            </w:r>
          </w:p>
        </w:tc>
        <w:tc>
          <w:tcPr>
            <w:tcW w:w="721" w:type="dxa"/>
            <w:gridSpan w:val="4"/>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20"/>
                <w:szCs w:val="20"/>
                <w:lang w:val="en-US" w:eastAsia="en-US"/>
              </w:rPr>
              <w:t>0</w:t>
            </w:r>
          </w:p>
        </w:tc>
        <w:tc>
          <w:tcPr>
            <w:tcW w:w="720" w:type="dxa"/>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4</w:t>
            </w:r>
          </w:p>
        </w:tc>
        <w:tc>
          <w:tcPr>
            <w:tcW w:w="723" w:type="dxa"/>
            <w:gridSpan w:val="5"/>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2</w:t>
            </w:r>
          </w:p>
        </w:tc>
        <w:tc>
          <w:tcPr>
            <w:tcW w:w="577"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0</w:t>
            </w:r>
          </w:p>
        </w:tc>
        <w:tc>
          <w:tcPr>
            <w:tcW w:w="576"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5</w:t>
            </w:r>
          </w:p>
        </w:tc>
        <w:tc>
          <w:tcPr>
            <w:tcW w:w="721" w:type="dxa"/>
            <w:gridSpan w:val="9"/>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20"/>
                <w:szCs w:val="20"/>
                <w:lang w:val="en-US" w:eastAsia="en-US"/>
              </w:rPr>
              <w:t>0</w:t>
            </w:r>
          </w:p>
        </w:tc>
        <w:tc>
          <w:tcPr>
            <w:tcW w:w="845" w:type="dxa"/>
            <w:gridSpan w:val="8"/>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12</w:t>
            </w:r>
          </w:p>
        </w:tc>
      </w:tr>
      <w:tr>
        <w:trPr>
          <w:trHeight w:val="138" w:hRule="atLeast"/>
        </w:trPr>
        <w:tc>
          <w:tcPr>
            <w:tcW w:w="72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lang w:val="en-US"/>
              </w:rPr>
            </w:pPr>
            <w:r>
              <w:rPr>
                <w:sz w:val="20"/>
                <w:szCs w:val="20"/>
                <w:lang w:val="en-US" w:eastAsia="en-US"/>
              </w:rPr>
              <w:t> </w:t>
            </w:r>
          </w:p>
        </w:tc>
        <w:tc>
          <w:tcPr>
            <w:tcW w:w="1872"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1"/>
              <w:jc w:val="left"/>
              <w:textAlignment w:val="auto"/>
              <w:rPr>
                <w:lang w:val="en-US"/>
              </w:rPr>
            </w:pPr>
            <w:r>
              <w:rPr>
                <w:b/>
                <w:bCs/>
                <w:sz w:val="20"/>
                <w:szCs w:val="20"/>
                <w:lang w:val="en-US" w:eastAsia="en-US"/>
              </w:rPr>
              <w:t>Total femei</w:t>
            </w:r>
          </w:p>
        </w:tc>
        <w:tc>
          <w:tcPr>
            <w:tcW w:w="719" w:type="dxa"/>
            <w:gridSpan w:val="2"/>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lang w:val="en-US"/>
              </w:rPr>
            </w:pPr>
            <w:r>
              <w:rPr>
                <w:sz w:val="20"/>
                <w:szCs w:val="20"/>
                <w:lang w:val="en-US" w:eastAsia="en-US"/>
              </w:rPr>
              <w:t>1 </w:t>
            </w:r>
          </w:p>
        </w:tc>
        <w:tc>
          <w:tcPr>
            <w:tcW w:w="576" w:type="dxa"/>
            <w:gridSpan w:val="4"/>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1</w:t>
            </w:r>
          </w:p>
        </w:tc>
        <w:tc>
          <w:tcPr>
            <w:tcW w:w="576" w:type="dxa"/>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c>
          <w:tcPr>
            <w:tcW w:w="720"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0</w:t>
            </w:r>
          </w:p>
        </w:tc>
        <w:tc>
          <w:tcPr>
            <w:tcW w:w="721" w:type="dxa"/>
            <w:gridSpan w:val="4"/>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1</w:t>
            </w:r>
          </w:p>
        </w:tc>
        <w:tc>
          <w:tcPr>
            <w:tcW w:w="721" w:type="dxa"/>
            <w:gridSpan w:val="4"/>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20"/>
                <w:szCs w:val="20"/>
                <w:lang w:val="en-US" w:eastAsia="en-US"/>
              </w:rPr>
              <w:t>0</w:t>
            </w:r>
          </w:p>
        </w:tc>
        <w:tc>
          <w:tcPr>
            <w:tcW w:w="720" w:type="dxa"/>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0</w:t>
            </w:r>
          </w:p>
        </w:tc>
        <w:tc>
          <w:tcPr>
            <w:tcW w:w="723" w:type="dxa"/>
            <w:gridSpan w:val="5"/>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0</w:t>
            </w:r>
          </w:p>
        </w:tc>
        <w:tc>
          <w:tcPr>
            <w:tcW w:w="577"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0</w:t>
            </w:r>
          </w:p>
        </w:tc>
        <w:tc>
          <w:tcPr>
            <w:tcW w:w="576"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1</w:t>
            </w:r>
          </w:p>
        </w:tc>
        <w:tc>
          <w:tcPr>
            <w:tcW w:w="721" w:type="dxa"/>
            <w:gridSpan w:val="9"/>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20"/>
                <w:szCs w:val="20"/>
                <w:lang w:val="en-US" w:eastAsia="en-US"/>
              </w:rPr>
              <w:t>0</w:t>
            </w:r>
          </w:p>
        </w:tc>
        <w:tc>
          <w:tcPr>
            <w:tcW w:w="845" w:type="dxa"/>
            <w:gridSpan w:val="8"/>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2</w:t>
            </w:r>
          </w:p>
        </w:tc>
      </w:tr>
      <w:tr>
        <w:trPr>
          <w:trHeight w:val="60" w:hRule="atLeast"/>
        </w:trPr>
        <w:tc>
          <w:tcPr>
            <w:tcW w:w="2594"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sz w:val="20"/>
                <w:szCs w:val="20"/>
                <w:lang w:val="en-US" w:eastAsia="en-US"/>
              </w:rPr>
              <w:t>Din ei membrii academiei</w:t>
            </w:r>
          </w:p>
        </w:tc>
        <w:tc>
          <w:tcPr>
            <w:tcW w:w="719" w:type="dxa"/>
            <w:gridSpan w:val="2"/>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lang w:val="en-US"/>
              </w:rPr>
            </w:pPr>
            <w:r>
              <w:rPr>
                <w:sz w:val="20"/>
                <w:szCs w:val="20"/>
                <w:lang w:val="en-US" w:eastAsia="en-US"/>
              </w:rPr>
              <w:t> </w:t>
            </w:r>
          </w:p>
        </w:tc>
        <w:tc>
          <w:tcPr>
            <w:tcW w:w="576" w:type="dxa"/>
            <w:gridSpan w:val="4"/>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1</w:t>
            </w:r>
          </w:p>
        </w:tc>
        <w:tc>
          <w:tcPr>
            <w:tcW w:w="576"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1"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1"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3" w:type="dxa"/>
            <w:gridSpan w:val="5"/>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1 </w:t>
            </w:r>
          </w:p>
        </w:tc>
        <w:tc>
          <w:tcPr>
            <w:tcW w:w="57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 </w:t>
            </w:r>
          </w:p>
        </w:tc>
        <w:tc>
          <w:tcPr>
            <w:tcW w:w="576"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 </w:t>
            </w:r>
          </w:p>
        </w:tc>
        <w:tc>
          <w:tcPr>
            <w:tcW w:w="721" w:type="dxa"/>
            <w:gridSpan w:val="9"/>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lang w:val="en-US" w:eastAsia="en-US"/>
              </w:rPr>
              <w:t> </w:t>
            </w:r>
          </w:p>
        </w:tc>
        <w:tc>
          <w:tcPr>
            <w:tcW w:w="845" w:type="dxa"/>
            <w:gridSpan w:val="8"/>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sz w:val="20"/>
                <w:szCs w:val="20"/>
                <w:lang w:val="en-US" w:eastAsia="en-US"/>
              </w:rPr>
              <w:t>1</w:t>
            </w:r>
          </w:p>
        </w:tc>
      </w:tr>
      <w:tr>
        <w:trPr>
          <w:trHeight w:val="202" w:hRule="atLeast"/>
        </w:trPr>
        <w:tc>
          <w:tcPr>
            <w:tcW w:w="72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lang w:val="en-US"/>
              </w:rPr>
            </w:pPr>
            <w:r>
              <w:rPr>
                <w:sz w:val="20"/>
                <w:szCs w:val="20"/>
                <w:lang w:val="en-US" w:eastAsia="en-US"/>
              </w:rPr>
              <w:t> </w:t>
            </w:r>
          </w:p>
        </w:tc>
        <w:tc>
          <w:tcPr>
            <w:tcW w:w="1872"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0"/>
              <w:jc w:val="left"/>
              <w:textAlignment w:val="auto"/>
              <w:rPr>
                <w:lang w:val="en-US"/>
              </w:rPr>
            </w:pPr>
            <w:r>
              <w:rPr>
                <w:sz w:val="20"/>
                <w:szCs w:val="20"/>
                <w:lang w:val="en-US" w:eastAsia="en-US"/>
              </w:rPr>
              <w:t>Femei</w:t>
            </w:r>
          </w:p>
        </w:tc>
        <w:tc>
          <w:tcPr>
            <w:tcW w:w="719" w:type="dxa"/>
            <w:gridSpan w:val="2"/>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lang w:val="en-US"/>
              </w:rPr>
            </w:pPr>
            <w:r>
              <w:rPr>
                <w:sz w:val="20"/>
                <w:szCs w:val="20"/>
                <w:lang w:val="en-US" w:eastAsia="en-US"/>
              </w:rPr>
              <w:t> </w:t>
            </w:r>
          </w:p>
        </w:tc>
        <w:tc>
          <w:tcPr>
            <w:tcW w:w="576" w:type="dxa"/>
            <w:gridSpan w:val="4"/>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0</w:t>
            </w:r>
          </w:p>
        </w:tc>
        <w:tc>
          <w:tcPr>
            <w:tcW w:w="576"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1"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1"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3" w:type="dxa"/>
            <w:gridSpan w:val="5"/>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7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76"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1" w:type="dxa"/>
            <w:gridSpan w:val="9"/>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20"/>
                <w:szCs w:val="20"/>
                <w:lang w:val="en-US" w:eastAsia="en-US"/>
              </w:rPr>
              <w:t> </w:t>
            </w:r>
          </w:p>
        </w:tc>
        <w:tc>
          <w:tcPr>
            <w:tcW w:w="845" w:type="dxa"/>
            <w:gridSpan w:val="8"/>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20"/>
                <w:szCs w:val="20"/>
                <w:lang w:val="en-US" w:eastAsia="en-US"/>
              </w:rPr>
              <w:t>0</w:t>
            </w:r>
          </w:p>
        </w:tc>
      </w:tr>
      <w:tr>
        <w:trPr>
          <w:trHeight w:val="270" w:hRule="atLeast"/>
        </w:trPr>
        <w:tc>
          <w:tcPr>
            <w:tcW w:w="7522" w:type="dxa"/>
            <w:gridSpan w:val="24"/>
            <w:tcBorders>
              <w:bottom w:val="single" w:sz="8" w:space="0" w:color="000001"/>
              <w:insideH w:val="single" w:sz="8" w:space="0" w:color="000001"/>
            </w:tcBorders>
            <w:shd w:fill="auto" w:val="clear"/>
            <w:vAlign w:val="bottom"/>
          </w:tcPr>
          <w:p>
            <w:pPr>
              <w:pStyle w:val="Normal"/>
              <w:widowControl/>
              <w:bidi w:val="0"/>
              <w:ind w:left="0" w:right="0" w:hanging="0"/>
              <w:jc w:val="center"/>
              <w:textAlignment w:val="auto"/>
              <w:rPr>
                <w:lang w:val="en-US"/>
              </w:rPr>
            </w:pPr>
            <w:r>
              <w:rPr>
                <w:b/>
                <w:bCs/>
                <w:sz w:val="18"/>
                <w:szCs w:val="18"/>
                <w:lang w:val="en-US"/>
              </w:rPr>
              <w:t>3.2. Retribuirea muncii colaboratorilor 2016</w:t>
            </w:r>
          </w:p>
        </w:tc>
        <w:tc>
          <w:tcPr>
            <w:tcW w:w="585" w:type="dxa"/>
            <w:gridSpan w:val="4"/>
            <w:tcBorders/>
            <w:shd w:fill="auto" w:val="clear"/>
            <w:vAlign w:val="bottom"/>
          </w:tcPr>
          <w:p>
            <w:pPr>
              <w:pStyle w:val="Normal"/>
              <w:widowControl/>
              <w:bidi w:val="0"/>
              <w:ind w:left="0" w:right="0" w:hanging="0"/>
              <w:jc w:val="center"/>
              <w:textAlignment w:val="auto"/>
              <w:rPr>
                <w:rFonts w:ascii="Times New Roman" w:hAnsi="Times New Roman"/>
                <w:b/>
                <w:b/>
                <w:bCs/>
                <w:sz w:val="18"/>
                <w:szCs w:val="18"/>
                <w:lang w:val="en-US"/>
              </w:rPr>
            </w:pPr>
            <w:r>
              <w:rPr>
                <w:b/>
                <w:bCs/>
                <w:sz w:val="18"/>
                <w:szCs w:val="18"/>
                <w:lang w:val="en-US"/>
              </w:rPr>
            </w:r>
          </w:p>
        </w:tc>
        <w:tc>
          <w:tcPr>
            <w:tcW w:w="629"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lang w:val="en-US"/>
              </w:rPr>
            </w:pPr>
            <w:r>
              <w:rPr>
                <w:sz w:val="18"/>
                <w:szCs w:val="18"/>
                <w:lang w:val="en-US"/>
              </w:rPr>
            </w:r>
          </w:p>
        </w:tc>
        <w:tc>
          <w:tcPr>
            <w:tcW w:w="761"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lang w:val="en-US"/>
              </w:rPr>
            </w:pPr>
            <w:r>
              <w:rPr>
                <w:sz w:val="18"/>
                <w:szCs w:val="18"/>
                <w:lang w:val="en-US"/>
              </w:rPr>
            </w:r>
          </w:p>
        </w:tc>
        <w:tc>
          <w:tcPr>
            <w:tcW w:w="849" w:type="dxa"/>
            <w:gridSpan w:val="12"/>
            <w:tcBorders/>
            <w:shd w:fill="auto" w:val="clear"/>
            <w:vAlign w:val="bottom"/>
          </w:tcPr>
          <w:p>
            <w:pPr>
              <w:pStyle w:val="Normal"/>
              <w:widowControl/>
              <w:bidi w:val="0"/>
              <w:ind w:left="0" w:right="0" w:hanging="0"/>
              <w:jc w:val="left"/>
              <w:textAlignment w:val="auto"/>
              <w:rPr>
                <w:rFonts w:ascii="Times New Roman" w:hAnsi="Times New Roman"/>
                <w:sz w:val="18"/>
                <w:szCs w:val="18"/>
                <w:lang w:val="en-US"/>
              </w:rPr>
            </w:pPr>
            <w:r>
              <w:rPr>
                <w:sz w:val="18"/>
                <w:szCs w:val="18"/>
                <w:lang w:val="en-US"/>
              </w:rPr>
            </w:r>
          </w:p>
        </w:tc>
        <w:tc>
          <w:tcPr>
            <w:tcW w:w="443" w:type="dxa"/>
            <w:gridSpan w:val="3"/>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rFonts w:ascii="Times New Roman" w:hAnsi="Times New Roman"/>
                <w:lang w:val="en-US"/>
              </w:rPr>
            </w:pPr>
            <w:r>
              <w:rPr>
                <w:lang w:val="en-US"/>
              </w:rPr>
            </w:r>
          </w:p>
        </w:tc>
      </w:tr>
      <w:tr>
        <w:trPr>
          <w:trHeight w:val="430" w:hRule="atLeast"/>
        </w:trPr>
        <w:tc>
          <w:tcPr>
            <w:tcW w:w="3566" w:type="dxa"/>
            <w:gridSpan w:val="7"/>
            <w:vMerge w:val="restart"/>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Categorii de personal</w:t>
            </w:r>
          </w:p>
        </w:tc>
        <w:tc>
          <w:tcPr>
            <w:tcW w:w="3956" w:type="dxa"/>
            <w:gridSpan w:val="17"/>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rFonts w:cs="Times New Roman CE" w:ascii="Times New Roman CE" w:hAnsi="Times New Roman CE"/>
                <w:b/>
                <w:bCs/>
                <w:sz w:val="18"/>
                <w:szCs w:val="18"/>
                <w:lang w:val="en-US"/>
              </w:rPr>
              <w:t xml:space="preserve">Salariul mediu lunar calculat </w:t>
            </w:r>
            <w:r>
              <w:rPr/>
              <w:br/>
            </w:r>
            <w:r>
              <w:rPr>
                <w:rFonts w:cs="Times New Roman CE" w:ascii="Times New Roman CE" w:hAnsi="Times New Roman CE"/>
                <w:b/>
                <w:bCs/>
                <w:sz w:val="18"/>
                <w:szCs w:val="18"/>
                <w:lang w:val="en-US"/>
              </w:rPr>
              <w:t>(cu sporuri şi prem</w:t>
            </w:r>
            <w:r>
              <w:rPr>
                <w:b/>
                <w:bCs/>
                <w:sz w:val="18"/>
                <w:szCs w:val="18"/>
                <w:lang w:val="en-US"/>
              </w:rPr>
              <w:t xml:space="preserve">ii) </w:t>
            </w:r>
            <w:r>
              <w:rPr>
                <w:b/>
                <w:bCs/>
                <w:color w:val="FF0000"/>
                <w:sz w:val="18"/>
                <w:szCs w:val="18"/>
                <w:lang w:val="en-US"/>
              </w:rPr>
              <w:t xml:space="preserve"> per unitate</w:t>
            </w:r>
            <w:r>
              <w:rPr>
                <w:b/>
                <w:bCs/>
                <w:sz w:val="18"/>
                <w:szCs w:val="18"/>
                <w:lang w:val="en-US"/>
              </w:rPr>
              <w:t>, lei</w:t>
            </w:r>
          </w:p>
        </w:tc>
        <w:tc>
          <w:tcPr>
            <w:tcW w:w="585" w:type="dxa"/>
            <w:gridSpan w:val="4"/>
            <w:tcBorders/>
            <w:shd w:fill="auto" w:val="clear"/>
            <w:vAlign w:val="bottom"/>
          </w:tcPr>
          <w:p>
            <w:pPr>
              <w:pStyle w:val="Normal"/>
              <w:widowControl/>
              <w:bidi w:val="0"/>
              <w:ind w:left="0" w:right="0" w:hanging="0"/>
              <w:jc w:val="left"/>
              <w:textAlignment w:val="auto"/>
              <w:rPr>
                <w:rFonts w:ascii="Times New Roman" w:hAnsi="Times New Roman"/>
                <w:sz w:val="18"/>
                <w:szCs w:val="18"/>
                <w:lang w:val="en-US"/>
              </w:rPr>
            </w:pPr>
            <w:r>
              <w:rPr>
                <w:sz w:val="18"/>
                <w:szCs w:val="18"/>
                <w:lang w:val="en-US"/>
              </w:rPr>
            </w:r>
          </w:p>
        </w:tc>
        <w:tc>
          <w:tcPr>
            <w:tcW w:w="629"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lang w:val="en-US"/>
              </w:rPr>
            </w:pPr>
            <w:r>
              <w:rPr>
                <w:sz w:val="18"/>
                <w:szCs w:val="18"/>
                <w:lang w:val="en-US"/>
              </w:rPr>
            </w:r>
          </w:p>
        </w:tc>
        <w:tc>
          <w:tcPr>
            <w:tcW w:w="761"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lang w:val="en-US"/>
              </w:rPr>
            </w:pPr>
            <w:r>
              <w:rPr>
                <w:sz w:val="18"/>
                <w:szCs w:val="18"/>
                <w:lang w:val="en-US"/>
              </w:rPr>
            </w:r>
          </w:p>
        </w:tc>
        <w:tc>
          <w:tcPr>
            <w:tcW w:w="849" w:type="dxa"/>
            <w:gridSpan w:val="12"/>
            <w:tcBorders/>
            <w:shd w:fill="auto" w:val="clear"/>
            <w:vAlign w:val="bottom"/>
          </w:tcPr>
          <w:p>
            <w:pPr>
              <w:pStyle w:val="Normal"/>
              <w:widowControl/>
              <w:bidi w:val="0"/>
              <w:ind w:left="0" w:right="0" w:hanging="0"/>
              <w:jc w:val="left"/>
              <w:textAlignment w:val="auto"/>
              <w:rPr>
                <w:rFonts w:ascii="Times New Roman" w:hAnsi="Times New Roman"/>
                <w:sz w:val="18"/>
                <w:szCs w:val="18"/>
                <w:lang w:val="en-US"/>
              </w:rPr>
            </w:pPr>
            <w:r>
              <w:rPr>
                <w:sz w:val="18"/>
                <w:szCs w:val="18"/>
                <w:lang w:val="en-US"/>
              </w:rPr>
            </w:r>
          </w:p>
        </w:tc>
        <w:tc>
          <w:tcPr>
            <w:tcW w:w="443" w:type="dxa"/>
            <w:gridSpan w:val="3"/>
            <w:vMerge w:val="restart"/>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rFonts w:ascii="Times New Roman" w:hAnsi="Times New Roman"/>
                <w:lang w:val="en-US"/>
              </w:rPr>
            </w:pPr>
            <w:r>
              <w:rPr>
                <w:lang w:val="en-US"/>
              </w:rPr>
            </w:r>
          </w:p>
        </w:tc>
      </w:tr>
      <w:tr>
        <w:trPr>
          <w:trHeight w:val="210" w:hRule="atLeast"/>
        </w:trPr>
        <w:tc>
          <w:tcPr>
            <w:tcW w:w="3566" w:type="dxa"/>
            <w:gridSpan w:val="7"/>
            <w:vMerge w:val="continue"/>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18"/>
                <w:szCs w:val="18"/>
                <w:lang w:val="en-US"/>
              </w:rPr>
            </w:pPr>
            <w:r>
              <w:rPr>
                <w:sz w:val="18"/>
                <w:szCs w:val="18"/>
                <w:lang w:val="en-US"/>
              </w:rPr>
            </w:r>
          </w:p>
        </w:tc>
        <w:tc>
          <w:tcPr>
            <w:tcW w:w="3956" w:type="dxa"/>
            <w:gridSpan w:val="17"/>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Tipul de angajare</w:t>
            </w:r>
          </w:p>
        </w:tc>
        <w:tc>
          <w:tcPr>
            <w:tcW w:w="585" w:type="dxa"/>
            <w:gridSpan w:val="4"/>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629"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761"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849" w:type="dxa"/>
            <w:gridSpan w:val="12"/>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443" w:type="dxa"/>
            <w:gridSpan w:val="3"/>
            <w:vMerge w:val="continue"/>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rPr>
            </w:pPr>
            <w:r>
              <w:rPr/>
            </w:r>
          </w:p>
        </w:tc>
      </w:tr>
      <w:tr>
        <w:trPr>
          <w:trHeight w:val="343" w:hRule="atLeast"/>
        </w:trPr>
        <w:tc>
          <w:tcPr>
            <w:tcW w:w="3566" w:type="dxa"/>
            <w:gridSpan w:val="7"/>
            <w:vMerge w:val="continue"/>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1116"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rFonts w:cs="Times New Roman CE" w:ascii="Times New Roman CE" w:hAnsi="Times New Roman CE"/>
                <w:sz w:val="18"/>
                <w:szCs w:val="18"/>
              </w:rPr>
              <w:t>De bază</w:t>
            </w:r>
          </w:p>
        </w:tc>
        <w:tc>
          <w:tcPr>
            <w:tcW w:w="993"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Cumul intern</w:t>
            </w:r>
          </w:p>
        </w:tc>
        <w:tc>
          <w:tcPr>
            <w:tcW w:w="856"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Cumul extern</w:t>
            </w:r>
          </w:p>
        </w:tc>
        <w:tc>
          <w:tcPr>
            <w:tcW w:w="992" w:type="dxa"/>
            <w:gridSpan w:val="6"/>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rFonts w:cs="Times New Roman CE" w:ascii="Times New Roman CE" w:hAnsi="Times New Roman CE"/>
                <w:sz w:val="18"/>
                <w:szCs w:val="18"/>
              </w:rPr>
              <w:t>Acord de muncă</w:t>
            </w:r>
          </w:p>
        </w:tc>
        <w:tc>
          <w:tcPr>
            <w:tcW w:w="2150" w:type="dxa"/>
            <w:gridSpan w:val="12"/>
            <w:tcBorders/>
            <w:shd w:fill="auto" w:val="clear"/>
            <w:vAlign w:val="bottom"/>
          </w:tcPr>
          <w:p>
            <w:pPr>
              <w:pStyle w:val="Normal"/>
              <w:widowControl/>
              <w:bidi w:val="0"/>
              <w:ind w:left="-250" w:right="0" w:firstLine="124"/>
              <w:jc w:val="left"/>
              <w:textAlignment w:val="auto"/>
              <w:rPr>
                <w:rFonts w:ascii="Times New Roman" w:hAnsi="Times New Roman"/>
                <w:sz w:val="18"/>
                <w:szCs w:val="18"/>
              </w:rPr>
            </w:pPr>
            <w:r>
              <w:rPr>
                <w:sz w:val="18"/>
                <w:szCs w:val="18"/>
              </w:rPr>
            </w:r>
          </w:p>
        </w:tc>
        <w:tc>
          <w:tcPr>
            <w:tcW w:w="243"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429" w:type="dxa"/>
            <w:gridSpan w:val="5"/>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285" w:type="dxa"/>
            <w:gridSpan w:val="2"/>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159"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rPr>
            </w:pPr>
            <w:r>
              <w:rPr/>
            </w:r>
          </w:p>
        </w:tc>
      </w:tr>
      <w:tr>
        <w:trPr>
          <w:trHeight w:val="107" w:hRule="atLeast"/>
        </w:trPr>
        <w:tc>
          <w:tcPr>
            <w:tcW w:w="3566" w:type="dxa"/>
            <w:gridSpan w:val="7"/>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180"/>
              <w:jc w:val="left"/>
              <w:textAlignment w:val="auto"/>
              <w:rPr/>
            </w:pPr>
            <w:r>
              <w:rPr>
                <w:rFonts w:cs="Times New Roman CE" w:ascii="Times New Roman CE" w:hAnsi="Times New Roman CE"/>
                <w:sz w:val="18"/>
                <w:szCs w:val="18"/>
              </w:rPr>
              <w:t>Şef de subdiviziune</w:t>
            </w:r>
          </w:p>
        </w:tc>
        <w:tc>
          <w:tcPr>
            <w:tcW w:w="1116"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ro-RO"/>
              </w:rPr>
            </w:pPr>
            <w:r>
              <w:rPr>
                <w:sz w:val="18"/>
                <w:szCs w:val="18"/>
                <w:lang w:val="ro-RO"/>
              </w:rPr>
              <w:t>7782</w:t>
            </w:r>
            <w:r>
              <w:rPr>
                <w:sz w:val="18"/>
                <w:szCs w:val="18"/>
              </w:rPr>
              <w:t>,</w:t>
            </w:r>
            <w:r>
              <w:rPr>
                <w:sz w:val="18"/>
                <w:szCs w:val="18"/>
                <w:lang w:val="ro-RO"/>
              </w:rPr>
              <w:t>16</w:t>
            </w:r>
          </w:p>
        </w:tc>
        <w:tc>
          <w:tcPr>
            <w:tcW w:w="992"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856"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317" w:right="0" w:hanging="0"/>
              <w:jc w:val="center"/>
              <w:textAlignment w:val="auto"/>
              <w:rPr/>
            </w:pPr>
            <w:r>
              <w:rPr>
                <w:sz w:val="18"/>
                <w:szCs w:val="18"/>
              </w:rPr>
              <w:t> </w:t>
            </w:r>
          </w:p>
        </w:tc>
        <w:tc>
          <w:tcPr>
            <w:tcW w:w="991"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2045" w:type="dxa"/>
            <w:gridSpan w:val="13"/>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243"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472" w:type="dxa"/>
            <w:gridSpan w:val="5"/>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508" w:type="dxa"/>
            <w:gridSpan w:val="5"/>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r>
      <w:tr>
        <w:trPr>
          <w:trHeight w:val="153" w:hRule="atLeast"/>
        </w:trPr>
        <w:tc>
          <w:tcPr>
            <w:tcW w:w="3554" w:type="dxa"/>
            <w:gridSpan w:val="6"/>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180"/>
              <w:jc w:val="left"/>
              <w:textAlignment w:val="auto"/>
              <w:rPr/>
            </w:pPr>
            <w:r>
              <w:rPr>
                <w:rFonts w:cs="Times New Roman CE" w:ascii="Times New Roman CE" w:hAnsi="Times New Roman CE"/>
                <w:sz w:val="18"/>
                <w:szCs w:val="18"/>
              </w:rPr>
              <w:t>Consultanţi ştiinţifici</w:t>
            </w:r>
          </w:p>
        </w:tc>
        <w:tc>
          <w:tcPr>
            <w:tcW w:w="1113"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sz w:val="18"/>
                <w:szCs w:val="18"/>
              </w:rPr>
              <w:t> </w:t>
            </w:r>
          </w:p>
        </w:tc>
        <w:tc>
          <w:tcPr>
            <w:tcW w:w="989"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853"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988"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2003" w:type="dxa"/>
            <w:gridSpan w:val="13"/>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243"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470" w:type="dxa"/>
            <w:gridSpan w:val="5"/>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505" w:type="dxa"/>
            <w:gridSpan w:val="5"/>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7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rPr>
            </w:pPr>
            <w:r>
              <w:rPr/>
            </w:r>
          </w:p>
        </w:tc>
      </w:tr>
      <w:tr>
        <w:trPr>
          <w:trHeight w:val="184" w:hRule="atLeast"/>
        </w:trPr>
        <w:tc>
          <w:tcPr>
            <w:tcW w:w="3554" w:type="dxa"/>
            <w:gridSpan w:val="6"/>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180"/>
              <w:jc w:val="left"/>
              <w:textAlignment w:val="auto"/>
              <w:rPr/>
            </w:pPr>
            <w:r>
              <w:rPr>
                <w:rFonts w:cs="Times New Roman CE" w:ascii="Times New Roman CE" w:hAnsi="Times New Roman CE"/>
                <w:sz w:val="18"/>
                <w:szCs w:val="18"/>
              </w:rPr>
              <w:t>Cercetători ştiinţifici principali</w:t>
            </w:r>
          </w:p>
        </w:tc>
        <w:tc>
          <w:tcPr>
            <w:tcW w:w="1113"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ro-RO"/>
              </w:rPr>
            </w:pPr>
            <w:r>
              <w:rPr>
                <w:sz w:val="18"/>
                <w:szCs w:val="18"/>
                <w:lang w:val="ro-RO"/>
              </w:rPr>
              <w:t>7069</w:t>
            </w:r>
            <w:r>
              <w:rPr>
                <w:sz w:val="18"/>
                <w:szCs w:val="18"/>
              </w:rPr>
              <w:t>,</w:t>
            </w:r>
            <w:r>
              <w:rPr>
                <w:sz w:val="18"/>
                <w:szCs w:val="18"/>
                <w:lang w:val="ro-RO"/>
              </w:rPr>
              <w:t>19</w:t>
            </w:r>
          </w:p>
        </w:tc>
        <w:tc>
          <w:tcPr>
            <w:tcW w:w="989"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sz w:val="18"/>
                <w:szCs w:val="18"/>
              </w:rPr>
            </w:pPr>
            <w:r>
              <w:rPr>
                <w:sz w:val="18"/>
                <w:szCs w:val="18"/>
              </w:rPr>
            </w:r>
          </w:p>
        </w:tc>
        <w:tc>
          <w:tcPr>
            <w:tcW w:w="853"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18"/>
                <w:szCs w:val="18"/>
              </w:rPr>
            </w:pPr>
            <w:r>
              <w:rPr>
                <w:sz w:val="18"/>
                <w:szCs w:val="18"/>
              </w:rPr>
            </w:r>
          </w:p>
        </w:tc>
        <w:tc>
          <w:tcPr>
            <w:tcW w:w="988"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2003" w:type="dxa"/>
            <w:gridSpan w:val="13"/>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243"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470" w:type="dxa"/>
            <w:gridSpan w:val="5"/>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505" w:type="dxa"/>
            <w:gridSpan w:val="5"/>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7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rPr>
            </w:pPr>
            <w:r>
              <w:rPr/>
            </w:r>
          </w:p>
        </w:tc>
      </w:tr>
      <w:tr>
        <w:trPr>
          <w:trHeight w:val="75" w:hRule="atLeast"/>
        </w:trPr>
        <w:tc>
          <w:tcPr>
            <w:tcW w:w="3554" w:type="dxa"/>
            <w:gridSpan w:val="6"/>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180"/>
              <w:jc w:val="left"/>
              <w:textAlignment w:val="auto"/>
              <w:rPr/>
            </w:pPr>
            <w:r>
              <w:rPr>
                <w:rFonts w:cs="Times New Roman CE" w:ascii="Times New Roman CE" w:hAnsi="Times New Roman CE"/>
                <w:sz w:val="18"/>
                <w:szCs w:val="18"/>
              </w:rPr>
              <w:t>Cercetător i ştiinţifi</w:t>
            </w:r>
            <w:r>
              <w:rPr>
                <w:sz w:val="18"/>
                <w:szCs w:val="18"/>
              </w:rPr>
              <w:t>c coordonatori</w:t>
            </w:r>
          </w:p>
        </w:tc>
        <w:tc>
          <w:tcPr>
            <w:tcW w:w="1113"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sz w:val="18"/>
                <w:szCs w:val="18"/>
              </w:rPr>
              <w:t>5</w:t>
            </w:r>
            <w:r>
              <w:rPr>
                <w:sz w:val="18"/>
                <w:szCs w:val="18"/>
                <w:lang w:val="ro-RO"/>
              </w:rPr>
              <w:t>562</w:t>
            </w:r>
            <w:r>
              <w:rPr>
                <w:sz w:val="18"/>
                <w:szCs w:val="18"/>
              </w:rPr>
              <w:t>,</w:t>
            </w:r>
            <w:r>
              <w:rPr>
                <w:sz w:val="18"/>
                <w:szCs w:val="18"/>
                <w:lang w:val="ro-RO"/>
              </w:rPr>
              <w:t>31</w:t>
            </w:r>
          </w:p>
        </w:tc>
        <w:tc>
          <w:tcPr>
            <w:tcW w:w="989"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ro-RO"/>
              </w:rPr>
            </w:pPr>
            <w:r>
              <w:rPr>
                <w:sz w:val="18"/>
                <w:szCs w:val="18"/>
                <w:lang w:val="ro-RO"/>
              </w:rPr>
              <w:t>1616,88</w:t>
            </w:r>
            <w:r>
              <w:rPr>
                <w:sz w:val="18"/>
                <w:szCs w:val="18"/>
              </w:rPr>
              <w:t>  </w:t>
            </w:r>
          </w:p>
        </w:tc>
        <w:tc>
          <w:tcPr>
            <w:tcW w:w="853"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988"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2003" w:type="dxa"/>
            <w:gridSpan w:val="13"/>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243"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470" w:type="dxa"/>
            <w:gridSpan w:val="5"/>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505" w:type="dxa"/>
            <w:gridSpan w:val="5"/>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7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rPr>
            </w:pPr>
            <w:r>
              <w:rPr/>
            </w:r>
          </w:p>
        </w:tc>
      </w:tr>
      <w:tr>
        <w:trPr>
          <w:trHeight w:val="120" w:hRule="atLeast"/>
        </w:trPr>
        <w:tc>
          <w:tcPr>
            <w:tcW w:w="3554" w:type="dxa"/>
            <w:gridSpan w:val="6"/>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180"/>
              <w:jc w:val="left"/>
              <w:textAlignment w:val="auto"/>
              <w:rPr/>
            </w:pPr>
            <w:r>
              <w:rPr>
                <w:rFonts w:cs="Times New Roman CE" w:ascii="Times New Roman CE" w:hAnsi="Times New Roman CE"/>
                <w:sz w:val="18"/>
                <w:szCs w:val="18"/>
              </w:rPr>
              <w:t>Cercetători ştiinţifici superiori</w:t>
            </w:r>
          </w:p>
        </w:tc>
        <w:tc>
          <w:tcPr>
            <w:tcW w:w="1113"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ro-RO"/>
              </w:rPr>
            </w:pPr>
            <w:r>
              <w:rPr>
                <w:sz w:val="18"/>
                <w:szCs w:val="18"/>
                <w:lang w:val="ro-RO"/>
              </w:rPr>
              <w:t>2458</w:t>
            </w:r>
            <w:r>
              <w:rPr>
                <w:sz w:val="18"/>
                <w:szCs w:val="18"/>
              </w:rPr>
              <w:t>,</w:t>
            </w:r>
            <w:r>
              <w:rPr>
                <w:sz w:val="18"/>
                <w:szCs w:val="18"/>
                <w:lang w:val="ro-RO"/>
              </w:rPr>
              <w:t>03</w:t>
            </w:r>
          </w:p>
        </w:tc>
        <w:tc>
          <w:tcPr>
            <w:tcW w:w="989"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sz w:val="18"/>
                <w:szCs w:val="18"/>
              </w:rPr>
            </w:pPr>
            <w:r>
              <w:rPr>
                <w:sz w:val="18"/>
                <w:szCs w:val="18"/>
              </w:rPr>
            </w:r>
          </w:p>
        </w:tc>
        <w:tc>
          <w:tcPr>
            <w:tcW w:w="853"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15</w:t>
            </w:r>
            <w:r>
              <w:rPr>
                <w:sz w:val="18"/>
                <w:szCs w:val="18"/>
                <w:lang w:val="ro-RO"/>
              </w:rPr>
              <w:t>59</w:t>
            </w:r>
            <w:r>
              <w:rPr>
                <w:sz w:val="18"/>
                <w:szCs w:val="18"/>
              </w:rPr>
              <w:t>,</w:t>
            </w:r>
            <w:r>
              <w:rPr>
                <w:sz w:val="18"/>
                <w:szCs w:val="18"/>
                <w:lang w:val="ro-RO"/>
              </w:rPr>
              <w:t>42</w:t>
            </w:r>
          </w:p>
        </w:tc>
        <w:tc>
          <w:tcPr>
            <w:tcW w:w="988"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sz w:val="18"/>
                <w:szCs w:val="18"/>
              </w:rPr>
            </w:pPr>
            <w:r>
              <w:rPr>
                <w:sz w:val="18"/>
                <w:szCs w:val="18"/>
              </w:rPr>
            </w:r>
          </w:p>
        </w:tc>
        <w:tc>
          <w:tcPr>
            <w:tcW w:w="2003" w:type="dxa"/>
            <w:gridSpan w:val="13"/>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243"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470" w:type="dxa"/>
            <w:gridSpan w:val="5"/>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505" w:type="dxa"/>
            <w:gridSpan w:val="5"/>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7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rPr>
            </w:pPr>
            <w:r>
              <w:rPr/>
            </w:r>
          </w:p>
        </w:tc>
      </w:tr>
      <w:tr>
        <w:trPr>
          <w:trHeight w:val="182" w:hRule="atLeast"/>
        </w:trPr>
        <w:tc>
          <w:tcPr>
            <w:tcW w:w="3554" w:type="dxa"/>
            <w:gridSpan w:val="6"/>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180"/>
              <w:jc w:val="left"/>
              <w:textAlignment w:val="auto"/>
              <w:rPr/>
            </w:pPr>
            <w:r>
              <w:rPr>
                <w:rFonts w:cs="Times New Roman CE" w:ascii="Times New Roman CE" w:hAnsi="Times New Roman CE"/>
                <w:sz w:val="18"/>
                <w:szCs w:val="18"/>
              </w:rPr>
              <w:t>Cercetători ştiinţifici</w:t>
            </w:r>
          </w:p>
        </w:tc>
        <w:tc>
          <w:tcPr>
            <w:tcW w:w="1113"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sz w:val="18"/>
                <w:szCs w:val="18"/>
              </w:rPr>
              <w:t> </w:t>
            </w:r>
            <w:r>
              <w:rPr>
                <w:sz w:val="18"/>
                <w:szCs w:val="18"/>
                <w:lang w:val="ro-RO"/>
              </w:rPr>
              <w:t>2038,9</w:t>
            </w:r>
          </w:p>
        </w:tc>
        <w:tc>
          <w:tcPr>
            <w:tcW w:w="989"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853"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1</w:t>
            </w:r>
            <w:r>
              <w:rPr>
                <w:sz w:val="18"/>
                <w:szCs w:val="18"/>
                <w:lang w:val="ro-RO"/>
              </w:rPr>
              <w:t>8</w:t>
            </w:r>
            <w:r>
              <w:rPr>
                <w:sz w:val="18"/>
                <w:szCs w:val="18"/>
              </w:rPr>
              <w:t>0</w:t>
            </w:r>
            <w:r>
              <w:rPr>
                <w:sz w:val="18"/>
                <w:szCs w:val="18"/>
                <w:lang w:val="ro-RO"/>
              </w:rPr>
              <w:t>1</w:t>
            </w:r>
            <w:r>
              <w:rPr>
                <w:sz w:val="18"/>
                <w:szCs w:val="18"/>
              </w:rPr>
              <w:t>,</w:t>
            </w:r>
            <w:r>
              <w:rPr>
                <w:sz w:val="18"/>
                <w:szCs w:val="18"/>
                <w:lang w:val="ro-RO"/>
              </w:rPr>
              <w:t>07</w:t>
            </w:r>
          </w:p>
        </w:tc>
        <w:tc>
          <w:tcPr>
            <w:tcW w:w="988"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2003" w:type="dxa"/>
            <w:gridSpan w:val="13"/>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243"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470" w:type="dxa"/>
            <w:gridSpan w:val="5"/>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505" w:type="dxa"/>
            <w:gridSpan w:val="5"/>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7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rPr>
            </w:pPr>
            <w:r>
              <w:rPr/>
            </w:r>
          </w:p>
        </w:tc>
      </w:tr>
      <w:tr>
        <w:trPr>
          <w:trHeight w:val="229" w:hRule="atLeast"/>
        </w:trPr>
        <w:tc>
          <w:tcPr>
            <w:tcW w:w="3554" w:type="dxa"/>
            <w:gridSpan w:val="6"/>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180"/>
              <w:jc w:val="left"/>
              <w:textAlignment w:val="auto"/>
              <w:rPr/>
            </w:pPr>
            <w:r>
              <w:rPr>
                <w:rFonts w:cs="Times New Roman CE" w:ascii="Times New Roman CE" w:hAnsi="Times New Roman CE"/>
                <w:sz w:val="18"/>
                <w:szCs w:val="18"/>
              </w:rPr>
              <w:t>Cercetători ştiinţifici stagiari</w:t>
            </w:r>
          </w:p>
        </w:tc>
        <w:tc>
          <w:tcPr>
            <w:tcW w:w="1113"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sz w:val="18"/>
                <w:szCs w:val="18"/>
              </w:rPr>
              <w:t> </w:t>
            </w:r>
          </w:p>
        </w:tc>
        <w:tc>
          <w:tcPr>
            <w:tcW w:w="989"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853"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18"/>
                <w:szCs w:val="18"/>
                <w:lang w:val="ro-RO"/>
              </w:rPr>
            </w:pPr>
            <w:r>
              <w:rPr>
                <w:sz w:val="18"/>
                <w:szCs w:val="18"/>
                <w:lang w:val="ro-RO"/>
              </w:rPr>
            </w:r>
          </w:p>
        </w:tc>
        <w:tc>
          <w:tcPr>
            <w:tcW w:w="988"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sz w:val="18"/>
                <w:szCs w:val="18"/>
                <w:lang w:val="ro-RO"/>
              </w:rPr>
            </w:pPr>
            <w:r>
              <w:rPr>
                <w:sz w:val="18"/>
                <w:szCs w:val="18"/>
                <w:lang w:val="ro-RO"/>
              </w:rPr>
            </w:r>
          </w:p>
        </w:tc>
        <w:tc>
          <w:tcPr>
            <w:tcW w:w="2003" w:type="dxa"/>
            <w:gridSpan w:val="13"/>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243"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470" w:type="dxa"/>
            <w:gridSpan w:val="5"/>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505" w:type="dxa"/>
            <w:gridSpan w:val="5"/>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7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rPr>
            </w:pPr>
            <w:r>
              <w:rPr/>
            </w:r>
          </w:p>
        </w:tc>
      </w:tr>
      <w:tr>
        <w:trPr>
          <w:trHeight w:val="132" w:hRule="atLeast"/>
        </w:trPr>
        <w:tc>
          <w:tcPr>
            <w:tcW w:w="3554" w:type="dxa"/>
            <w:gridSpan w:val="6"/>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180"/>
              <w:jc w:val="left"/>
              <w:textAlignment w:val="auto"/>
              <w:rPr>
                <w:lang w:val="en-US"/>
              </w:rPr>
            </w:pPr>
            <w:r>
              <w:rPr>
                <w:rFonts w:cs="Times New Roman CE" w:ascii="Times New Roman CE" w:hAnsi="Times New Roman CE"/>
                <w:sz w:val="18"/>
                <w:szCs w:val="18"/>
                <w:lang w:val="en-US"/>
              </w:rPr>
              <w:t>Ingineri şi specialişti cu studii superioare</w:t>
            </w:r>
          </w:p>
        </w:tc>
        <w:tc>
          <w:tcPr>
            <w:tcW w:w="1113"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rFonts w:ascii="Times New Roman" w:hAnsi="Times New Roman"/>
                <w:sz w:val="20"/>
                <w:szCs w:val="20"/>
                <w:lang w:val="en-US"/>
              </w:rPr>
            </w:pPr>
            <w:r>
              <w:rPr>
                <w:sz w:val="20"/>
                <w:szCs w:val="20"/>
                <w:lang w:val="en-US"/>
              </w:rPr>
            </w:r>
          </w:p>
        </w:tc>
        <w:tc>
          <w:tcPr>
            <w:tcW w:w="989"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18"/>
                <w:szCs w:val="18"/>
                <w:lang w:val="en-US"/>
              </w:rPr>
              <w:t> </w:t>
            </w:r>
          </w:p>
        </w:tc>
        <w:tc>
          <w:tcPr>
            <w:tcW w:w="853"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9</w:t>
            </w:r>
            <w:r>
              <w:rPr>
                <w:sz w:val="20"/>
                <w:szCs w:val="20"/>
                <w:lang w:val="ro-RO"/>
              </w:rPr>
              <w:t>28</w:t>
            </w:r>
            <w:r>
              <w:rPr>
                <w:sz w:val="20"/>
                <w:szCs w:val="20"/>
              </w:rPr>
              <w:t>,</w:t>
            </w:r>
            <w:r>
              <w:rPr>
                <w:sz w:val="20"/>
                <w:szCs w:val="20"/>
                <w:lang w:val="ro-RO"/>
              </w:rPr>
              <w:t>63</w:t>
            </w:r>
          </w:p>
        </w:tc>
        <w:tc>
          <w:tcPr>
            <w:tcW w:w="988"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2003" w:type="dxa"/>
            <w:gridSpan w:val="13"/>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243"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470" w:type="dxa"/>
            <w:gridSpan w:val="5"/>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505" w:type="dxa"/>
            <w:gridSpan w:val="5"/>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7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rPr>
            </w:pPr>
            <w:r>
              <w:rPr/>
            </w:r>
          </w:p>
        </w:tc>
      </w:tr>
      <w:tr>
        <w:trPr>
          <w:trHeight w:val="106" w:hRule="atLeast"/>
        </w:trPr>
        <w:tc>
          <w:tcPr>
            <w:tcW w:w="3554" w:type="dxa"/>
            <w:gridSpan w:val="6"/>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180"/>
              <w:jc w:val="left"/>
              <w:textAlignment w:val="auto"/>
              <w:rPr/>
            </w:pPr>
            <w:r>
              <w:rPr>
                <w:sz w:val="18"/>
                <w:szCs w:val="18"/>
              </w:rPr>
              <w:t>Personal auxiliar</w:t>
            </w:r>
          </w:p>
        </w:tc>
        <w:tc>
          <w:tcPr>
            <w:tcW w:w="1113"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rFonts w:ascii="Times New Roman" w:hAnsi="Times New Roman"/>
                <w:sz w:val="20"/>
                <w:szCs w:val="20"/>
                <w:lang w:val="ro-RO"/>
              </w:rPr>
            </w:pPr>
            <w:r>
              <w:rPr>
                <w:sz w:val="20"/>
                <w:szCs w:val="20"/>
                <w:lang w:val="ro-RO"/>
              </w:rPr>
            </w:r>
          </w:p>
        </w:tc>
        <w:tc>
          <w:tcPr>
            <w:tcW w:w="989"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853"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988"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2003" w:type="dxa"/>
            <w:gridSpan w:val="13"/>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243"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470" w:type="dxa"/>
            <w:gridSpan w:val="5"/>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505" w:type="dxa"/>
            <w:gridSpan w:val="5"/>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7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rPr>
            </w:pPr>
            <w:r>
              <w:rPr/>
            </w:r>
          </w:p>
        </w:tc>
      </w:tr>
      <w:tr>
        <w:trPr>
          <w:trHeight w:val="165" w:hRule="atLeast"/>
        </w:trPr>
        <w:tc>
          <w:tcPr>
            <w:tcW w:w="3554" w:type="dxa"/>
            <w:gridSpan w:val="6"/>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180"/>
              <w:jc w:val="left"/>
              <w:textAlignment w:val="auto"/>
              <w:rPr/>
            </w:pPr>
            <w:r>
              <w:rPr>
                <w:rFonts w:cs="Times New Roman CE" w:ascii="Times New Roman CE" w:hAnsi="Times New Roman CE"/>
                <w:sz w:val="18"/>
                <w:szCs w:val="18"/>
              </w:rPr>
              <w:t>Alte categorii de salariaţi</w:t>
            </w:r>
          </w:p>
        </w:tc>
        <w:tc>
          <w:tcPr>
            <w:tcW w:w="1113"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sz w:val="20"/>
                <w:szCs w:val="20"/>
              </w:rPr>
              <w:t> </w:t>
            </w:r>
            <w:r>
              <w:rPr>
                <w:sz w:val="20"/>
                <w:szCs w:val="20"/>
                <w:lang w:val="ro-RO"/>
              </w:rPr>
              <w:t>6403,58</w:t>
            </w:r>
          </w:p>
        </w:tc>
        <w:tc>
          <w:tcPr>
            <w:tcW w:w="989"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ro-RO"/>
              </w:rPr>
            </w:pPr>
            <w:r>
              <w:rPr>
                <w:sz w:val="18"/>
                <w:szCs w:val="18"/>
                <w:lang w:val="ro-RO"/>
              </w:rPr>
              <w:t>863,97</w:t>
            </w:r>
            <w:r>
              <w:rPr>
                <w:sz w:val="18"/>
                <w:szCs w:val="18"/>
              </w:rPr>
              <w:t> </w:t>
            </w:r>
          </w:p>
        </w:tc>
        <w:tc>
          <w:tcPr>
            <w:tcW w:w="853"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988"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2003" w:type="dxa"/>
            <w:gridSpan w:val="13"/>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243" w:type="dxa"/>
            <w:gridSpan w:val="3"/>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470" w:type="dxa"/>
            <w:gridSpan w:val="5"/>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505" w:type="dxa"/>
            <w:gridSpan w:val="5"/>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7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rPr>
            </w:pPr>
            <w:r>
              <w:rPr/>
            </w:r>
          </w:p>
        </w:tc>
      </w:tr>
    </w:tbl>
    <w:p>
      <w:pPr>
        <w:pStyle w:val="Normal"/>
        <w:widowControl/>
        <w:bidi w:val="0"/>
        <w:spacing w:before="0" w:after="240"/>
        <w:ind w:left="0" w:right="-2016" w:hanging="0"/>
        <w:jc w:val="center"/>
        <w:textAlignment w:val="auto"/>
        <w:rPr>
          <w:lang w:val="ro-RO"/>
        </w:rPr>
      </w:pPr>
      <w:r>
        <w:rPr>
          <w:sz w:val="22"/>
          <w:szCs w:val="22"/>
          <w:lang w:val="ro-RO"/>
        </w:rPr>
        <w:t>kmn</w:t>
      </w:r>
    </w:p>
    <w:tbl>
      <w:tblPr>
        <w:tblW w:w="10160" w:type="dxa"/>
        <w:jc w:val="left"/>
        <w:tblInd w:w="-10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3" w:type="dxa"/>
          <w:bottom w:w="0" w:type="dxa"/>
          <w:right w:w="108" w:type="dxa"/>
        </w:tblCellMar>
      </w:tblPr>
      <w:tblGrid>
        <w:gridCol w:w="967"/>
        <w:gridCol w:w="8393"/>
        <w:gridCol w:w="800"/>
      </w:tblGrid>
      <w:tr>
        <w:trPr>
          <w:trHeight w:val="300" w:hRule="atLeast"/>
        </w:trPr>
        <w:tc>
          <w:tcPr>
            <w:tcW w:w="936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bookmarkStart w:id="465" w:name="_Toc311818475"/>
            <w:bookmarkStart w:id="466" w:name="RANGE!A1"/>
            <w:bookmarkEnd w:id="465"/>
            <w:bookmarkEnd w:id="466"/>
            <w:r>
              <w:rPr>
                <w:rFonts w:cs="Times New Roman CE" w:ascii="Times New Roman CE" w:hAnsi="Times New Roman CE"/>
                <w:b/>
                <w:bCs/>
                <w:color w:val="000000"/>
                <w:sz w:val="20"/>
                <w:szCs w:val="20"/>
                <w:lang w:val="fr-FR" w:eastAsia="en-US"/>
              </w:rPr>
              <w:t xml:space="preserve">5. PERFORMANŢĂ ŞI VIZIBILITATE LA NIVEL </w:t>
            </w:r>
            <w:r>
              <w:rPr>
                <w:b/>
                <w:bCs/>
                <w:color w:val="000000"/>
                <w:sz w:val="20"/>
                <w:szCs w:val="20"/>
                <w:lang w:val="fr-FR" w:eastAsia="en-US"/>
              </w:rPr>
              <w:t xml:space="preserve"> bnb</w:t>
            </w:r>
            <w:r>
              <w:rPr>
                <w:rFonts w:cs="Times New Roman CE" w:ascii="Times New Roman CE" w:hAnsi="Times New Roman CE"/>
                <w:b/>
                <w:bCs/>
                <w:color w:val="000000"/>
                <w:sz w:val="20"/>
                <w:szCs w:val="20"/>
                <w:lang w:val="fr-FR" w:eastAsia="en-US"/>
              </w:rPr>
              <w:t>INTERNAŢIONAL</w:t>
            </w:r>
          </w:p>
        </w:tc>
        <w:tc>
          <w:tcPr>
            <w:tcW w:w="8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b/>
                <w:bCs/>
                <w:sz w:val="22"/>
                <w:szCs w:val="22"/>
              </w:rPr>
              <w:t>201</w:t>
            </w:r>
            <w:r>
              <w:rPr>
                <w:b/>
                <w:bCs/>
                <w:sz w:val="22"/>
                <w:szCs w:val="22"/>
                <w:lang w:val="ro-RO"/>
              </w:rPr>
              <w:t>6</w:t>
            </w:r>
          </w:p>
        </w:tc>
      </w:tr>
      <w:tr>
        <w:trPr>
          <w:trHeight w:val="270" w:hRule="atLeast"/>
        </w:trPr>
        <w:tc>
          <w:tcPr>
            <w:tcW w:w="9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sz w:val="20"/>
                <w:szCs w:val="20"/>
                <w:lang w:val="en-US" w:eastAsia="en-US"/>
              </w:rPr>
              <w:t> </w:t>
            </w:r>
          </w:p>
        </w:tc>
        <w:tc>
          <w:tcPr>
            <w:tcW w:w="919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CCFFCC"/>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b/>
                <w:bCs/>
                <w:sz w:val="20"/>
                <w:szCs w:val="20"/>
                <w:lang w:val="en-US" w:eastAsia="en-US"/>
              </w:rPr>
              <w:t>5.1. Publicaţii în străinătate</w:t>
            </w:r>
          </w:p>
        </w:tc>
      </w:tr>
      <w:tr>
        <w:trPr>
          <w:trHeight w:val="270" w:hRule="atLeast"/>
        </w:trPr>
        <w:tc>
          <w:tcPr>
            <w:tcW w:w="967"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en-US"/>
              </w:rPr>
            </w:pPr>
            <w:r>
              <w:rPr>
                <w:sz w:val="20"/>
                <w:szCs w:val="20"/>
                <w:lang w:val="en-US" w:eastAsia="en-US"/>
              </w:rPr>
              <w:t>5.1.1.</w:t>
            </w:r>
          </w:p>
        </w:tc>
        <w:tc>
          <w:tcPr>
            <w:tcW w:w="83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Monografii în ediţii internaţionale, incluse în una din trei sist</w:t>
            </w:r>
            <w:r>
              <w:rPr>
                <w:sz w:val="20"/>
                <w:szCs w:val="20"/>
                <w:lang w:val="en-US" w:eastAsia="en-US"/>
              </w:rPr>
              <w:t>eme de citare  Web of Science:</w:t>
            </w:r>
          </w:p>
        </w:tc>
        <w:tc>
          <w:tcPr>
            <w:tcW w:w="8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96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c>
          <w:tcPr>
            <w:tcW w:w="83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Science Citation Index Expanded (baza de date pentru ştiinţele n</w:t>
            </w:r>
            <w:r>
              <w:rPr>
                <w:sz w:val="20"/>
                <w:szCs w:val="20"/>
                <w:lang w:val="fr-FR" w:eastAsia="en-US"/>
              </w:rPr>
              <w:t>gf</w:t>
            </w:r>
            <w:r>
              <w:rPr>
                <w:rFonts w:cs="Times New Roman CE" w:ascii="Times New Roman CE" w:hAnsi="Times New Roman CE"/>
                <w:sz w:val="20"/>
                <w:szCs w:val="20"/>
                <w:lang w:val="fr-FR" w:eastAsia="en-US"/>
              </w:rPr>
              <w:t>aturale şi exacte)</w:t>
            </w:r>
          </w:p>
        </w:tc>
        <w:tc>
          <w:tcPr>
            <w:tcW w:w="8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lang w:val="fr-FR" w:eastAsia="en-US"/>
              </w:rPr>
            </w:pPr>
            <w:r>
              <w:rPr>
                <w:sz w:val="20"/>
                <w:szCs w:val="20"/>
                <w:lang w:val="fr-FR" w:eastAsia="en-US"/>
              </w:rPr>
            </w:r>
          </w:p>
        </w:tc>
      </w:tr>
      <w:tr>
        <w:trPr>
          <w:trHeight w:val="270" w:hRule="atLeast"/>
        </w:trPr>
        <w:tc>
          <w:tcPr>
            <w:tcW w:w="96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left"/>
              <w:textAlignment w:val="auto"/>
              <w:rPr>
                <w:rFonts w:ascii="Times New Roman" w:hAnsi="Times New Roman"/>
                <w:sz w:val="20"/>
                <w:szCs w:val="20"/>
                <w:lang w:val="fr-FR" w:eastAsia="en-US"/>
              </w:rPr>
            </w:pPr>
            <w:r>
              <w:rPr>
                <w:sz w:val="20"/>
                <w:szCs w:val="20"/>
                <w:lang w:val="fr-FR" w:eastAsia="en-US"/>
              </w:rPr>
            </w:r>
          </w:p>
        </w:tc>
        <w:tc>
          <w:tcPr>
            <w:tcW w:w="83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pPr>
            <w:hyperlink r:id="rId113">
              <w:r>
                <w:rPr>
                  <w:webHidden/>
                  <w:rStyle w:val="Style5"/>
                  <w:color w:val="0000FF"/>
                  <w:sz w:val="20"/>
                  <w:szCs w:val="20"/>
                  <w:u w:val="single"/>
                  <w:lang w:val="fr-FR" w:eastAsia="en-US"/>
                </w:rPr>
                <w:t>http://science.thomsonreuters.com/cgi-bin/jrnlst/jloptions.cgi?PC=ghfD</w:t>
              </w:r>
            </w:hyperlink>
          </w:p>
        </w:tc>
        <w:tc>
          <w:tcPr>
            <w:tcW w:w="8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u w:val="single"/>
                <w:lang w:val="fr-FR" w:eastAsia="en-US"/>
              </w:rPr>
            </w:pPr>
            <w:r>
              <w:rPr>
                <w:sz w:val="20"/>
                <w:szCs w:val="20"/>
                <w:u w:val="single"/>
                <w:lang w:val="fr-FR" w:eastAsia="en-US"/>
              </w:rPr>
            </w:r>
          </w:p>
        </w:tc>
      </w:tr>
      <w:tr>
        <w:trPr>
          <w:trHeight w:val="270" w:hRule="atLeast"/>
        </w:trPr>
        <w:tc>
          <w:tcPr>
            <w:tcW w:w="96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left"/>
              <w:textAlignment w:val="auto"/>
              <w:rPr>
                <w:rFonts w:ascii="Times New Roman" w:hAnsi="Times New Roman"/>
                <w:sz w:val="20"/>
                <w:szCs w:val="20"/>
                <w:lang w:val="fr-FR" w:eastAsia="en-US"/>
              </w:rPr>
            </w:pPr>
            <w:r>
              <w:rPr>
                <w:sz w:val="20"/>
                <w:szCs w:val="20"/>
                <w:lang w:val="fr-FR" w:eastAsia="en-US"/>
              </w:rPr>
            </w:r>
          </w:p>
        </w:tc>
        <w:tc>
          <w:tcPr>
            <w:tcW w:w="83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Social Sciences Citation Index (baza de date pentru ştiinţele sociale)</w:t>
            </w:r>
          </w:p>
        </w:tc>
        <w:tc>
          <w:tcPr>
            <w:tcW w:w="8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lang w:val="fr-FR" w:eastAsia="en-US"/>
              </w:rPr>
            </w:pPr>
            <w:r>
              <w:rPr>
                <w:sz w:val="20"/>
                <w:szCs w:val="20"/>
                <w:lang w:val="fr-FR" w:eastAsia="en-US"/>
              </w:rPr>
            </w:r>
          </w:p>
        </w:tc>
      </w:tr>
      <w:tr>
        <w:trPr>
          <w:trHeight w:val="270" w:hRule="atLeast"/>
        </w:trPr>
        <w:tc>
          <w:tcPr>
            <w:tcW w:w="96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left"/>
              <w:textAlignment w:val="auto"/>
              <w:rPr>
                <w:rFonts w:ascii="Times New Roman" w:hAnsi="Times New Roman"/>
                <w:sz w:val="20"/>
                <w:szCs w:val="20"/>
                <w:lang w:val="fr-FR" w:eastAsia="en-US"/>
              </w:rPr>
            </w:pPr>
            <w:r>
              <w:rPr>
                <w:sz w:val="20"/>
                <w:szCs w:val="20"/>
                <w:lang w:val="fr-FR" w:eastAsia="en-US"/>
              </w:rPr>
            </w:r>
          </w:p>
        </w:tc>
        <w:tc>
          <w:tcPr>
            <w:tcW w:w="83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pPr>
            <w:hyperlink r:id="rId114">
              <w:r>
                <w:rPr>
                  <w:webHidden/>
                  <w:rStyle w:val="Style5"/>
                  <w:sz w:val="20"/>
                  <w:szCs w:val="20"/>
                  <w:u w:val="single"/>
                  <w:lang w:val="fr-FR" w:eastAsia="en-US"/>
                </w:rPr>
                <w:t>http://science.thomsonreuters.com/cgi-bin/jrnlst/jloptions.cgi?PC=SS</w:t>
              </w:r>
            </w:hyperlink>
          </w:p>
        </w:tc>
        <w:tc>
          <w:tcPr>
            <w:tcW w:w="8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u w:val="single"/>
                <w:lang w:val="fr-FR" w:eastAsia="en-US"/>
              </w:rPr>
            </w:pPr>
            <w:r>
              <w:rPr>
                <w:sz w:val="20"/>
                <w:szCs w:val="20"/>
                <w:u w:val="single"/>
                <w:lang w:val="fr-FR" w:eastAsia="en-US"/>
              </w:rPr>
            </w:r>
          </w:p>
        </w:tc>
      </w:tr>
      <w:tr>
        <w:trPr>
          <w:trHeight w:val="270" w:hRule="atLeast"/>
        </w:trPr>
        <w:tc>
          <w:tcPr>
            <w:tcW w:w="96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left"/>
              <w:textAlignment w:val="auto"/>
              <w:rPr>
                <w:rFonts w:ascii="Times New Roman" w:hAnsi="Times New Roman"/>
                <w:sz w:val="20"/>
                <w:szCs w:val="20"/>
                <w:lang w:val="fr-FR" w:eastAsia="en-US"/>
              </w:rPr>
            </w:pPr>
            <w:r>
              <w:rPr>
                <w:sz w:val="20"/>
                <w:szCs w:val="20"/>
                <w:lang w:val="fr-FR" w:eastAsia="en-US"/>
              </w:rPr>
            </w:r>
          </w:p>
        </w:tc>
        <w:tc>
          <w:tcPr>
            <w:tcW w:w="83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Arts and Humanities Citation Index (baza de date pentru ştiinţele artei şi umaniste)</w:t>
            </w:r>
          </w:p>
        </w:tc>
        <w:tc>
          <w:tcPr>
            <w:tcW w:w="8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270" w:hRule="atLeast"/>
        </w:trPr>
        <w:tc>
          <w:tcPr>
            <w:tcW w:w="967"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c>
          <w:tcPr>
            <w:tcW w:w="83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sz w:val="20"/>
                <w:szCs w:val="20"/>
                <w:u w:val="single"/>
                <w:lang w:val="en-US" w:eastAsia="en-US"/>
              </w:rPr>
              <w:t>http://science.thomsonreuters.com/cgi-bin/jrnlst/jloptions.cgi?PC=H</w:t>
            </w:r>
          </w:p>
        </w:tc>
        <w:tc>
          <w:tcPr>
            <w:tcW w:w="8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u w:val="single"/>
                <w:lang w:val="en-US" w:eastAsia="en-US"/>
              </w:rPr>
            </w:pPr>
            <w:r>
              <w:rPr>
                <w:sz w:val="20"/>
                <w:szCs w:val="20"/>
                <w:u w:val="single"/>
                <w:lang w:val="en-US" w:eastAsia="en-US"/>
              </w:rPr>
            </w:r>
          </w:p>
        </w:tc>
      </w:tr>
      <w:tr>
        <w:trPr>
          <w:trHeight w:val="270" w:hRule="atLeast"/>
        </w:trPr>
        <w:tc>
          <w:tcPr>
            <w:tcW w:w="9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en-US"/>
              </w:rPr>
            </w:pPr>
            <w:r>
              <w:rPr>
                <w:sz w:val="20"/>
                <w:szCs w:val="20"/>
                <w:lang w:val="en-US" w:eastAsia="en-US"/>
              </w:rPr>
              <w:t>5.1.2.</w:t>
            </w:r>
          </w:p>
        </w:tc>
        <w:tc>
          <w:tcPr>
            <w:tcW w:w="83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Monografii în alte ediţii din străinătate </w:t>
            </w:r>
          </w:p>
        </w:tc>
        <w:tc>
          <w:tcPr>
            <w:tcW w:w="8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9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en-US"/>
              </w:rPr>
            </w:pPr>
            <w:r>
              <w:rPr>
                <w:sz w:val="20"/>
                <w:szCs w:val="20"/>
                <w:lang w:val="en-US" w:eastAsia="en-US"/>
              </w:rPr>
              <w:t>5.1.3.</w:t>
            </w:r>
          </w:p>
        </w:tc>
        <w:tc>
          <w:tcPr>
            <w:tcW w:w="83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Capitole în monografii şi rapoarte la invitaţie în culegeri de lucrări la conferinţe internaţionale</w:t>
            </w:r>
          </w:p>
        </w:tc>
        <w:tc>
          <w:tcPr>
            <w:tcW w:w="8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9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en-US"/>
              </w:rPr>
            </w:pPr>
            <w:r>
              <w:rPr>
                <w:sz w:val="20"/>
                <w:szCs w:val="20"/>
                <w:lang w:val="en-US" w:eastAsia="en-US"/>
              </w:rPr>
              <w:t>5.1.4.</w:t>
            </w:r>
          </w:p>
        </w:tc>
        <w:tc>
          <w:tcPr>
            <w:tcW w:w="83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Cărţi de specialitate pentru învăţământul universitar, editate în stăinătate</w:t>
            </w:r>
          </w:p>
        </w:tc>
        <w:tc>
          <w:tcPr>
            <w:tcW w:w="8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9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en-US"/>
              </w:rPr>
            </w:pPr>
            <w:r>
              <w:rPr>
                <w:sz w:val="20"/>
                <w:szCs w:val="20"/>
                <w:lang w:val="en-US" w:eastAsia="en-US"/>
              </w:rPr>
              <w:t>5.1.5.</w:t>
            </w:r>
          </w:p>
        </w:tc>
        <w:tc>
          <w:tcPr>
            <w:tcW w:w="83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sz w:val="20"/>
                <w:szCs w:val="20"/>
                <w:lang w:val="fr-FR" w:eastAsia="en-US"/>
              </w:rPr>
              <w:t>Articole în reviste cu factor de impact mai mare de 3</w:t>
            </w:r>
          </w:p>
        </w:tc>
        <w:tc>
          <w:tcPr>
            <w:tcW w:w="8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9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en-US"/>
              </w:rPr>
            </w:pPr>
            <w:r>
              <w:rPr>
                <w:sz w:val="20"/>
                <w:szCs w:val="20"/>
                <w:lang w:val="en-US" w:eastAsia="en-US"/>
              </w:rPr>
              <w:t>5.1.6.</w:t>
            </w:r>
          </w:p>
        </w:tc>
        <w:tc>
          <w:tcPr>
            <w:tcW w:w="83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sz w:val="20"/>
                <w:szCs w:val="20"/>
                <w:lang w:val="fr-FR" w:eastAsia="en-US"/>
              </w:rPr>
              <w:t>Articole în reviste cu factor de impact 1,0-2,9</w:t>
            </w:r>
          </w:p>
        </w:tc>
        <w:tc>
          <w:tcPr>
            <w:tcW w:w="8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1</w:t>
            </w:r>
          </w:p>
        </w:tc>
      </w:tr>
      <w:tr>
        <w:trPr>
          <w:trHeight w:val="270" w:hRule="atLeast"/>
        </w:trPr>
        <w:tc>
          <w:tcPr>
            <w:tcW w:w="9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en-US"/>
              </w:rPr>
            </w:pPr>
            <w:r>
              <w:rPr>
                <w:sz w:val="20"/>
                <w:szCs w:val="20"/>
                <w:lang w:val="en-US" w:eastAsia="en-US"/>
              </w:rPr>
              <w:t>5.1.7.</w:t>
            </w:r>
          </w:p>
        </w:tc>
        <w:tc>
          <w:tcPr>
            <w:tcW w:w="83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sz w:val="20"/>
                <w:szCs w:val="20"/>
                <w:lang w:val="fr-FR" w:eastAsia="en-US"/>
              </w:rPr>
              <w:t>Articole în reviste cu factor de impact 0,1-0.9</w:t>
            </w:r>
          </w:p>
        </w:tc>
        <w:tc>
          <w:tcPr>
            <w:tcW w:w="8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3</w:t>
            </w:r>
          </w:p>
        </w:tc>
      </w:tr>
      <w:tr>
        <w:trPr>
          <w:trHeight w:val="270" w:hRule="atLeast"/>
        </w:trPr>
        <w:tc>
          <w:tcPr>
            <w:tcW w:w="9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en-US"/>
              </w:rPr>
            </w:pPr>
            <w:r>
              <w:rPr>
                <w:sz w:val="20"/>
                <w:szCs w:val="20"/>
                <w:lang w:val="en-US" w:eastAsia="en-US"/>
              </w:rPr>
              <w:t>5.1.8.</w:t>
            </w:r>
          </w:p>
        </w:tc>
        <w:tc>
          <w:tcPr>
            <w:tcW w:w="83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sz w:val="20"/>
                <w:szCs w:val="20"/>
                <w:lang w:val="fr-FR" w:eastAsia="en-US"/>
              </w:rPr>
              <w:t>Articole în reviste cu factor de impact 0,01- 0,09</w:t>
            </w:r>
          </w:p>
        </w:tc>
        <w:tc>
          <w:tcPr>
            <w:tcW w:w="8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9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fr-FR"/>
              </w:rPr>
            </w:pPr>
            <w:r>
              <w:rPr>
                <w:sz w:val="20"/>
                <w:szCs w:val="20"/>
                <w:lang w:val="fr-FR" w:eastAsia="en-US"/>
              </w:rPr>
              <w:t> </w:t>
            </w:r>
          </w:p>
        </w:tc>
        <w:tc>
          <w:tcPr>
            <w:tcW w:w="83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sz w:val="20"/>
                <w:szCs w:val="20"/>
                <w:lang w:val="fr-FR" w:eastAsia="en-US"/>
              </w:rPr>
              <w:t xml:space="preserve">      </w:t>
            </w:r>
            <w:r>
              <w:rPr>
                <w:sz w:val="20"/>
                <w:szCs w:val="20"/>
                <w:lang w:val="fr-FR" w:eastAsia="en-US"/>
              </w:rPr>
              <w:t>Inclusiv articole numai cu autori autohtoni, publicate în reviste cu factor de impact</w:t>
            </w:r>
          </w:p>
        </w:tc>
        <w:tc>
          <w:tcPr>
            <w:tcW w:w="8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eastAsia="en-US"/>
              </w:rPr>
              <w:t> </w:t>
            </w:r>
            <w:r>
              <w:rPr>
                <w:sz w:val="20"/>
                <w:szCs w:val="20"/>
                <w:lang w:val="fr-FR" w:eastAsia="en-US"/>
              </w:rPr>
              <w:t>1</w:t>
            </w:r>
          </w:p>
        </w:tc>
      </w:tr>
      <w:tr>
        <w:trPr>
          <w:trHeight w:val="270" w:hRule="atLeast"/>
        </w:trPr>
        <w:tc>
          <w:tcPr>
            <w:tcW w:w="9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en-US"/>
              </w:rPr>
            </w:pPr>
            <w:r>
              <w:rPr>
                <w:sz w:val="20"/>
                <w:szCs w:val="20"/>
                <w:lang w:val="en-US" w:eastAsia="en-US"/>
              </w:rPr>
              <w:t>5.1.9.</w:t>
            </w:r>
          </w:p>
        </w:tc>
        <w:tc>
          <w:tcPr>
            <w:tcW w:w="83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sz w:val="20"/>
                <w:szCs w:val="20"/>
                <w:lang w:val="en-US" w:eastAsia="en-US"/>
              </w:rPr>
              <w:t>Articole î</w:t>
            </w:r>
            <w:r>
              <w:rPr>
                <w:rFonts w:cs="Times New Roman CE" w:ascii="Times New Roman CE" w:hAnsi="Times New Roman CE"/>
                <w:sz w:val="20"/>
                <w:szCs w:val="20"/>
                <w:lang w:val="en-US" w:eastAsia="en-US"/>
              </w:rPr>
              <w:t xml:space="preserve">n alte reviste editate în străinătate </w:t>
            </w:r>
          </w:p>
        </w:tc>
        <w:tc>
          <w:tcPr>
            <w:tcW w:w="8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 </w:t>
            </w:r>
            <w:r>
              <w:rPr>
                <w:sz w:val="20"/>
                <w:szCs w:val="20"/>
                <w:lang w:val="en-US" w:eastAsia="en-US"/>
              </w:rPr>
              <w:t>3</w:t>
            </w:r>
          </w:p>
        </w:tc>
      </w:tr>
      <w:tr>
        <w:trPr>
          <w:trHeight w:val="270" w:hRule="atLeast"/>
        </w:trPr>
        <w:tc>
          <w:tcPr>
            <w:tcW w:w="9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en-US"/>
              </w:rPr>
            </w:pPr>
            <w:r>
              <w:rPr>
                <w:sz w:val="20"/>
                <w:szCs w:val="20"/>
                <w:lang w:val="en-US" w:eastAsia="en-US"/>
              </w:rPr>
              <w:t>5.1.10.</w:t>
            </w:r>
          </w:p>
        </w:tc>
        <w:tc>
          <w:tcPr>
            <w:tcW w:w="83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sz w:val="20"/>
                <w:szCs w:val="20"/>
                <w:lang w:val="en-US" w:eastAsia="en-US"/>
              </w:rPr>
              <w:t xml:space="preserve">Articole în culegeri </w:t>
            </w:r>
          </w:p>
        </w:tc>
        <w:tc>
          <w:tcPr>
            <w:tcW w:w="8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9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en-US"/>
              </w:rPr>
            </w:pPr>
            <w:r>
              <w:rPr>
                <w:sz w:val="20"/>
                <w:szCs w:val="20"/>
                <w:lang w:val="en-US" w:eastAsia="en-US"/>
              </w:rPr>
              <w:t>5.1.11.</w:t>
            </w:r>
          </w:p>
        </w:tc>
        <w:tc>
          <w:tcPr>
            <w:tcW w:w="83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Publicaţii ştiinţifice electronice</w:t>
            </w:r>
          </w:p>
        </w:tc>
        <w:tc>
          <w:tcPr>
            <w:tcW w:w="8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r>
      <w:tr>
        <w:trPr>
          <w:trHeight w:val="270" w:hRule="atLeast"/>
        </w:trPr>
        <w:tc>
          <w:tcPr>
            <w:tcW w:w="9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en-US"/>
              </w:rPr>
            </w:pPr>
            <w:r>
              <w:rPr>
                <w:sz w:val="20"/>
                <w:szCs w:val="20"/>
                <w:lang w:val="en-US" w:eastAsia="en-US"/>
              </w:rPr>
              <w:t>5.1.12.</w:t>
            </w:r>
          </w:p>
        </w:tc>
        <w:tc>
          <w:tcPr>
            <w:tcW w:w="83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Rezumate la conferinţe ştiinţifice internaţionale</w:t>
            </w:r>
          </w:p>
        </w:tc>
        <w:tc>
          <w:tcPr>
            <w:tcW w:w="8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27</w:t>
            </w:r>
          </w:p>
        </w:tc>
      </w:tr>
      <w:tr>
        <w:trPr>
          <w:trHeight w:val="270" w:hRule="atLeast"/>
        </w:trPr>
        <w:tc>
          <w:tcPr>
            <w:tcW w:w="9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en-US"/>
              </w:rPr>
            </w:pPr>
            <w:r>
              <w:rPr>
                <w:sz w:val="20"/>
                <w:szCs w:val="20"/>
                <w:lang w:val="en-US" w:eastAsia="en-US"/>
              </w:rPr>
              <w:t>5.1.13.</w:t>
            </w:r>
          </w:p>
        </w:tc>
        <w:tc>
          <w:tcPr>
            <w:tcW w:w="83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Preprint-uri internaţionale</w:t>
            </w:r>
          </w:p>
        </w:tc>
        <w:tc>
          <w:tcPr>
            <w:tcW w:w="8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1</w:t>
            </w:r>
          </w:p>
        </w:tc>
      </w:tr>
      <w:tr>
        <w:trPr>
          <w:trHeight w:val="270" w:hRule="atLeast"/>
        </w:trPr>
        <w:tc>
          <w:tcPr>
            <w:tcW w:w="9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sz w:val="20"/>
                <w:szCs w:val="20"/>
                <w:lang w:val="en-US" w:eastAsia="en-US"/>
              </w:rPr>
              <w:t> </w:t>
            </w:r>
          </w:p>
        </w:tc>
        <w:tc>
          <w:tcPr>
            <w:tcW w:w="919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CCFFCC"/>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b/>
                <w:bCs/>
                <w:sz w:val="20"/>
                <w:szCs w:val="20"/>
                <w:lang w:val="en-US" w:eastAsia="en-US"/>
              </w:rPr>
              <w:t>5.2. Impactul internaţional al cercetărilor şi elaborărilor</w:t>
            </w:r>
          </w:p>
        </w:tc>
      </w:tr>
      <w:tr>
        <w:trPr>
          <w:trHeight w:val="270" w:hRule="atLeast"/>
        </w:trPr>
        <w:tc>
          <w:tcPr>
            <w:tcW w:w="9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5.2.1.</w:t>
            </w:r>
          </w:p>
        </w:tc>
        <w:tc>
          <w:tcPr>
            <w:tcW w:w="83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Contracte de licenţă în baza invenţiilor şi know-how </w:t>
            </w:r>
          </w:p>
        </w:tc>
        <w:tc>
          <w:tcPr>
            <w:tcW w:w="8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525" w:hRule="atLeast"/>
        </w:trPr>
        <w:tc>
          <w:tcPr>
            <w:tcW w:w="9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5.2.2.</w:t>
            </w:r>
          </w:p>
        </w:tc>
        <w:tc>
          <w:tcPr>
            <w:tcW w:w="83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Proiecte de cercetare obţinute prin competiţie de la organizaţiile din străinătate, cu un volum de finanţare &gt;100 mii EU</w:t>
            </w:r>
          </w:p>
        </w:tc>
        <w:tc>
          <w:tcPr>
            <w:tcW w:w="8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1</w:t>
            </w:r>
          </w:p>
        </w:tc>
      </w:tr>
      <w:tr>
        <w:trPr>
          <w:trHeight w:val="525" w:hRule="atLeast"/>
        </w:trPr>
        <w:tc>
          <w:tcPr>
            <w:tcW w:w="9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5.2.3.</w:t>
            </w:r>
          </w:p>
        </w:tc>
        <w:tc>
          <w:tcPr>
            <w:tcW w:w="83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Proiecte de cercetare obţinute prin competiţie de la organizaţiile din străinătate, cu un volum de finanţare &lt;100 mii EU</w:t>
            </w:r>
          </w:p>
        </w:tc>
        <w:tc>
          <w:tcPr>
            <w:tcW w:w="8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9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5.2.4.</w:t>
            </w:r>
          </w:p>
        </w:tc>
        <w:tc>
          <w:tcPr>
            <w:tcW w:w="83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Premii din străinătate pentru  rezultatele cercetării</w:t>
            </w:r>
          </w:p>
        </w:tc>
        <w:tc>
          <w:tcPr>
            <w:tcW w:w="8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9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5.2.5.</w:t>
            </w:r>
          </w:p>
        </w:tc>
        <w:tc>
          <w:tcPr>
            <w:tcW w:w="83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Brevete obţinute în străinătate</w:t>
            </w:r>
          </w:p>
        </w:tc>
        <w:tc>
          <w:tcPr>
            <w:tcW w:w="8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9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5.2.6.</w:t>
            </w:r>
          </w:p>
        </w:tc>
        <w:tc>
          <w:tcPr>
            <w:tcW w:w="83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Rapoarte (comunicări orale) la invitaţie la conferinţe internaţionale</w:t>
            </w:r>
          </w:p>
        </w:tc>
        <w:tc>
          <w:tcPr>
            <w:tcW w:w="8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rFonts w:ascii="Times New Roman" w:hAnsi="Times New Roman"/>
                <w:sz w:val="20"/>
                <w:szCs w:val="20"/>
                <w:lang w:val="fr-FR" w:eastAsia="en-US"/>
              </w:rPr>
            </w:pPr>
            <w:r>
              <w:rPr>
                <w:sz w:val="20"/>
                <w:szCs w:val="20"/>
                <w:lang w:val="fr-FR" w:eastAsia="en-US"/>
              </w:rPr>
            </w:r>
          </w:p>
        </w:tc>
      </w:tr>
      <w:tr>
        <w:trPr>
          <w:trHeight w:val="270" w:hRule="atLeast"/>
        </w:trPr>
        <w:tc>
          <w:tcPr>
            <w:tcW w:w="9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5.2.7.</w:t>
            </w:r>
          </w:p>
        </w:tc>
        <w:tc>
          <w:tcPr>
            <w:tcW w:w="83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Menţiuni ale publicaţiilor şi rezultatelor cercetării în ediţii electronice internaţionale</w:t>
            </w:r>
          </w:p>
        </w:tc>
        <w:tc>
          <w:tcPr>
            <w:tcW w:w="8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9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5.2.8.</w:t>
            </w:r>
          </w:p>
        </w:tc>
        <w:tc>
          <w:tcPr>
            <w:tcW w:w="83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sz w:val="20"/>
                <w:szCs w:val="20"/>
                <w:lang w:val="fr-FR" w:eastAsia="en-US"/>
              </w:rPr>
              <w:t xml:space="preserve">Medalii </w:t>
            </w:r>
            <w:r>
              <w:rPr>
                <w:b/>
                <w:bCs/>
                <w:sz w:val="20"/>
                <w:szCs w:val="20"/>
                <w:lang w:val="fr-FR" w:eastAsia="en-US"/>
              </w:rPr>
              <w:t>de aur</w:t>
            </w:r>
            <w:r>
              <w:rPr>
                <w:rFonts w:cs="Times New Roman CE" w:ascii="Times New Roman CE" w:hAnsi="Times New Roman CE"/>
                <w:sz w:val="20"/>
                <w:szCs w:val="20"/>
                <w:lang w:val="fr-FR" w:eastAsia="en-US"/>
              </w:rPr>
              <w:t xml:space="preserve"> obţinute la expoziţii şi saloane internaţionale </w:t>
            </w:r>
          </w:p>
        </w:tc>
        <w:tc>
          <w:tcPr>
            <w:tcW w:w="8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9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5.2.9.</w:t>
            </w:r>
          </w:p>
        </w:tc>
        <w:tc>
          <w:tcPr>
            <w:tcW w:w="83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sz w:val="20"/>
                <w:szCs w:val="20"/>
                <w:lang w:val="fr-FR" w:eastAsia="en-US"/>
              </w:rPr>
              <w:t xml:space="preserve">Medalii </w:t>
            </w:r>
            <w:r>
              <w:rPr>
                <w:b/>
                <w:bCs/>
                <w:sz w:val="20"/>
                <w:szCs w:val="20"/>
                <w:lang w:val="fr-FR" w:eastAsia="en-US"/>
              </w:rPr>
              <w:t>de argint</w:t>
            </w:r>
            <w:r>
              <w:rPr>
                <w:rFonts w:cs="Times New Roman CE" w:ascii="Times New Roman CE" w:hAnsi="Times New Roman CE"/>
                <w:sz w:val="20"/>
                <w:szCs w:val="20"/>
                <w:lang w:val="fr-FR" w:eastAsia="en-US"/>
              </w:rPr>
              <w:t xml:space="preserve"> obţinute la expoziţii şi saloane internaţionale </w:t>
            </w:r>
          </w:p>
        </w:tc>
        <w:tc>
          <w:tcPr>
            <w:tcW w:w="8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9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5.2.10.</w:t>
            </w:r>
          </w:p>
        </w:tc>
        <w:tc>
          <w:tcPr>
            <w:tcW w:w="83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sz w:val="20"/>
                <w:szCs w:val="20"/>
                <w:lang w:val="fr-FR" w:eastAsia="en-US"/>
              </w:rPr>
              <w:t xml:space="preserve">Medalii </w:t>
            </w:r>
            <w:r>
              <w:rPr>
                <w:b/>
                <w:bCs/>
                <w:sz w:val="20"/>
                <w:szCs w:val="20"/>
                <w:lang w:val="fr-FR" w:eastAsia="en-US"/>
              </w:rPr>
              <w:t>de bronz</w:t>
            </w:r>
            <w:r>
              <w:rPr>
                <w:rFonts w:cs="Times New Roman CE" w:ascii="Times New Roman CE" w:hAnsi="Times New Roman CE"/>
                <w:sz w:val="20"/>
                <w:szCs w:val="20"/>
                <w:lang w:val="fr-FR" w:eastAsia="en-US"/>
              </w:rPr>
              <w:t xml:space="preserve"> obţinute la expoziţii şi saloane internaţionale </w:t>
            </w:r>
          </w:p>
        </w:tc>
        <w:tc>
          <w:tcPr>
            <w:tcW w:w="8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9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5.2.11.</w:t>
            </w:r>
          </w:p>
        </w:tc>
        <w:tc>
          <w:tcPr>
            <w:tcW w:w="83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Diplome obţinute la expoziţii internaţionale</w:t>
            </w:r>
          </w:p>
        </w:tc>
        <w:tc>
          <w:tcPr>
            <w:tcW w:w="8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9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5.2.12.</w:t>
            </w:r>
          </w:p>
        </w:tc>
        <w:tc>
          <w:tcPr>
            <w:tcW w:w="83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Alte distincţii de apreciere a rezultatelor cercetării şi elaborărilor</w:t>
            </w:r>
          </w:p>
        </w:tc>
        <w:tc>
          <w:tcPr>
            <w:tcW w:w="8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9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c>
          <w:tcPr>
            <w:tcW w:w="919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CCFFCC"/>
            <w:tcMar>
              <w:left w:w="103" w:type="dxa"/>
            </w:tcMar>
            <w:vAlign w:val="bottom"/>
          </w:tcPr>
          <w:p>
            <w:pPr>
              <w:pStyle w:val="Normal"/>
              <w:widowControl/>
              <w:bidi w:val="0"/>
              <w:ind w:left="0" w:right="0" w:hanging="0"/>
              <w:jc w:val="left"/>
              <w:textAlignment w:val="auto"/>
              <w:rPr>
                <w:lang w:val="en-US"/>
              </w:rPr>
            </w:pPr>
            <w:r>
              <w:rPr>
                <w:b/>
                <w:bCs/>
                <w:sz w:val="20"/>
                <w:szCs w:val="20"/>
                <w:lang w:val="en-US" w:eastAsia="en-US"/>
              </w:rPr>
              <w:t>5.3. Apreciere i</w:t>
            </w:r>
            <w:r>
              <w:rPr>
                <w:rFonts w:cs="Times New Roman CE" w:ascii="Times New Roman CE" w:hAnsi="Times New Roman CE"/>
                <w:b/>
                <w:bCs/>
                <w:sz w:val="20"/>
                <w:szCs w:val="20"/>
                <w:lang w:val="en-US" w:eastAsia="en-US"/>
              </w:rPr>
              <w:t>nternaţională şi antrenare în expertiza internaţională</w:t>
            </w:r>
          </w:p>
        </w:tc>
      </w:tr>
      <w:tr>
        <w:trPr>
          <w:trHeight w:val="270" w:hRule="atLeast"/>
        </w:trPr>
        <w:tc>
          <w:tcPr>
            <w:tcW w:w="9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5.3.1.</w:t>
            </w:r>
          </w:p>
        </w:tc>
        <w:tc>
          <w:tcPr>
            <w:tcW w:w="83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Membru de onoare al academiilor de ştiinţe din străinătate ales în perioada evaluată</w:t>
            </w:r>
          </w:p>
        </w:tc>
        <w:tc>
          <w:tcPr>
            <w:tcW w:w="8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9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5.3.2.</w:t>
            </w:r>
          </w:p>
        </w:tc>
        <w:tc>
          <w:tcPr>
            <w:tcW w:w="83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Membru de onoare al societăţilor ştiinţifice din străinătate ales în perioada evaluată</w:t>
            </w:r>
          </w:p>
        </w:tc>
        <w:tc>
          <w:tcPr>
            <w:tcW w:w="8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9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5.3.3.</w:t>
            </w:r>
          </w:p>
        </w:tc>
        <w:tc>
          <w:tcPr>
            <w:tcW w:w="83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sz w:val="20"/>
                <w:szCs w:val="20"/>
                <w:lang w:val="en-US" w:eastAsia="en-US"/>
              </w:rPr>
              <w:t>R</w:t>
            </w:r>
            <w:r>
              <w:rPr>
                <w:rFonts w:cs="Times New Roman CE" w:ascii="Times New Roman CE" w:hAnsi="Times New Roman CE"/>
                <w:sz w:val="20"/>
                <w:szCs w:val="20"/>
                <w:lang w:val="en-US" w:eastAsia="en-US"/>
              </w:rPr>
              <w:t>edactor-şef al unei reviste de specialitate cotate ISI</w:t>
            </w:r>
          </w:p>
        </w:tc>
        <w:tc>
          <w:tcPr>
            <w:tcW w:w="8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9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5.3.4.</w:t>
            </w:r>
          </w:p>
        </w:tc>
        <w:tc>
          <w:tcPr>
            <w:tcW w:w="83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 xml:space="preserve">Membru al colegiului de redacţie al revistelor de specialitate consacrate de peste hotare </w:t>
            </w:r>
          </w:p>
        </w:tc>
        <w:tc>
          <w:tcPr>
            <w:tcW w:w="8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1</w:t>
            </w:r>
          </w:p>
        </w:tc>
      </w:tr>
      <w:tr>
        <w:trPr>
          <w:trHeight w:val="270" w:hRule="atLeast"/>
        </w:trPr>
        <w:tc>
          <w:tcPr>
            <w:tcW w:w="9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5.3.5.</w:t>
            </w:r>
          </w:p>
        </w:tc>
        <w:tc>
          <w:tcPr>
            <w:tcW w:w="83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Preşedinte al Comitetului de program al manifestărilor ştiinţifici din străinătate</w:t>
            </w:r>
          </w:p>
        </w:tc>
        <w:tc>
          <w:tcPr>
            <w:tcW w:w="8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9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5.3.6.</w:t>
            </w:r>
          </w:p>
        </w:tc>
        <w:tc>
          <w:tcPr>
            <w:tcW w:w="83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 xml:space="preserve">Copreşedinte al Comitetului de program al manifestărilor ştiinţifici din străinătate </w:t>
            </w:r>
          </w:p>
        </w:tc>
        <w:tc>
          <w:tcPr>
            <w:tcW w:w="8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9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5.3.7.</w:t>
            </w:r>
          </w:p>
        </w:tc>
        <w:tc>
          <w:tcPr>
            <w:tcW w:w="83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Expert al proiectelor şi a altor activităţi  internaţionale </w:t>
            </w:r>
          </w:p>
        </w:tc>
        <w:tc>
          <w:tcPr>
            <w:tcW w:w="8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9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5.3.8.</w:t>
            </w:r>
          </w:p>
        </w:tc>
        <w:tc>
          <w:tcPr>
            <w:tcW w:w="83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Membru în Comisiile pentru decernarea premiilor relevante din străinătate</w:t>
            </w:r>
          </w:p>
        </w:tc>
        <w:tc>
          <w:tcPr>
            <w:tcW w:w="8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9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5.3.9.</w:t>
            </w:r>
          </w:p>
        </w:tc>
        <w:tc>
          <w:tcPr>
            <w:tcW w:w="83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sz w:val="20"/>
                <w:szCs w:val="20"/>
                <w:lang w:val="en-US" w:eastAsia="en-US"/>
              </w:rPr>
              <w:t>Re</w:t>
            </w:r>
            <w:r>
              <w:rPr>
                <w:rFonts w:cs="Times New Roman CE" w:ascii="Times New Roman CE" w:hAnsi="Times New Roman CE"/>
                <w:sz w:val="20"/>
                <w:szCs w:val="20"/>
                <w:lang w:val="en-US" w:eastAsia="en-US"/>
              </w:rPr>
              <w:t>ferent ştiinţific al revistei cotate ISI;</w:t>
            </w:r>
          </w:p>
        </w:tc>
        <w:tc>
          <w:tcPr>
            <w:tcW w:w="8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9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5.3.10.</w:t>
            </w:r>
          </w:p>
        </w:tc>
        <w:tc>
          <w:tcPr>
            <w:tcW w:w="83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Referent la susţinerea în străinătate a tezei de doctor</w:t>
            </w:r>
          </w:p>
        </w:tc>
        <w:tc>
          <w:tcPr>
            <w:tcW w:w="8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eastAsia="en-US"/>
              </w:rPr>
              <w:t> </w:t>
            </w:r>
            <w:r>
              <w:rPr>
                <w:sz w:val="20"/>
                <w:szCs w:val="20"/>
                <w:lang w:val="fr-FR" w:eastAsia="en-US"/>
              </w:rPr>
              <w:t>1</w:t>
            </w:r>
          </w:p>
        </w:tc>
      </w:tr>
      <w:tr>
        <w:trPr>
          <w:trHeight w:val="270" w:hRule="atLeast"/>
        </w:trPr>
        <w:tc>
          <w:tcPr>
            <w:tcW w:w="9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5.3.11.</w:t>
            </w:r>
          </w:p>
        </w:tc>
        <w:tc>
          <w:tcPr>
            <w:tcW w:w="83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Profesor invitat în instituţii universitare consacrate din străinătate</w:t>
            </w:r>
          </w:p>
        </w:tc>
        <w:tc>
          <w:tcPr>
            <w:tcW w:w="8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9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5.3.12.</w:t>
            </w:r>
          </w:p>
        </w:tc>
        <w:tc>
          <w:tcPr>
            <w:tcW w:w="83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Cercetător invitat pentru activitatea ştiinţifică </w:t>
            </w:r>
          </w:p>
        </w:tc>
        <w:tc>
          <w:tcPr>
            <w:tcW w:w="8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1</w:t>
            </w:r>
          </w:p>
        </w:tc>
      </w:tr>
      <w:tr>
        <w:trPr>
          <w:trHeight w:val="270" w:hRule="atLeast"/>
        </w:trPr>
        <w:tc>
          <w:tcPr>
            <w:tcW w:w="9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sz w:val="20"/>
                <w:szCs w:val="20"/>
                <w:lang w:val="en-US" w:eastAsia="en-US"/>
              </w:rPr>
              <w:t>5.3.13.</w:t>
            </w:r>
          </w:p>
        </w:tc>
        <w:tc>
          <w:tcPr>
            <w:tcW w:w="839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sz w:val="20"/>
                <w:szCs w:val="20"/>
                <w:lang w:val="en-US" w:eastAsia="en-US"/>
              </w:rPr>
              <w:t>Stagiar, doctorand sau postdoctorand</w:t>
            </w:r>
          </w:p>
        </w:tc>
        <w:tc>
          <w:tcPr>
            <w:tcW w:w="80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r>
    </w:tbl>
    <w:p>
      <w:pPr>
        <w:pStyle w:val="Normal"/>
        <w:widowControl/>
        <w:bidi w:val="0"/>
        <w:ind w:left="0" w:right="0" w:hanging="0"/>
        <w:jc w:val="left"/>
        <w:textAlignment w:val="auto"/>
        <w:rPr>
          <w:rFonts w:ascii="Times New Roman" w:hAnsi="Times New Roman"/>
          <w:lang w:val="ro-MD" w:eastAsia="en-US"/>
        </w:rPr>
      </w:pPr>
      <w:bookmarkStart w:id="467" w:name="RANGE!A1:F49"/>
      <w:bookmarkStart w:id="468" w:name="_Toc311820818"/>
      <w:bookmarkStart w:id="469" w:name="_Toc311820494"/>
      <w:bookmarkStart w:id="470" w:name="_Toc311820014"/>
      <w:bookmarkStart w:id="471" w:name="_Toc311819745"/>
      <w:bookmarkStart w:id="472" w:name="_Toc311818807"/>
      <w:bookmarkStart w:id="473" w:name="RANGE!A1:F49"/>
      <w:bookmarkStart w:id="474" w:name="_Toc311820818"/>
      <w:bookmarkStart w:id="475" w:name="_Toc311820494"/>
      <w:bookmarkStart w:id="476" w:name="_Toc311820014"/>
      <w:bookmarkStart w:id="477" w:name="_Toc311819745"/>
      <w:bookmarkStart w:id="478" w:name="_Toc311818807"/>
      <w:bookmarkEnd w:id="473"/>
      <w:bookmarkEnd w:id="474"/>
      <w:bookmarkEnd w:id="475"/>
      <w:bookmarkEnd w:id="476"/>
      <w:bookmarkEnd w:id="477"/>
      <w:bookmarkEnd w:id="478"/>
      <w:r>
        <w:rPr>
          <w:lang w:val="ro-MD" w:eastAsia="en-US"/>
        </w:rPr>
      </w:r>
    </w:p>
    <w:tbl>
      <w:tblPr>
        <w:tblW w:w="9889" w:type="dxa"/>
        <w:jc w:val="left"/>
        <w:tblInd w:w="-10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3" w:type="dxa"/>
          <w:bottom w:w="0" w:type="dxa"/>
          <w:right w:w="108" w:type="dxa"/>
        </w:tblCellMar>
      </w:tblPr>
      <w:tblGrid>
        <w:gridCol w:w="777"/>
        <w:gridCol w:w="8262"/>
        <w:gridCol w:w="850"/>
      </w:tblGrid>
      <w:tr>
        <w:trPr>
          <w:trHeight w:val="270" w:hRule="atLeast"/>
        </w:trPr>
        <w:tc>
          <w:tcPr>
            <w:tcW w:w="9039"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ro-MD"/>
              </w:rPr>
            </w:pPr>
            <w:bookmarkStart w:id="479" w:name="RANGE!A1:F49"/>
            <w:bookmarkStart w:id="480" w:name="_Toc311820818"/>
            <w:bookmarkStart w:id="481" w:name="_Toc311820494"/>
            <w:bookmarkStart w:id="482" w:name="_Toc311820014"/>
            <w:bookmarkStart w:id="483" w:name="_Toc311819745"/>
            <w:bookmarkStart w:id="484" w:name="_Toc311818807"/>
            <w:bookmarkEnd w:id="479"/>
            <w:bookmarkEnd w:id="480"/>
            <w:bookmarkEnd w:id="481"/>
            <w:bookmarkEnd w:id="482"/>
            <w:bookmarkEnd w:id="483"/>
            <w:bookmarkEnd w:id="484"/>
            <w:r>
              <w:rPr>
                <w:rFonts w:cs="Times New Roman CE" w:ascii="Times New Roman CE" w:hAnsi="Times New Roman CE"/>
                <w:b/>
                <w:bCs/>
                <w:sz w:val="20"/>
                <w:szCs w:val="20"/>
                <w:lang w:val="ro-MD" w:eastAsia="en-US"/>
              </w:rPr>
              <w:t xml:space="preserve">6. CONTRIBUŢIE ŞTIINŢIFICĂ ŞI RECUNOAŞTERE NAŢIONALĂ </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b/>
                <w:bCs/>
                <w:sz w:val="22"/>
                <w:szCs w:val="22"/>
              </w:rPr>
              <w:t>201</w:t>
            </w:r>
            <w:r>
              <w:rPr>
                <w:b/>
                <w:bCs/>
                <w:sz w:val="22"/>
                <w:szCs w:val="22"/>
                <w:lang w:val="ro-RO"/>
              </w:rPr>
              <w:t>6</w:t>
            </w:r>
          </w:p>
        </w:tc>
      </w:tr>
      <w:tr>
        <w:trPr>
          <w:trHeight w:val="270"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 </w:t>
            </w:r>
          </w:p>
        </w:tc>
        <w:tc>
          <w:tcPr>
            <w:tcW w:w="911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CCFFCC"/>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b/>
                <w:bCs/>
                <w:sz w:val="20"/>
                <w:szCs w:val="20"/>
                <w:lang w:val="en-US" w:eastAsia="en-US"/>
              </w:rPr>
              <w:t>6.1. Publicaţii în ţară</w:t>
            </w:r>
          </w:p>
        </w:tc>
      </w:tr>
      <w:tr>
        <w:trPr>
          <w:trHeight w:val="150"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6.1.1.</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sz w:val="20"/>
                <w:szCs w:val="20"/>
                <w:lang w:val="en-US" w:eastAsia="en-US"/>
              </w:rPr>
              <w:t>Monografii</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182"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6.1.2.</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sz w:val="20"/>
                <w:szCs w:val="20"/>
                <w:lang w:val="en-US" w:eastAsia="en-US"/>
              </w:rPr>
              <w:t xml:space="preserve">Capitole în monografii </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85"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6.1.3.</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Articole în reviste naţionale, categoria A</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2</w:t>
            </w:r>
          </w:p>
        </w:tc>
      </w:tr>
      <w:tr>
        <w:trPr>
          <w:trHeight w:val="131"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6.1.4.</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sz w:val="20"/>
                <w:szCs w:val="20"/>
                <w:lang w:val="fr-FR" w:eastAsia="en-US"/>
              </w:rPr>
              <w:t>Artic</w:t>
            </w:r>
            <w:r>
              <w:rPr>
                <w:rFonts w:cs="Times New Roman CE" w:ascii="Times New Roman CE" w:hAnsi="Times New Roman CE"/>
                <w:sz w:val="20"/>
                <w:szCs w:val="20"/>
                <w:lang w:val="fr-FR" w:eastAsia="en-US"/>
              </w:rPr>
              <w:t>ole în reviste naţionale, categoria B</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178"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6.1.5.</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Articole în reviste naţionale, categoria C</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23"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eastAsia="en-US"/>
              </w:rPr>
              <w:t> </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 xml:space="preserve">   </w:t>
            </w:r>
            <w:r>
              <w:rPr>
                <w:rFonts w:cs="Times New Roman CE" w:ascii="Times New Roman CE" w:hAnsi="Times New Roman CE"/>
                <w:sz w:val="20"/>
                <w:szCs w:val="20"/>
                <w:lang w:val="fr-FR" w:eastAsia="en-US"/>
              </w:rPr>
              <w:t>inclusiv articole în reviste naţionale (A, B, C) cu autori de peste hotare</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127"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6.1.6.</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sz w:val="20"/>
                <w:szCs w:val="20"/>
                <w:lang w:val="en-US" w:eastAsia="en-US"/>
              </w:rPr>
              <w:t>Articole în culegeri</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1 </w:t>
            </w:r>
          </w:p>
        </w:tc>
      </w:tr>
      <w:tr>
        <w:trPr>
          <w:trHeight w:val="159"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6.1.7.</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Publicaţii ştiinţifice electronice</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05"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6.1.8.</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Rezumate la conferinţe</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r>
      <w:tr>
        <w:trPr>
          <w:trHeight w:val="109"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6.1.9.</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Preprint-uri naţionale</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155"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6.1.10.</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Alte publicaţii ştiinţifice (de indicat)</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70"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eastAsia="en-US"/>
              </w:rPr>
              <w:t> </w:t>
            </w:r>
          </w:p>
        </w:tc>
        <w:tc>
          <w:tcPr>
            <w:tcW w:w="911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CCFFCC"/>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b/>
                <w:bCs/>
                <w:sz w:val="20"/>
                <w:szCs w:val="20"/>
                <w:lang w:val="en-US" w:eastAsia="en-US"/>
              </w:rPr>
              <w:t>6.2. Impactul şi relevanţa ştiinţifică</w:t>
            </w:r>
          </w:p>
        </w:tc>
      </w:tr>
      <w:tr>
        <w:trPr>
          <w:trHeight w:val="247"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6.2.1.</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Premiul National, obţinut în perioada evaluată</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109"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6.2.2.</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sz w:val="20"/>
                <w:szCs w:val="20"/>
                <w:lang w:val="fr-FR" w:eastAsia="en-US"/>
              </w:rPr>
              <w:t>Premiile Savantul anului, Tinarul Savant al anului</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155"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6.2.3.</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Premiile Academiei de Ştiinţe a Moldovei, obţinute în perioada evaluată </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01"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6.2.4.</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Alte premii naţionale obţinute în perioada evaluată</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47"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6.2.5.</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Alte distincţii de apreciere a rezultatelor cercetărilor ştiinţifice</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2</w:t>
            </w:r>
          </w:p>
        </w:tc>
      </w:tr>
      <w:tr>
        <w:trPr>
          <w:trHeight w:val="123"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6.2.6.</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Menţiuni ale rezultatelor în presă şi ediţii electronice</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170"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6.2.7.</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Rapoarte, comunicari şi lecţii la invitaţie la conferinţe naţionale, seminare, cursuri de perfecţionare</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73"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6.2.8.</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sz w:val="20"/>
                <w:szCs w:val="20"/>
                <w:lang w:val="fr-FR" w:eastAsia="en-US"/>
              </w:rPr>
              <w:t xml:space="preserve">Medalii </w:t>
            </w:r>
            <w:r>
              <w:rPr>
                <w:b/>
                <w:bCs/>
                <w:sz w:val="20"/>
                <w:szCs w:val="20"/>
                <w:lang w:val="fr-FR" w:eastAsia="en-US"/>
              </w:rPr>
              <w:t xml:space="preserve">de aur </w:t>
            </w:r>
            <w:r>
              <w:rPr>
                <w:rFonts w:cs="Times New Roman CE" w:ascii="Times New Roman CE" w:hAnsi="Times New Roman CE"/>
                <w:sz w:val="20"/>
                <w:szCs w:val="20"/>
                <w:lang w:val="fr-FR" w:eastAsia="en-US"/>
              </w:rPr>
              <w:t>obţinute la expoziţii naţionale</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119"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6.2.9.</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sz w:val="20"/>
                <w:szCs w:val="20"/>
                <w:lang w:val="fr-FR" w:eastAsia="en-US"/>
              </w:rPr>
              <w:t xml:space="preserve">Medalii </w:t>
            </w:r>
            <w:r>
              <w:rPr>
                <w:b/>
                <w:bCs/>
                <w:sz w:val="20"/>
                <w:szCs w:val="20"/>
                <w:lang w:val="fr-FR" w:eastAsia="en-US"/>
              </w:rPr>
              <w:t>de argint</w:t>
            </w:r>
            <w:r>
              <w:rPr>
                <w:rFonts w:cs="Times New Roman CE" w:ascii="Times New Roman CE" w:hAnsi="Times New Roman CE"/>
                <w:sz w:val="20"/>
                <w:szCs w:val="20"/>
                <w:lang w:val="fr-FR" w:eastAsia="en-US"/>
              </w:rPr>
              <w:t xml:space="preserve"> obţinute la expoziţii naţionale</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165"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6.2.10.</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sz w:val="20"/>
                <w:szCs w:val="20"/>
                <w:lang w:val="fr-FR" w:eastAsia="en-US"/>
              </w:rPr>
              <w:t xml:space="preserve">Medalii </w:t>
            </w:r>
            <w:r>
              <w:rPr>
                <w:b/>
                <w:bCs/>
                <w:sz w:val="20"/>
                <w:szCs w:val="20"/>
                <w:lang w:val="fr-FR" w:eastAsia="en-US"/>
              </w:rPr>
              <w:t>de bronz</w:t>
            </w:r>
            <w:r>
              <w:rPr>
                <w:rFonts w:cs="Times New Roman CE" w:ascii="Times New Roman CE" w:hAnsi="Times New Roman CE"/>
                <w:sz w:val="20"/>
                <w:szCs w:val="20"/>
                <w:lang w:val="fr-FR" w:eastAsia="en-US"/>
              </w:rPr>
              <w:t xml:space="preserve"> obţinute la expoziţii naţionale</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11"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6.2.11.</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Diplome obţinute la expoziţii naţionale</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101"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eastAsia="en-US"/>
              </w:rPr>
              <w:t> </w:t>
            </w:r>
          </w:p>
        </w:tc>
        <w:tc>
          <w:tcPr>
            <w:tcW w:w="9112"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CCFFCC"/>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b/>
                <w:bCs/>
                <w:sz w:val="20"/>
                <w:szCs w:val="20"/>
                <w:lang w:val="fr-FR" w:eastAsia="en-US"/>
              </w:rPr>
              <w:t>6.3. Apreciere naţională şi antrenare în activităţi conexe cercetării</w:t>
            </w:r>
          </w:p>
        </w:tc>
      </w:tr>
      <w:tr>
        <w:trPr>
          <w:trHeight w:val="147"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6.3.1.</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Academician A.Ş.M ales în perioada evaluată</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194"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6.3.2.</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Membru corespondent al A.Ş.M. ales în perioada evaluată</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97"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6.3.3.</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Doctor Honoris Cauza conferit în perioada evaluată</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r>
      <w:tr>
        <w:trPr>
          <w:trHeight w:val="143"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6.3.4.</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Doctor habilitat conferit în perioada evaluată</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189"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6.3.5.</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Doctor conferit în perioada evaluată</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 </w:t>
            </w:r>
            <w:r>
              <w:rPr>
                <w:sz w:val="20"/>
                <w:szCs w:val="20"/>
                <w:lang w:val="en-US" w:eastAsia="en-US"/>
              </w:rPr>
              <w:t>1</w:t>
            </w:r>
          </w:p>
        </w:tc>
      </w:tr>
      <w:tr>
        <w:trPr>
          <w:trHeight w:val="79"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6.3.6.</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sz w:val="20"/>
                <w:szCs w:val="20"/>
                <w:lang w:val="en-US" w:eastAsia="en-US"/>
              </w:rPr>
              <w:t>Profeso</w:t>
            </w:r>
            <w:r>
              <w:rPr>
                <w:rFonts w:cs="Times New Roman CE" w:ascii="Times New Roman CE" w:hAnsi="Times New Roman CE"/>
                <w:sz w:val="20"/>
                <w:szCs w:val="20"/>
                <w:lang w:val="en-US" w:eastAsia="en-US"/>
              </w:rPr>
              <w:t>r universitar (profesor cercetător) conferit în perioada evaluată</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125"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6.3.7.</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Conferenţiar universitar (conferenţiar cercetător) conferit în perioada evaluată</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171"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6.3.8.</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Redactor-şef al unei reviste de specialitate cotate CSŞDT şi CNAA </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18"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6.3.9.</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sz w:val="20"/>
                <w:szCs w:val="20"/>
                <w:lang w:val="fr-FR" w:eastAsia="en-US"/>
              </w:rPr>
              <w:t>Membru al co</w:t>
            </w:r>
            <w:r>
              <w:rPr>
                <w:rFonts w:cs="Times New Roman CE" w:ascii="Times New Roman CE" w:hAnsi="Times New Roman CE"/>
                <w:sz w:val="20"/>
                <w:szCs w:val="20"/>
                <w:lang w:val="fr-FR" w:eastAsia="en-US"/>
              </w:rPr>
              <w:t xml:space="preserve">legiului de redacţie al revistelor cotate CSŞDT şi CNAA </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3</w:t>
            </w:r>
          </w:p>
        </w:tc>
      </w:tr>
      <w:tr>
        <w:trPr>
          <w:trHeight w:val="121"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6.3.10.</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Conducător al Programelor de Stat </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70"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6.3.11.</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Conducător al proiectului de cercetări fundamentale/aplicative</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1/0</w:t>
            </w:r>
          </w:p>
        </w:tc>
      </w:tr>
      <w:tr>
        <w:trPr>
          <w:trHeight w:val="199"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6.3.12.</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 xml:space="preserve">Preşedinte al Comitetului de program al manifestărilor ştiinţifici din naţionale </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103"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6.3.13.</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Membru al Comitetului de program al manifestărilor ştiinţifici din naţionale</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rFonts w:ascii="Times New Roman" w:hAnsi="Times New Roman"/>
                <w:sz w:val="20"/>
                <w:szCs w:val="20"/>
                <w:lang w:val="fr-FR" w:eastAsia="en-US"/>
              </w:rPr>
            </w:pPr>
            <w:r>
              <w:rPr>
                <w:sz w:val="20"/>
                <w:szCs w:val="20"/>
                <w:lang w:val="fr-FR" w:eastAsia="en-US"/>
              </w:rPr>
            </w:r>
          </w:p>
        </w:tc>
      </w:tr>
      <w:tr>
        <w:trPr>
          <w:trHeight w:val="149"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6.3.14.</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Expert al CSŞDT sau CNAA</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r>
      <w:tr>
        <w:trPr>
          <w:trHeight w:val="195"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6.3.15.</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Expert al altor proiecte şi activităţi la nivel naţional</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42"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6.3.16.</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Preşedinte al Comisiei de acreditare a organizaţiei</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131"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6.3.17.</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sz w:val="20"/>
                <w:szCs w:val="20"/>
                <w:lang w:val="en-US" w:eastAsia="en-US"/>
              </w:rPr>
              <w:t>Membru al Comisiei de acreditare a organizatiei</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70"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6.3.18.</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sz w:val="20"/>
                <w:szCs w:val="20"/>
                <w:lang w:val="en-US" w:eastAsia="en-US"/>
              </w:rPr>
              <w:t>Membru în Comisiile pentru decernarea premiilor de Stat a Republicii Moldova</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23"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6.3.19.</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Membru în Comisiile pentru decernarea premiilor A.Ş.M</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127"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6.3.20.</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Preşedinte al consiliilor ştiinţifice specializate de susţinere a </w:t>
            </w:r>
            <w:r>
              <w:rPr>
                <w:b/>
                <w:bCs/>
                <w:sz w:val="20"/>
                <w:szCs w:val="20"/>
                <w:lang w:val="en-US" w:eastAsia="en-US"/>
              </w:rPr>
              <w:t xml:space="preserve">tezelor de doctor habilitat </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173"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6.3.21.</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Secretar al consiliilor ştiinţifice specializate de susţinere a </w:t>
            </w:r>
            <w:r>
              <w:rPr>
                <w:b/>
                <w:bCs/>
                <w:sz w:val="20"/>
                <w:szCs w:val="20"/>
                <w:lang w:val="en-US" w:eastAsia="en-US"/>
              </w:rPr>
              <w:t>tezelor de doctor habilitat</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19"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6.3.22.</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Preşedinte al consiliilor ştiinţifice specializate de susţinere a </w:t>
            </w:r>
            <w:r>
              <w:rPr>
                <w:b/>
                <w:bCs/>
                <w:sz w:val="20"/>
                <w:szCs w:val="20"/>
                <w:lang w:val="en-US" w:eastAsia="en-US"/>
              </w:rPr>
              <w:t>tezelor de doctor</w:t>
            </w:r>
            <w:r>
              <w:rPr>
                <w:sz w:val="20"/>
                <w:szCs w:val="20"/>
                <w:lang w:val="en-US" w:eastAsia="en-US"/>
              </w:rPr>
              <w:t xml:space="preserve"> </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109"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6.3.23.</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Secretar al consiliilor ştiinţifice specializate de susţinere a </w:t>
            </w:r>
            <w:r>
              <w:rPr>
                <w:b/>
                <w:bCs/>
                <w:sz w:val="20"/>
                <w:szCs w:val="20"/>
                <w:lang w:val="en-US" w:eastAsia="en-US"/>
              </w:rPr>
              <w:t xml:space="preserve">tezelor de doctor </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1</w:t>
            </w:r>
          </w:p>
        </w:tc>
      </w:tr>
      <w:tr>
        <w:trPr>
          <w:trHeight w:val="155"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6.3.24.</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Membru a consiliilor ştiinţifice specializate de susţinere a </w:t>
            </w:r>
            <w:r>
              <w:rPr>
                <w:b/>
                <w:bCs/>
                <w:sz w:val="20"/>
                <w:szCs w:val="20"/>
                <w:lang w:val="en-US" w:eastAsia="en-US"/>
              </w:rPr>
              <w:t>tezelor de doctor</w:t>
            </w:r>
            <w:r>
              <w:rPr>
                <w:sz w:val="20"/>
                <w:szCs w:val="20"/>
                <w:lang w:val="en-US" w:eastAsia="en-US"/>
              </w:rPr>
              <w:t xml:space="preserve"> </w:t>
            </w:r>
            <w:r>
              <w:rPr>
                <w:b/>
                <w:bCs/>
                <w:sz w:val="20"/>
                <w:szCs w:val="20"/>
                <w:lang w:val="en-US" w:eastAsia="en-US"/>
              </w:rPr>
              <w:t>habilitat/doctor</w:t>
            </w:r>
            <w:r>
              <w:rPr>
                <w:sz w:val="20"/>
                <w:szCs w:val="20"/>
                <w:lang w:val="en-US" w:eastAsia="en-US"/>
              </w:rPr>
              <w:t xml:space="preserve"> </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2</w:t>
            </w:r>
          </w:p>
        </w:tc>
      </w:tr>
      <w:tr>
        <w:trPr>
          <w:trHeight w:val="201"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6.3.25.</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 xml:space="preserve">Referent la susţinerea </w:t>
            </w:r>
            <w:r>
              <w:rPr>
                <w:b/>
                <w:bCs/>
                <w:sz w:val="20"/>
                <w:szCs w:val="20"/>
                <w:lang w:val="fr-FR" w:eastAsia="en-US"/>
              </w:rPr>
              <w:t>tezei de doctor habilitat</w:t>
            </w:r>
            <w:r>
              <w:rPr>
                <w:sz w:val="20"/>
                <w:szCs w:val="20"/>
                <w:lang w:val="fr-FR" w:eastAsia="en-US"/>
              </w:rPr>
              <w:t xml:space="preserve"> </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105"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6.3.26.</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 xml:space="preserve">Referent la susţinerea </w:t>
            </w:r>
            <w:r>
              <w:rPr>
                <w:b/>
                <w:bCs/>
                <w:sz w:val="20"/>
                <w:szCs w:val="20"/>
                <w:lang w:val="fr-FR" w:eastAsia="en-US"/>
              </w:rPr>
              <w:t>tezei de doctor</w:t>
            </w:r>
            <w:r>
              <w:rPr>
                <w:sz w:val="20"/>
                <w:szCs w:val="20"/>
                <w:lang w:val="fr-FR" w:eastAsia="en-US"/>
              </w:rPr>
              <w:t xml:space="preserve"> </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151"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6.3.27.</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Preşedinte al Comsiei examenelor de licenţă / masterat / doctorat</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rFonts w:ascii="Times New Roman" w:hAnsi="Times New Roman"/>
                <w:sz w:val="20"/>
                <w:szCs w:val="20"/>
                <w:lang w:val="fr-FR" w:eastAsia="en-US"/>
              </w:rPr>
            </w:pPr>
            <w:r>
              <w:rPr>
                <w:sz w:val="20"/>
                <w:szCs w:val="20"/>
                <w:lang w:val="fr-FR" w:eastAsia="en-US"/>
              </w:rPr>
            </w:r>
          </w:p>
        </w:tc>
      </w:tr>
      <w:tr>
        <w:trPr>
          <w:trHeight w:val="198"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6.3.28.</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Membru al Comisiei examenelor de licenţă / masterat / doctorat</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rFonts w:ascii="Times New Roman" w:hAnsi="Times New Roman"/>
                <w:sz w:val="20"/>
                <w:szCs w:val="20"/>
                <w:lang w:val="fr-FR" w:eastAsia="en-US"/>
              </w:rPr>
            </w:pPr>
            <w:r>
              <w:rPr>
                <w:sz w:val="20"/>
                <w:szCs w:val="20"/>
                <w:lang w:val="fr-FR" w:eastAsia="en-US"/>
              </w:rPr>
            </w:r>
          </w:p>
        </w:tc>
      </w:tr>
      <w:tr>
        <w:trPr>
          <w:trHeight w:val="229"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6.3.29.</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fr-FR"/>
              </w:rPr>
            </w:pPr>
            <w:r>
              <w:rPr>
                <w:rFonts w:cs="Times New Roman CE" w:ascii="Times New Roman CE" w:hAnsi="Times New Roman CE"/>
                <w:sz w:val="20"/>
                <w:szCs w:val="20"/>
                <w:lang w:val="fr-FR" w:eastAsia="en-US"/>
              </w:rPr>
              <w:t xml:space="preserve">Preşedinte al seminarului ştiinţific de profil </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1</w:t>
            </w:r>
          </w:p>
        </w:tc>
      </w:tr>
      <w:tr>
        <w:trPr>
          <w:trHeight w:val="133"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6.3.30.</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fr-FR"/>
              </w:rPr>
            </w:pPr>
            <w:r>
              <w:rPr>
                <w:rFonts w:cs="Times New Roman CE" w:ascii="Times New Roman CE" w:hAnsi="Times New Roman CE"/>
                <w:sz w:val="20"/>
                <w:szCs w:val="20"/>
                <w:lang w:val="fr-FR" w:eastAsia="en-US"/>
              </w:rPr>
              <w:t>Membru al seminarului ştiinţific de profil</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2</w:t>
            </w:r>
          </w:p>
        </w:tc>
      </w:tr>
      <w:tr>
        <w:trPr>
          <w:trHeight w:val="179"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6.3.31.</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both"/>
              <w:textAlignment w:val="auto"/>
              <w:rPr>
                <w:lang w:val="fr-FR"/>
              </w:rPr>
            </w:pPr>
            <w:r>
              <w:rPr>
                <w:rFonts w:cs="Times New Roman CE" w:ascii="Times New Roman CE" w:hAnsi="Times New Roman CE"/>
                <w:sz w:val="20"/>
                <w:szCs w:val="20"/>
                <w:lang w:val="fr-FR" w:eastAsia="en-US"/>
              </w:rPr>
              <w:t>Secretar al seminarului ştiinţific de profil</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1</w:t>
            </w:r>
          </w:p>
        </w:tc>
      </w:tr>
      <w:tr>
        <w:trPr>
          <w:trHeight w:val="270" w:hRule="atLeast"/>
        </w:trPr>
        <w:tc>
          <w:tcPr>
            <w:tcW w:w="77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6.3.32.</w:t>
            </w:r>
          </w:p>
        </w:tc>
        <w:tc>
          <w:tcPr>
            <w:tcW w:w="826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Recenzent la seminarul ştiinţific de profil; secţie/catedră</w:t>
            </w:r>
          </w:p>
        </w:tc>
        <w:tc>
          <w:tcPr>
            <w:tcW w:w="85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2</w:t>
            </w:r>
          </w:p>
        </w:tc>
      </w:tr>
    </w:tbl>
    <w:p>
      <w:pPr>
        <w:pStyle w:val="2"/>
        <w:keepNext/>
        <w:widowControl/>
        <w:numPr>
          <w:ilvl w:val="0"/>
          <w:numId w:val="0"/>
        </w:numPr>
        <w:bidi w:val="0"/>
        <w:ind w:left="0" w:right="0" w:hanging="0"/>
        <w:jc w:val="left"/>
        <w:textAlignment w:val="auto"/>
        <w:outlineLvl w:val="1"/>
        <w:rPr>
          <w:rFonts w:ascii="Times New Roman" w:hAnsi="Times New Roman"/>
          <w:i/>
          <w:i/>
          <w:sz w:val="26"/>
          <w:szCs w:val="26"/>
        </w:rPr>
      </w:pPr>
      <w:bookmarkStart w:id="485" w:name="_Toc3118184751"/>
      <w:bookmarkStart w:id="486" w:name="_Toc3118184751"/>
      <w:r>
        <w:rPr>
          <w:i/>
          <w:sz w:val="26"/>
          <w:szCs w:val="26"/>
        </w:rPr>
      </w:r>
    </w:p>
    <w:p>
      <w:pPr>
        <w:pStyle w:val="2"/>
        <w:keepNext/>
        <w:widowControl/>
        <w:numPr>
          <w:ilvl w:val="0"/>
          <w:numId w:val="0"/>
        </w:numPr>
        <w:bidi w:val="0"/>
        <w:ind w:left="0" w:right="0" w:hanging="0"/>
        <w:jc w:val="left"/>
        <w:textAlignment w:val="auto"/>
        <w:outlineLvl w:val="1"/>
        <w:rPr>
          <w:rFonts w:ascii="Times New Roman" w:hAnsi="Times New Roman"/>
          <w:i/>
          <w:i/>
          <w:sz w:val="26"/>
          <w:szCs w:val="26"/>
        </w:rPr>
      </w:pPr>
      <w:r>
        <w:rPr>
          <w:i/>
          <w:sz w:val="26"/>
          <w:szCs w:val="26"/>
        </w:rPr>
      </w:r>
    </w:p>
    <w:tbl>
      <w:tblPr>
        <w:tblW w:w="9508" w:type="dxa"/>
        <w:jc w:val="left"/>
        <w:tblInd w:w="-1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3" w:type="dxa"/>
          <w:bottom w:w="0" w:type="dxa"/>
          <w:right w:w="108" w:type="dxa"/>
        </w:tblCellMar>
      </w:tblPr>
      <w:tblGrid>
        <w:gridCol w:w="767"/>
        <w:gridCol w:w="7726"/>
        <w:gridCol w:w="1"/>
        <w:gridCol w:w="1014"/>
      </w:tblGrid>
      <w:tr>
        <w:trPr>
          <w:trHeight w:val="810" w:hRule="atLeast"/>
        </w:trPr>
        <w:tc>
          <w:tcPr>
            <w:tcW w:w="8493"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en-US"/>
              </w:rPr>
            </w:pPr>
            <w:r>
              <w:rPr>
                <w:rFonts w:cs="Times New Roman CE" w:ascii="Times New Roman CE" w:hAnsi="Times New Roman CE"/>
                <w:b/>
                <w:bCs/>
                <w:sz w:val="20"/>
                <w:szCs w:val="20"/>
                <w:lang w:val="en-US" w:eastAsia="en-US"/>
              </w:rPr>
              <w:t>7. RELEVANŢA ECONOMICĂ</w:t>
            </w:r>
          </w:p>
        </w:tc>
        <w:tc>
          <w:tcPr>
            <w:tcW w:w="101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pPr>
            <w:r>
              <w:rPr>
                <w:b/>
                <w:bCs/>
                <w:sz w:val="22"/>
                <w:szCs w:val="22"/>
              </w:rPr>
              <w:t>201</w:t>
            </w:r>
            <w:r>
              <w:rPr>
                <w:b/>
                <w:bCs/>
                <w:sz w:val="22"/>
                <w:szCs w:val="22"/>
                <w:lang w:val="ro-RO"/>
              </w:rPr>
              <w:t>6</w:t>
            </w:r>
          </w:p>
        </w:tc>
      </w:tr>
      <w:tr>
        <w:trPr>
          <w:trHeight w:val="264" w:hRule="atLeast"/>
        </w:trPr>
        <w:tc>
          <w:tcPr>
            <w:tcW w:w="7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 </w:t>
            </w:r>
          </w:p>
        </w:tc>
        <w:tc>
          <w:tcPr>
            <w:tcW w:w="8741"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CCFFCC"/>
            <w:tcMar>
              <w:left w:w="103" w:type="dxa"/>
            </w:tcMar>
          </w:tcPr>
          <w:p>
            <w:pPr>
              <w:pStyle w:val="Normal"/>
              <w:widowControl/>
              <w:bidi w:val="0"/>
              <w:ind w:left="0" w:right="0" w:hanging="0"/>
              <w:jc w:val="center"/>
              <w:textAlignment w:val="auto"/>
              <w:rPr>
                <w:lang w:val="en-US"/>
              </w:rPr>
            </w:pPr>
            <w:r>
              <w:rPr>
                <w:b/>
                <w:bCs/>
                <w:sz w:val="20"/>
                <w:szCs w:val="20"/>
                <w:lang w:val="en-US" w:eastAsia="en-US"/>
              </w:rPr>
              <w:t>7.1. Activi</w:t>
            </w:r>
            <w:r>
              <w:rPr>
                <w:rFonts w:cs="Times New Roman CE" w:ascii="Times New Roman CE" w:hAnsi="Times New Roman CE"/>
                <w:b/>
                <w:bCs/>
                <w:sz w:val="20"/>
                <w:szCs w:val="20"/>
                <w:lang w:val="en-US" w:eastAsia="en-US"/>
              </w:rPr>
              <w:t>tatea de brevetare, licenţiere, certificare a produselor</w:t>
            </w:r>
          </w:p>
        </w:tc>
      </w:tr>
      <w:tr>
        <w:trPr>
          <w:trHeight w:val="268" w:hRule="atLeast"/>
        </w:trPr>
        <w:tc>
          <w:tcPr>
            <w:tcW w:w="7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7.1.1.</w:t>
            </w:r>
          </w:p>
        </w:tc>
        <w:tc>
          <w:tcPr>
            <w:tcW w:w="772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Contracte de licenţă (cesiune) în baza brevetelor, know-how  şi soiurilor de plante omologate, rase, tipuri, linii de animale şi păsări</w:t>
            </w:r>
          </w:p>
        </w:tc>
        <w:tc>
          <w:tcPr>
            <w:tcW w:w="10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fr-FR"/>
              </w:rPr>
            </w:pPr>
            <w:r>
              <w:rPr>
                <w:sz w:val="20"/>
                <w:szCs w:val="20"/>
                <w:lang w:val="fr-FR" w:eastAsia="en-US"/>
              </w:rPr>
              <w:t> </w:t>
            </w:r>
          </w:p>
        </w:tc>
      </w:tr>
      <w:tr>
        <w:trPr>
          <w:trHeight w:val="374" w:hRule="atLeast"/>
        </w:trPr>
        <w:tc>
          <w:tcPr>
            <w:tcW w:w="7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7.1.2.</w:t>
            </w:r>
          </w:p>
        </w:tc>
        <w:tc>
          <w:tcPr>
            <w:tcW w:w="772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Brevete obţinute, adeverinţe de soi, documentaţie, tehnologii, regulamente tehnice, standarde înregistrate</w:t>
            </w:r>
          </w:p>
        </w:tc>
        <w:tc>
          <w:tcPr>
            <w:tcW w:w="10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fr-FR"/>
              </w:rPr>
            </w:pPr>
            <w:r>
              <w:rPr>
                <w:sz w:val="20"/>
                <w:szCs w:val="20"/>
                <w:lang w:val="fr-FR" w:eastAsia="en-US"/>
              </w:rPr>
              <w:t> </w:t>
            </w:r>
          </w:p>
        </w:tc>
      </w:tr>
      <w:tr>
        <w:trPr>
          <w:trHeight w:val="324" w:hRule="atLeast"/>
        </w:trPr>
        <w:tc>
          <w:tcPr>
            <w:tcW w:w="7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7.1.3.</w:t>
            </w:r>
          </w:p>
        </w:tc>
        <w:tc>
          <w:tcPr>
            <w:tcW w:w="772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Hotărîri de acordare a brevetelor</w:t>
            </w:r>
          </w:p>
        </w:tc>
        <w:tc>
          <w:tcPr>
            <w:tcW w:w="10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fr-FR"/>
              </w:rPr>
            </w:pPr>
            <w:r>
              <w:rPr>
                <w:sz w:val="20"/>
                <w:szCs w:val="20"/>
                <w:lang w:val="fr-FR" w:eastAsia="en-US"/>
              </w:rPr>
              <w:t> </w:t>
            </w:r>
          </w:p>
        </w:tc>
      </w:tr>
      <w:tr>
        <w:trPr>
          <w:trHeight w:val="414" w:hRule="atLeast"/>
        </w:trPr>
        <w:tc>
          <w:tcPr>
            <w:tcW w:w="7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7.1.4.</w:t>
            </w:r>
          </w:p>
        </w:tc>
        <w:tc>
          <w:tcPr>
            <w:tcW w:w="772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sz w:val="20"/>
                <w:szCs w:val="20"/>
                <w:lang w:val="fr-FR" w:eastAsia="en-US"/>
              </w:rPr>
              <w:t>Cereri de brevetare înaintate la AGEPI, cereri înaintate la Comisia de Stat pentru Testarea Soiurilor de Plante</w:t>
            </w:r>
          </w:p>
        </w:tc>
        <w:tc>
          <w:tcPr>
            <w:tcW w:w="10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fr-FR"/>
              </w:rPr>
            </w:pPr>
            <w:r>
              <w:rPr>
                <w:sz w:val="20"/>
                <w:szCs w:val="20"/>
                <w:lang w:val="fr-FR" w:eastAsia="en-US"/>
              </w:rPr>
              <w:t> </w:t>
            </w:r>
          </w:p>
        </w:tc>
      </w:tr>
      <w:tr>
        <w:trPr>
          <w:trHeight w:val="379" w:hRule="atLeast"/>
        </w:trPr>
        <w:tc>
          <w:tcPr>
            <w:tcW w:w="7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7.1.5.</w:t>
            </w:r>
          </w:p>
        </w:tc>
        <w:tc>
          <w:tcPr>
            <w:tcW w:w="772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sz w:val="20"/>
                <w:szCs w:val="20"/>
                <w:lang w:val="en-US" w:eastAsia="en-US"/>
              </w:rPr>
              <w:t>Brevete implementate</w:t>
            </w:r>
          </w:p>
        </w:tc>
        <w:tc>
          <w:tcPr>
            <w:tcW w:w="10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7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7.1.6.</w:t>
            </w:r>
          </w:p>
        </w:tc>
        <w:tc>
          <w:tcPr>
            <w:tcW w:w="772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Certificate de soi, obţinute în perioada evaluată</w:t>
            </w:r>
          </w:p>
        </w:tc>
        <w:tc>
          <w:tcPr>
            <w:tcW w:w="10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fr-FR"/>
              </w:rPr>
            </w:pPr>
            <w:r>
              <w:rPr>
                <w:sz w:val="20"/>
                <w:szCs w:val="20"/>
                <w:lang w:val="fr-FR" w:eastAsia="en-US"/>
              </w:rPr>
              <w:t> </w:t>
            </w:r>
          </w:p>
        </w:tc>
      </w:tr>
      <w:tr>
        <w:trPr>
          <w:trHeight w:val="275" w:hRule="atLeast"/>
        </w:trPr>
        <w:tc>
          <w:tcPr>
            <w:tcW w:w="7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eastAsia="en-US"/>
              </w:rPr>
              <w:t> </w:t>
            </w:r>
          </w:p>
        </w:tc>
        <w:tc>
          <w:tcPr>
            <w:tcW w:w="8741"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CCFFCC"/>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b/>
                <w:bCs/>
                <w:sz w:val="20"/>
                <w:szCs w:val="20"/>
                <w:lang w:val="en-US" w:eastAsia="en-US"/>
              </w:rPr>
              <w:t>7.2. Elaborări, transfer tehnologic</w:t>
            </w:r>
          </w:p>
        </w:tc>
      </w:tr>
      <w:tr>
        <w:trPr>
          <w:trHeight w:val="264" w:hRule="atLeast"/>
        </w:trPr>
        <w:tc>
          <w:tcPr>
            <w:tcW w:w="7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7.2.1.</w:t>
            </w:r>
          </w:p>
        </w:tc>
        <w:tc>
          <w:tcPr>
            <w:tcW w:w="772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sz w:val="20"/>
                <w:szCs w:val="20"/>
                <w:lang w:val="en-US" w:eastAsia="en-US"/>
              </w:rPr>
              <w:t>Produse, material semincer, echipamente asimilate în fabricare de serie</w:t>
            </w:r>
          </w:p>
        </w:tc>
        <w:tc>
          <w:tcPr>
            <w:tcW w:w="10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424" w:hRule="atLeast"/>
        </w:trPr>
        <w:tc>
          <w:tcPr>
            <w:tcW w:w="7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7.2.2.</w:t>
            </w:r>
          </w:p>
        </w:tc>
        <w:tc>
          <w:tcPr>
            <w:tcW w:w="772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Tehnologii, secvenţe tehnologice, produse noi şi seminţe de soiuri realizate şi valorificate la agenţi economici prin contracte cu un volum de finanţare &gt;100 mii lei</w:t>
            </w:r>
          </w:p>
        </w:tc>
        <w:tc>
          <w:tcPr>
            <w:tcW w:w="10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fr-FR"/>
              </w:rPr>
            </w:pPr>
            <w:r>
              <w:rPr>
                <w:sz w:val="20"/>
                <w:szCs w:val="20"/>
                <w:lang w:val="fr-FR" w:eastAsia="en-US"/>
              </w:rPr>
              <w:t> </w:t>
            </w:r>
          </w:p>
        </w:tc>
      </w:tr>
      <w:tr>
        <w:trPr>
          <w:trHeight w:val="375" w:hRule="atLeast"/>
        </w:trPr>
        <w:tc>
          <w:tcPr>
            <w:tcW w:w="7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7.2.3.</w:t>
            </w:r>
          </w:p>
        </w:tc>
        <w:tc>
          <w:tcPr>
            <w:tcW w:w="772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Tehnologii, secvenţe tehnologice, produse noi şi seminţe de soiuri realizate şi valorificate la agenţi economici prin contracte cu un volum de finanţare &lt;100 mii lei</w:t>
            </w:r>
          </w:p>
        </w:tc>
        <w:tc>
          <w:tcPr>
            <w:tcW w:w="10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fr-FR"/>
              </w:rPr>
            </w:pPr>
            <w:r>
              <w:rPr>
                <w:sz w:val="20"/>
                <w:szCs w:val="20"/>
                <w:lang w:val="fr-FR" w:eastAsia="en-US"/>
              </w:rPr>
              <w:t> </w:t>
            </w:r>
          </w:p>
        </w:tc>
      </w:tr>
      <w:tr>
        <w:trPr>
          <w:trHeight w:val="324" w:hRule="atLeast"/>
        </w:trPr>
        <w:tc>
          <w:tcPr>
            <w:tcW w:w="7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7.2.4.</w:t>
            </w:r>
          </w:p>
        </w:tc>
        <w:tc>
          <w:tcPr>
            <w:tcW w:w="772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Produse noi valorificate la agenţi economici prin colaborare sau contracte de royalty</w:t>
            </w:r>
          </w:p>
        </w:tc>
        <w:tc>
          <w:tcPr>
            <w:tcW w:w="10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fr-FR"/>
              </w:rPr>
            </w:pPr>
            <w:r>
              <w:rPr>
                <w:sz w:val="20"/>
                <w:szCs w:val="20"/>
                <w:lang w:val="fr-FR" w:eastAsia="en-US"/>
              </w:rPr>
              <w:t> </w:t>
            </w:r>
          </w:p>
        </w:tc>
      </w:tr>
      <w:tr>
        <w:trPr>
          <w:trHeight w:val="287" w:hRule="atLeast"/>
        </w:trPr>
        <w:tc>
          <w:tcPr>
            <w:tcW w:w="7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7.2.5.</w:t>
            </w:r>
          </w:p>
        </w:tc>
        <w:tc>
          <w:tcPr>
            <w:tcW w:w="772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Softul elaborat şi implementat </w:t>
            </w:r>
          </w:p>
        </w:tc>
        <w:tc>
          <w:tcPr>
            <w:tcW w:w="10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63" w:hRule="atLeast"/>
        </w:trPr>
        <w:tc>
          <w:tcPr>
            <w:tcW w:w="7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7.2.6.</w:t>
            </w:r>
          </w:p>
        </w:tc>
        <w:tc>
          <w:tcPr>
            <w:tcW w:w="772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Mostre de maşini, echipamente,dispozitive funcţionale elaborate în perioada evaluată</w:t>
            </w:r>
          </w:p>
        </w:tc>
        <w:tc>
          <w:tcPr>
            <w:tcW w:w="10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81" w:hRule="atLeast"/>
        </w:trPr>
        <w:tc>
          <w:tcPr>
            <w:tcW w:w="7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7.2.7.</w:t>
            </w:r>
          </w:p>
        </w:tc>
        <w:tc>
          <w:tcPr>
            <w:tcW w:w="772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Atlase şi hărţi editate</w:t>
            </w:r>
          </w:p>
        </w:tc>
        <w:tc>
          <w:tcPr>
            <w:tcW w:w="10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57" w:hRule="atLeast"/>
        </w:trPr>
        <w:tc>
          <w:tcPr>
            <w:tcW w:w="7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7.2.8.</w:t>
            </w:r>
          </w:p>
        </w:tc>
        <w:tc>
          <w:tcPr>
            <w:tcW w:w="772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sz w:val="20"/>
                <w:szCs w:val="20"/>
                <w:lang w:val="en-US" w:eastAsia="en-US"/>
              </w:rPr>
              <w:t>Materiale noi documentate</w:t>
            </w:r>
          </w:p>
        </w:tc>
        <w:tc>
          <w:tcPr>
            <w:tcW w:w="10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88" w:hRule="atLeast"/>
        </w:trPr>
        <w:tc>
          <w:tcPr>
            <w:tcW w:w="7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7.2.9.</w:t>
            </w:r>
          </w:p>
        </w:tc>
        <w:tc>
          <w:tcPr>
            <w:tcW w:w="772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Substanţe noi documentate</w:t>
            </w:r>
          </w:p>
        </w:tc>
        <w:tc>
          <w:tcPr>
            <w:tcW w:w="10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78" w:hRule="atLeast"/>
        </w:trPr>
        <w:tc>
          <w:tcPr>
            <w:tcW w:w="7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en-US"/>
              </w:rPr>
            </w:pPr>
            <w:r>
              <w:rPr>
                <w:sz w:val="20"/>
                <w:szCs w:val="20"/>
                <w:lang w:val="en-US" w:eastAsia="en-US"/>
              </w:rPr>
              <w:t>7.2.10.</w:t>
            </w:r>
          </w:p>
        </w:tc>
        <w:tc>
          <w:tcPr>
            <w:tcW w:w="772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sz w:val="20"/>
                <w:szCs w:val="20"/>
                <w:lang w:val="en-US" w:eastAsia="en-US"/>
              </w:rPr>
              <w:t>Tehnologii noi documentate</w:t>
            </w:r>
          </w:p>
        </w:tc>
        <w:tc>
          <w:tcPr>
            <w:tcW w:w="10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69" w:hRule="atLeast"/>
        </w:trPr>
        <w:tc>
          <w:tcPr>
            <w:tcW w:w="7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en-US"/>
              </w:rPr>
            </w:pPr>
            <w:r>
              <w:rPr>
                <w:sz w:val="20"/>
                <w:szCs w:val="20"/>
                <w:lang w:val="en-US" w:eastAsia="en-US"/>
              </w:rPr>
              <w:t>7.2.11.</w:t>
            </w:r>
          </w:p>
        </w:tc>
        <w:tc>
          <w:tcPr>
            <w:tcW w:w="772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sz w:val="20"/>
                <w:szCs w:val="20"/>
                <w:lang w:val="en-US" w:eastAsia="en-US"/>
              </w:rPr>
              <w:t>Metode noi documentate</w:t>
            </w:r>
          </w:p>
        </w:tc>
        <w:tc>
          <w:tcPr>
            <w:tcW w:w="10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73" w:hRule="atLeast"/>
        </w:trPr>
        <w:tc>
          <w:tcPr>
            <w:tcW w:w="7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en-US"/>
              </w:rPr>
            </w:pPr>
            <w:r>
              <w:rPr>
                <w:sz w:val="20"/>
                <w:szCs w:val="20"/>
                <w:lang w:val="en-US" w:eastAsia="en-US"/>
              </w:rPr>
              <w:t>7.2.12.</w:t>
            </w:r>
          </w:p>
        </w:tc>
        <w:tc>
          <w:tcPr>
            <w:tcW w:w="772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sz w:val="20"/>
                <w:szCs w:val="20"/>
                <w:lang w:val="en-US" w:eastAsia="en-US"/>
              </w:rPr>
              <w:t>Procedee noi documentate</w:t>
            </w:r>
          </w:p>
        </w:tc>
        <w:tc>
          <w:tcPr>
            <w:tcW w:w="10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76" w:hRule="atLeast"/>
        </w:trPr>
        <w:tc>
          <w:tcPr>
            <w:tcW w:w="7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en-US"/>
              </w:rPr>
            </w:pPr>
            <w:r>
              <w:rPr>
                <w:sz w:val="20"/>
                <w:szCs w:val="20"/>
                <w:lang w:val="en-US" w:eastAsia="en-US"/>
              </w:rPr>
              <w:t>7.2.13.</w:t>
            </w:r>
          </w:p>
        </w:tc>
        <w:tc>
          <w:tcPr>
            <w:tcW w:w="772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sz w:val="20"/>
                <w:szCs w:val="20"/>
                <w:lang w:val="en-US" w:eastAsia="en-US"/>
              </w:rPr>
              <w:t>Linii create</w:t>
            </w:r>
          </w:p>
        </w:tc>
        <w:tc>
          <w:tcPr>
            <w:tcW w:w="10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67" w:hRule="atLeast"/>
        </w:trPr>
        <w:tc>
          <w:tcPr>
            <w:tcW w:w="7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en-US"/>
              </w:rPr>
            </w:pPr>
            <w:r>
              <w:rPr>
                <w:sz w:val="20"/>
                <w:szCs w:val="20"/>
                <w:lang w:val="en-US" w:eastAsia="en-US"/>
              </w:rPr>
              <w:t>7.2.14.</w:t>
            </w:r>
          </w:p>
        </w:tc>
        <w:tc>
          <w:tcPr>
            <w:tcW w:w="772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sz w:val="20"/>
                <w:szCs w:val="20"/>
                <w:lang w:val="en-US" w:eastAsia="en-US"/>
              </w:rPr>
              <w:t>Hibrizi creati</w:t>
            </w:r>
          </w:p>
        </w:tc>
        <w:tc>
          <w:tcPr>
            <w:tcW w:w="10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84" w:hRule="atLeast"/>
        </w:trPr>
        <w:tc>
          <w:tcPr>
            <w:tcW w:w="7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en-US"/>
              </w:rPr>
            </w:pPr>
            <w:r>
              <w:rPr>
                <w:sz w:val="20"/>
                <w:szCs w:val="20"/>
                <w:lang w:val="en-US" w:eastAsia="en-US"/>
              </w:rPr>
              <w:t>7.2.15.</w:t>
            </w:r>
          </w:p>
        </w:tc>
        <w:tc>
          <w:tcPr>
            <w:tcW w:w="772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sz w:val="20"/>
                <w:szCs w:val="20"/>
                <w:lang w:val="en-US" w:eastAsia="en-US"/>
              </w:rPr>
              <w:t>Soiuri create</w:t>
            </w:r>
          </w:p>
        </w:tc>
        <w:tc>
          <w:tcPr>
            <w:tcW w:w="10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61" w:hRule="atLeast"/>
        </w:trPr>
        <w:tc>
          <w:tcPr>
            <w:tcW w:w="7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en-US"/>
              </w:rPr>
            </w:pPr>
            <w:r>
              <w:rPr>
                <w:sz w:val="20"/>
                <w:szCs w:val="20"/>
                <w:lang w:val="en-US" w:eastAsia="en-US"/>
              </w:rPr>
              <w:t>7.2.16.</w:t>
            </w:r>
          </w:p>
        </w:tc>
        <w:tc>
          <w:tcPr>
            <w:tcW w:w="772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sz w:val="20"/>
                <w:szCs w:val="20"/>
                <w:lang w:val="en-US" w:eastAsia="en-US"/>
              </w:rPr>
              <w:t>Rase create</w:t>
            </w:r>
          </w:p>
        </w:tc>
        <w:tc>
          <w:tcPr>
            <w:tcW w:w="10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78" w:hRule="atLeast"/>
        </w:trPr>
        <w:tc>
          <w:tcPr>
            <w:tcW w:w="7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en-US"/>
              </w:rPr>
            </w:pPr>
            <w:r>
              <w:rPr>
                <w:sz w:val="20"/>
                <w:szCs w:val="20"/>
                <w:lang w:val="en-US" w:eastAsia="en-US"/>
              </w:rPr>
              <w:t>7.2.17.</w:t>
            </w:r>
          </w:p>
        </w:tc>
        <w:tc>
          <w:tcPr>
            <w:tcW w:w="772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Suşe create</w:t>
            </w:r>
          </w:p>
        </w:tc>
        <w:tc>
          <w:tcPr>
            <w:tcW w:w="10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82" w:hRule="atLeast"/>
        </w:trPr>
        <w:tc>
          <w:tcPr>
            <w:tcW w:w="7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en-US"/>
              </w:rPr>
            </w:pPr>
            <w:r>
              <w:rPr>
                <w:sz w:val="20"/>
                <w:szCs w:val="20"/>
                <w:lang w:val="en-US" w:eastAsia="en-US"/>
              </w:rPr>
              <w:t>7.2.18.</w:t>
            </w:r>
          </w:p>
        </w:tc>
        <w:tc>
          <w:tcPr>
            <w:tcW w:w="772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Linii, hibrizi, soiuri, rase, suşe omologate si înscrise în registru</w:t>
            </w:r>
          </w:p>
        </w:tc>
        <w:tc>
          <w:tcPr>
            <w:tcW w:w="10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fr-FR"/>
              </w:rPr>
            </w:pPr>
            <w:r>
              <w:rPr>
                <w:sz w:val="20"/>
                <w:szCs w:val="20"/>
                <w:lang w:val="fr-FR" w:eastAsia="en-US"/>
              </w:rPr>
              <w:t> </w:t>
            </w:r>
          </w:p>
        </w:tc>
      </w:tr>
      <w:tr>
        <w:trPr>
          <w:trHeight w:val="258" w:hRule="atLeast"/>
        </w:trPr>
        <w:tc>
          <w:tcPr>
            <w:tcW w:w="7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center"/>
              <w:textAlignment w:val="auto"/>
              <w:rPr>
                <w:lang w:val="en-US"/>
              </w:rPr>
            </w:pPr>
            <w:r>
              <w:rPr>
                <w:sz w:val="20"/>
                <w:szCs w:val="20"/>
                <w:lang w:val="en-US" w:eastAsia="en-US"/>
              </w:rPr>
              <w:t>7.2.19.</w:t>
            </w:r>
          </w:p>
        </w:tc>
        <w:tc>
          <w:tcPr>
            <w:tcW w:w="772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sz w:val="20"/>
                <w:szCs w:val="20"/>
                <w:lang w:val="en-US" w:eastAsia="en-US"/>
              </w:rPr>
              <w:t>Alte rezultate (de indicat)</w:t>
            </w:r>
          </w:p>
        </w:tc>
        <w:tc>
          <w:tcPr>
            <w:tcW w:w="10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76" w:hRule="atLeast"/>
        </w:trPr>
        <w:tc>
          <w:tcPr>
            <w:tcW w:w="7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 </w:t>
            </w:r>
          </w:p>
        </w:tc>
        <w:tc>
          <w:tcPr>
            <w:tcW w:w="8741"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CCFFCC"/>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b/>
                <w:bCs/>
                <w:sz w:val="20"/>
                <w:szCs w:val="20"/>
                <w:lang w:val="en-US" w:eastAsia="en-US"/>
              </w:rPr>
              <w:t>7.3. Asistenţă şi servicii ştiinţifice prestate</w:t>
            </w:r>
          </w:p>
        </w:tc>
      </w:tr>
      <w:tr>
        <w:trPr>
          <w:trHeight w:val="267" w:hRule="atLeast"/>
        </w:trPr>
        <w:tc>
          <w:tcPr>
            <w:tcW w:w="7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7.3.1.</w:t>
            </w:r>
          </w:p>
        </w:tc>
        <w:tc>
          <w:tcPr>
            <w:tcW w:w="772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Recomandări ştiinţifico-practice documentate</w:t>
            </w:r>
          </w:p>
        </w:tc>
        <w:tc>
          <w:tcPr>
            <w:tcW w:w="10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84" w:hRule="atLeast"/>
        </w:trPr>
        <w:tc>
          <w:tcPr>
            <w:tcW w:w="7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7.3.2.</w:t>
            </w:r>
          </w:p>
        </w:tc>
        <w:tc>
          <w:tcPr>
            <w:tcW w:w="772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Prestări de servicii în laboratoare acreditate</w:t>
            </w:r>
          </w:p>
        </w:tc>
        <w:tc>
          <w:tcPr>
            <w:tcW w:w="10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75" w:hRule="atLeast"/>
        </w:trPr>
        <w:tc>
          <w:tcPr>
            <w:tcW w:w="7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7.3.3.</w:t>
            </w:r>
          </w:p>
        </w:tc>
        <w:tc>
          <w:tcPr>
            <w:tcW w:w="7727"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Prestări de servicii în laboratoare neacreditate</w:t>
            </w:r>
          </w:p>
        </w:tc>
        <w:tc>
          <w:tcPr>
            <w:tcW w:w="101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0" w:hanging="0"/>
              <w:jc w:val="center"/>
              <w:textAlignment w:val="auto"/>
              <w:rPr>
                <w:lang w:val="en-US"/>
              </w:rPr>
            </w:pPr>
            <w:r>
              <w:rPr>
                <w:sz w:val="20"/>
                <w:szCs w:val="20"/>
                <w:lang w:val="en-US" w:eastAsia="en-US"/>
              </w:rPr>
              <w:t> </w:t>
            </w:r>
          </w:p>
        </w:tc>
      </w:tr>
    </w:tbl>
    <w:p>
      <w:pPr>
        <w:pStyle w:val="2"/>
        <w:keepNext/>
        <w:widowControl/>
        <w:numPr>
          <w:ilvl w:val="0"/>
          <w:numId w:val="0"/>
        </w:numPr>
        <w:bidi w:val="0"/>
        <w:ind w:left="0" w:right="0" w:hanging="0"/>
        <w:jc w:val="left"/>
        <w:textAlignment w:val="auto"/>
        <w:outlineLvl w:val="1"/>
        <w:rPr>
          <w:rFonts w:ascii="Times New Roman" w:hAnsi="Times New Roman"/>
          <w:i/>
          <w:i/>
          <w:sz w:val="26"/>
          <w:szCs w:val="26"/>
          <w:lang w:val="en-US"/>
        </w:rPr>
      </w:pPr>
      <w:r>
        <w:rPr>
          <w:i/>
          <w:sz w:val="26"/>
          <w:szCs w:val="26"/>
          <w:lang w:val="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tbl>
      <w:tblPr>
        <w:tblW w:w="8500" w:type="dxa"/>
        <w:jc w:val="left"/>
        <w:tblInd w:w="-1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3" w:type="dxa"/>
          <w:bottom w:w="0" w:type="dxa"/>
          <w:right w:w="108" w:type="dxa"/>
        </w:tblCellMar>
      </w:tblPr>
      <w:tblGrid>
        <w:gridCol w:w="755"/>
        <w:gridCol w:w="6915"/>
        <w:gridCol w:w="830"/>
      </w:tblGrid>
      <w:tr>
        <w:trPr>
          <w:trHeight w:val="270" w:hRule="atLeast"/>
        </w:trPr>
        <w:tc>
          <w:tcPr>
            <w:tcW w:w="7670"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rFonts w:cs="Times New Roman CE" w:ascii="Times New Roman CE" w:hAnsi="Times New Roman CE"/>
                <w:b/>
                <w:bCs/>
                <w:sz w:val="20"/>
                <w:szCs w:val="20"/>
                <w:lang w:val="en-US" w:eastAsia="en-US"/>
              </w:rPr>
              <w:t>8. RELEVANŢA SOCIALĂ</w:t>
            </w:r>
          </w:p>
        </w:tc>
        <w:tc>
          <w:tcPr>
            <w:tcW w:w="8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pPr>
            <w:r>
              <w:rPr>
                <w:b/>
                <w:bCs/>
                <w:sz w:val="22"/>
                <w:szCs w:val="22"/>
              </w:rPr>
              <w:t>201</w:t>
            </w:r>
            <w:r>
              <w:rPr>
                <w:b/>
                <w:bCs/>
                <w:sz w:val="22"/>
                <w:szCs w:val="22"/>
                <w:lang w:val="ro-RO"/>
              </w:rPr>
              <w:t>6</w:t>
            </w:r>
          </w:p>
        </w:tc>
      </w:tr>
      <w:tr>
        <w:trPr>
          <w:trHeight w:val="270" w:hRule="atLeast"/>
        </w:trPr>
        <w:tc>
          <w:tcPr>
            <w:tcW w:w="75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sz w:val="20"/>
                <w:szCs w:val="20"/>
                <w:lang w:val="en-US" w:eastAsia="en-US"/>
              </w:rPr>
              <w:t> </w:t>
            </w:r>
          </w:p>
        </w:tc>
        <w:tc>
          <w:tcPr>
            <w:tcW w:w="774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CCFFCC"/>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b/>
                <w:bCs/>
                <w:sz w:val="20"/>
                <w:szCs w:val="20"/>
                <w:lang w:val="fr-FR" w:eastAsia="en-US"/>
              </w:rPr>
              <w:t>8.1. Transfer de cunoştinţe şi activitate didactică</w:t>
            </w:r>
          </w:p>
        </w:tc>
      </w:tr>
      <w:tr>
        <w:trPr>
          <w:trHeight w:val="270" w:hRule="atLeast"/>
        </w:trPr>
        <w:tc>
          <w:tcPr>
            <w:tcW w:w="75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8.1.1.</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sz w:val="20"/>
                <w:szCs w:val="20"/>
                <w:lang w:val="en-US" w:eastAsia="en-US"/>
              </w:rPr>
              <w:t>Articole în enciclopedii</w:t>
            </w:r>
          </w:p>
        </w:tc>
        <w:tc>
          <w:tcPr>
            <w:tcW w:w="8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75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8.1.2.</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Dicţionare</w:t>
            </w:r>
          </w:p>
        </w:tc>
        <w:tc>
          <w:tcPr>
            <w:tcW w:w="8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75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8.1.3.</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Manuale pentru învăţământ universitar</w:t>
            </w:r>
          </w:p>
        </w:tc>
        <w:tc>
          <w:tcPr>
            <w:tcW w:w="8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75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8.1.4.</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Manuale pentru învăţământ preuniversitar</w:t>
            </w:r>
          </w:p>
        </w:tc>
        <w:tc>
          <w:tcPr>
            <w:tcW w:w="8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r>
      <w:tr>
        <w:trPr>
          <w:trHeight w:val="270" w:hRule="atLeast"/>
        </w:trPr>
        <w:tc>
          <w:tcPr>
            <w:tcW w:w="75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8.1.5.</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Capitole în manuale de învăţămînt universitar</w:t>
            </w:r>
          </w:p>
        </w:tc>
        <w:tc>
          <w:tcPr>
            <w:tcW w:w="8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75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8.1.6.</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Capitole în manuale de învăţămînt preuniversitar</w:t>
            </w:r>
          </w:p>
        </w:tc>
        <w:tc>
          <w:tcPr>
            <w:tcW w:w="8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75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8.1.7.</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Lucrări metodice, note de curs, compendiumuri</w:t>
            </w:r>
          </w:p>
        </w:tc>
        <w:tc>
          <w:tcPr>
            <w:tcW w:w="8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3</w:t>
            </w:r>
          </w:p>
        </w:tc>
      </w:tr>
      <w:tr>
        <w:trPr>
          <w:trHeight w:val="270" w:hRule="atLeast"/>
        </w:trPr>
        <w:tc>
          <w:tcPr>
            <w:tcW w:w="75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8.1.8.</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Cursuri elaborate în anul de referinţă</w:t>
            </w:r>
          </w:p>
        </w:tc>
        <w:tc>
          <w:tcPr>
            <w:tcW w:w="8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1</w:t>
            </w:r>
          </w:p>
        </w:tc>
      </w:tr>
      <w:tr>
        <w:trPr>
          <w:trHeight w:val="270" w:hRule="atLeast"/>
        </w:trPr>
        <w:tc>
          <w:tcPr>
            <w:tcW w:w="75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8.1.9.</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Cursuri ţinute în anul de referinţă</w:t>
            </w:r>
          </w:p>
        </w:tc>
        <w:tc>
          <w:tcPr>
            <w:tcW w:w="8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15</w:t>
            </w:r>
          </w:p>
        </w:tc>
      </w:tr>
      <w:tr>
        <w:trPr>
          <w:trHeight w:val="270" w:hRule="atLeast"/>
        </w:trPr>
        <w:tc>
          <w:tcPr>
            <w:tcW w:w="75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8.1.10.</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Conducător al persoanelor care au susţinut tezei de licenţă/de masterat</w:t>
            </w:r>
          </w:p>
        </w:tc>
        <w:tc>
          <w:tcPr>
            <w:tcW w:w="8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5\1</w:t>
            </w:r>
          </w:p>
        </w:tc>
      </w:tr>
      <w:tr>
        <w:trPr>
          <w:trHeight w:val="270" w:hRule="atLeast"/>
        </w:trPr>
        <w:tc>
          <w:tcPr>
            <w:tcW w:w="75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8.1.11.</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Conducător ştiinţific al persoanelor care au susţinut teza de doctor</w:t>
            </w:r>
          </w:p>
        </w:tc>
        <w:tc>
          <w:tcPr>
            <w:tcW w:w="8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1 </w:t>
            </w:r>
          </w:p>
        </w:tc>
      </w:tr>
      <w:tr>
        <w:trPr>
          <w:trHeight w:val="270" w:hRule="atLeast"/>
        </w:trPr>
        <w:tc>
          <w:tcPr>
            <w:tcW w:w="75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8.1.12.</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Consultant ştiinţific al persoanelor care au susţinut teza tezei de doctor</w:t>
            </w:r>
          </w:p>
        </w:tc>
        <w:tc>
          <w:tcPr>
            <w:tcW w:w="8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75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8.1.13.</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Consultant ştiinţific al persoanelor care au susţinut teza de doctor habilit</w:t>
            </w:r>
            <w:r>
              <w:rPr>
                <w:sz w:val="20"/>
                <w:szCs w:val="20"/>
                <w:lang w:val="fr-FR" w:eastAsia="en-US"/>
              </w:rPr>
              <w:t>at</w:t>
            </w:r>
          </w:p>
        </w:tc>
        <w:tc>
          <w:tcPr>
            <w:tcW w:w="8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75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8.1.14.</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Studenţi, masteranzi, care au efectut stagiere practica în cadrul subdiviziunii</w:t>
            </w:r>
          </w:p>
        </w:tc>
        <w:tc>
          <w:tcPr>
            <w:tcW w:w="8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4</w:t>
            </w:r>
          </w:p>
        </w:tc>
      </w:tr>
      <w:tr>
        <w:trPr>
          <w:trHeight w:val="270" w:hRule="atLeast"/>
        </w:trPr>
        <w:tc>
          <w:tcPr>
            <w:tcW w:w="75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sz w:val="20"/>
                <w:szCs w:val="20"/>
                <w:lang w:val="en-US" w:eastAsia="en-US"/>
              </w:rPr>
              <w:t> </w:t>
            </w:r>
          </w:p>
        </w:tc>
        <w:tc>
          <w:tcPr>
            <w:tcW w:w="774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CCFFCC"/>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b/>
                <w:bCs/>
                <w:sz w:val="20"/>
                <w:szCs w:val="20"/>
                <w:lang w:val="en-US" w:eastAsia="en-US"/>
              </w:rPr>
              <w:t>8.2. Participări în elaborarea actelor normative şi activităţi de consultanţă</w:t>
            </w:r>
          </w:p>
        </w:tc>
      </w:tr>
      <w:tr>
        <w:trPr>
          <w:trHeight w:val="270" w:hRule="atLeast"/>
        </w:trPr>
        <w:tc>
          <w:tcPr>
            <w:tcW w:w="75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8.2.1.</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Documente de politici elaborate şi aprobate</w:t>
            </w:r>
          </w:p>
        </w:tc>
        <w:tc>
          <w:tcPr>
            <w:tcW w:w="8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75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8.2.2.</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sz w:val="20"/>
                <w:szCs w:val="20"/>
                <w:lang w:val="en-US" w:eastAsia="en-US"/>
              </w:rPr>
              <w:t>Acte normative el</w:t>
            </w:r>
            <w:r>
              <w:rPr>
                <w:rFonts w:cs="Times New Roman CE" w:ascii="Times New Roman CE" w:hAnsi="Times New Roman CE"/>
                <w:sz w:val="20"/>
                <w:szCs w:val="20"/>
                <w:lang w:val="en-US" w:eastAsia="en-US"/>
              </w:rPr>
              <w:t>aborate, inclusiv tratate internaţionale</w:t>
            </w:r>
          </w:p>
        </w:tc>
        <w:tc>
          <w:tcPr>
            <w:tcW w:w="8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75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8.2.3.</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Avize a proiectelor de legi şi alte acte normative</w:t>
            </w:r>
          </w:p>
        </w:tc>
        <w:tc>
          <w:tcPr>
            <w:tcW w:w="8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525" w:hRule="atLeast"/>
        </w:trPr>
        <w:tc>
          <w:tcPr>
            <w:tcW w:w="75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8.2.4.</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Recomandări metodologice elaborate şi implementate în activitatea autorităţilor publice centrale şi locale</w:t>
            </w:r>
          </w:p>
        </w:tc>
        <w:tc>
          <w:tcPr>
            <w:tcW w:w="8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525" w:hRule="atLeast"/>
        </w:trPr>
        <w:tc>
          <w:tcPr>
            <w:tcW w:w="75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8.2.5.</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Participării în activitatea comisiilor instituite de preşedinţie, parlament, guvern</w:t>
            </w:r>
          </w:p>
        </w:tc>
        <w:tc>
          <w:tcPr>
            <w:tcW w:w="8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525" w:hRule="atLeast"/>
        </w:trPr>
        <w:tc>
          <w:tcPr>
            <w:tcW w:w="75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8.2.6.</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Participării în activitatea grupurilor de lucru instituite de ministere, departamente</w:t>
            </w:r>
          </w:p>
        </w:tc>
        <w:tc>
          <w:tcPr>
            <w:tcW w:w="8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rFonts w:ascii="Times New Roman" w:hAnsi="Times New Roman"/>
                <w:sz w:val="20"/>
                <w:szCs w:val="20"/>
                <w:lang w:val="fr-FR" w:eastAsia="en-US"/>
              </w:rPr>
            </w:pPr>
            <w:r>
              <w:rPr>
                <w:sz w:val="20"/>
                <w:szCs w:val="20"/>
                <w:lang w:val="fr-FR" w:eastAsia="en-US"/>
              </w:rPr>
            </w:r>
          </w:p>
        </w:tc>
      </w:tr>
      <w:tr>
        <w:trPr>
          <w:trHeight w:val="270" w:hRule="atLeast"/>
        </w:trPr>
        <w:tc>
          <w:tcPr>
            <w:tcW w:w="75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sz w:val="20"/>
                <w:szCs w:val="20"/>
                <w:lang w:val="fr-FR" w:eastAsia="en-US"/>
              </w:rPr>
              <w:t> </w:t>
            </w:r>
          </w:p>
        </w:tc>
        <w:tc>
          <w:tcPr>
            <w:tcW w:w="774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color="auto" w:fill="CCFFCC"/>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b/>
                <w:bCs/>
                <w:sz w:val="20"/>
                <w:szCs w:val="20"/>
                <w:lang w:val="en-US" w:eastAsia="en-US"/>
              </w:rPr>
              <w:t>8.3. Diseminarea informaţiei ştiinţifice şi promovarea imaginii ştiinţei</w:t>
            </w:r>
          </w:p>
        </w:tc>
      </w:tr>
      <w:tr>
        <w:trPr>
          <w:trHeight w:val="270" w:hRule="atLeast"/>
        </w:trPr>
        <w:tc>
          <w:tcPr>
            <w:tcW w:w="75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8.3.1.</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Manifestări ştiinţifice internaţionale organizate</w:t>
            </w:r>
          </w:p>
        </w:tc>
        <w:tc>
          <w:tcPr>
            <w:tcW w:w="8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75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8.3.2.</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Manifestări ştiinţifice naţionale organizate</w:t>
            </w:r>
          </w:p>
        </w:tc>
        <w:tc>
          <w:tcPr>
            <w:tcW w:w="8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75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8.3.3.</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 xml:space="preserve">Cărţi de popularizare a ştiinţei </w:t>
            </w:r>
          </w:p>
        </w:tc>
        <w:tc>
          <w:tcPr>
            <w:tcW w:w="8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75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8.3.4.</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 xml:space="preserve">Articole de popularizare a ştiinţei </w:t>
            </w:r>
          </w:p>
        </w:tc>
        <w:tc>
          <w:tcPr>
            <w:tcW w:w="8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75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8.3.5.</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 xml:space="preserve">Participări la emisiuni tele-radio consacrate ştiinţei </w:t>
            </w:r>
          </w:p>
        </w:tc>
        <w:tc>
          <w:tcPr>
            <w:tcW w:w="8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2</w:t>
            </w:r>
          </w:p>
        </w:tc>
      </w:tr>
      <w:tr>
        <w:trPr>
          <w:trHeight w:val="270" w:hRule="atLeast"/>
        </w:trPr>
        <w:tc>
          <w:tcPr>
            <w:tcW w:w="75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8.3.6.</w:t>
            </w:r>
          </w:p>
        </w:tc>
        <w:tc>
          <w:tcPr>
            <w:tcW w:w="691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lang w:val="fr-FR"/>
              </w:rPr>
            </w:pPr>
            <w:r>
              <w:rPr>
                <w:sz w:val="20"/>
                <w:szCs w:val="20"/>
                <w:lang w:val="fr-FR" w:eastAsia="en-US"/>
              </w:rPr>
              <w:t>Se</w:t>
            </w:r>
            <w:r>
              <w:rPr>
                <w:rFonts w:cs="Times New Roman CE" w:ascii="Times New Roman CE" w:hAnsi="Times New Roman CE"/>
                <w:sz w:val="20"/>
                <w:szCs w:val="20"/>
                <w:lang w:val="fr-FR" w:eastAsia="en-US"/>
              </w:rPr>
              <w:t>minare ştiinţifice de profil şi manifestări organizate</w:t>
            </w:r>
          </w:p>
        </w:tc>
        <w:tc>
          <w:tcPr>
            <w:tcW w:w="830"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fr-FR"/>
              </w:rPr>
            </w:pPr>
            <w:r>
              <w:rPr>
                <w:sz w:val="20"/>
                <w:szCs w:val="20"/>
                <w:lang w:val="fr-FR" w:eastAsia="en-US"/>
              </w:rPr>
              <w:t>1 </w:t>
            </w:r>
          </w:p>
        </w:tc>
      </w:tr>
    </w:tbl>
    <w:p>
      <w:pPr>
        <w:pStyle w:val="2"/>
        <w:keepNext/>
        <w:widowControl/>
        <w:numPr>
          <w:ilvl w:val="0"/>
          <w:numId w:val="0"/>
        </w:numPr>
        <w:bidi w:val="0"/>
        <w:ind w:left="0" w:right="0" w:hanging="0"/>
        <w:jc w:val="left"/>
        <w:textAlignment w:val="auto"/>
        <w:outlineLvl w:val="1"/>
        <w:rPr>
          <w:rFonts w:ascii="Times New Roman" w:hAnsi="Times New Roman"/>
          <w:i/>
          <w:i/>
          <w:sz w:val="26"/>
          <w:szCs w:val="26"/>
        </w:rPr>
      </w:pPr>
      <w:r>
        <w:rPr>
          <w:i/>
          <w:sz w:val="26"/>
          <w:szCs w:val="26"/>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2"/>
        <w:keepNext/>
        <w:widowControl/>
        <w:numPr>
          <w:ilvl w:val="0"/>
          <w:numId w:val="0"/>
        </w:numPr>
        <w:bidi w:val="0"/>
        <w:ind w:left="0" w:right="0" w:hanging="0"/>
        <w:jc w:val="left"/>
        <w:textAlignment w:val="auto"/>
        <w:outlineLvl w:val="1"/>
        <w:rPr>
          <w:rFonts w:ascii="Times New Roman" w:hAnsi="Times New Roman"/>
          <w:i/>
          <w:i/>
          <w:sz w:val="26"/>
          <w:szCs w:val="26"/>
        </w:rPr>
      </w:pPr>
      <w:r>
        <w:rPr>
          <w:i/>
          <w:sz w:val="26"/>
          <w:szCs w:val="26"/>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2"/>
        <w:keepNext/>
        <w:widowControl/>
        <w:numPr>
          <w:ilvl w:val="0"/>
          <w:numId w:val="0"/>
        </w:numPr>
        <w:bidi w:val="0"/>
        <w:ind w:left="0" w:right="0" w:hanging="0"/>
        <w:jc w:val="left"/>
        <w:textAlignment w:val="auto"/>
        <w:outlineLvl w:val="1"/>
        <w:rPr>
          <w:rFonts w:ascii="Times New Roman" w:hAnsi="Times New Roman"/>
          <w:i/>
          <w:i/>
          <w:sz w:val="26"/>
          <w:szCs w:val="26"/>
        </w:rPr>
      </w:pPr>
      <w:r>
        <w:rPr>
          <w:i/>
          <w:sz w:val="26"/>
          <w:szCs w:val="26"/>
        </w:rPr>
      </w:r>
    </w:p>
    <w:p>
      <w:pPr>
        <w:pStyle w:val="2"/>
        <w:keepNext/>
        <w:widowControl/>
        <w:numPr>
          <w:ilvl w:val="0"/>
          <w:numId w:val="0"/>
        </w:numPr>
        <w:bidi w:val="0"/>
        <w:ind w:left="0" w:right="0" w:hanging="0"/>
        <w:jc w:val="left"/>
        <w:textAlignment w:val="auto"/>
        <w:outlineLvl w:val="1"/>
        <w:rPr>
          <w:rFonts w:ascii="Times New Roman" w:hAnsi="Times New Roman"/>
          <w:i/>
          <w:i/>
          <w:sz w:val="26"/>
          <w:szCs w:val="26"/>
        </w:rPr>
      </w:pPr>
      <w:r>
        <w:rPr>
          <w:i/>
          <w:sz w:val="26"/>
          <w:szCs w:val="26"/>
        </w:rPr>
      </w:r>
    </w:p>
    <w:p>
      <w:pPr>
        <w:pStyle w:val="2"/>
        <w:keepNext/>
        <w:widowControl/>
        <w:numPr>
          <w:ilvl w:val="0"/>
          <w:numId w:val="0"/>
        </w:numPr>
        <w:bidi w:val="0"/>
        <w:ind w:left="0" w:right="0" w:hanging="0"/>
        <w:jc w:val="left"/>
        <w:textAlignment w:val="auto"/>
        <w:outlineLvl w:val="1"/>
        <w:rPr>
          <w:rFonts w:ascii="Times New Roman" w:hAnsi="Times New Roman"/>
          <w:i/>
          <w:i/>
          <w:sz w:val="26"/>
          <w:szCs w:val="26"/>
        </w:rPr>
      </w:pPr>
      <w:r>
        <w:rPr>
          <w:i/>
          <w:sz w:val="26"/>
          <w:szCs w:val="26"/>
        </w:rPr>
      </w:r>
    </w:p>
    <w:p>
      <w:pPr>
        <w:pStyle w:val="2"/>
        <w:keepNext/>
        <w:widowControl/>
        <w:numPr>
          <w:ilvl w:val="0"/>
          <w:numId w:val="0"/>
        </w:numPr>
        <w:bidi w:val="0"/>
        <w:ind w:left="0" w:right="0" w:hanging="0"/>
        <w:jc w:val="left"/>
        <w:textAlignment w:val="auto"/>
        <w:outlineLvl w:val="1"/>
        <w:rPr/>
      </w:pPr>
      <w:bookmarkStart w:id="487" w:name="_Toc3118184751"/>
      <w:bookmarkStart w:id="488" w:name="_Toc375219620"/>
      <w:bookmarkEnd w:id="487"/>
      <w:bookmarkEnd w:id="488"/>
      <w:r>
        <w:rPr>
          <w:rFonts w:cs="Times New Roman CE" w:ascii="Times New Roman CE" w:hAnsi="Times New Roman CE"/>
          <w:i/>
          <w:sz w:val="26"/>
          <w:szCs w:val="26"/>
        </w:rPr>
        <w:t>Anexa IV. Forma indicatorilor de activitate a laboratorului Modelare Matematică</w:t>
      </w:r>
    </w:p>
    <w:tbl>
      <w:tblPr>
        <w:tblW w:w="10617" w:type="dxa"/>
        <w:jc w:val="left"/>
        <w:tblInd w:w="-567" w:type="dxa"/>
        <w:tblBorders/>
        <w:tblCellMar>
          <w:top w:w="0" w:type="dxa"/>
          <w:left w:w="108" w:type="dxa"/>
          <w:bottom w:w="0" w:type="dxa"/>
          <w:right w:w="108" w:type="dxa"/>
        </w:tblCellMar>
      </w:tblPr>
      <w:tblGrid>
        <w:gridCol w:w="995"/>
        <w:gridCol w:w="4210"/>
        <w:gridCol w:w="5412"/>
      </w:tblGrid>
      <w:tr>
        <w:trPr>
          <w:trHeight w:val="251" w:hRule="atLeast"/>
        </w:trPr>
        <w:tc>
          <w:tcPr>
            <w:tcW w:w="10617" w:type="dxa"/>
            <w:gridSpan w:val="3"/>
            <w:tcBorders/>
            <w:shd w:fill="auto" w:val="clear"/>
            <w:vAlign w:val="bottom"/>
          </w:tcPr>
          <w:p>
            <w:pPr>
              <w:pStyle w:val="Normal"/>
              <w:widowControl/>
              <w:bidi w:val="0"/>
              <w:ind w:left="0" w:right="0" w:hanging="0"/>
              <w:jc w:val="center"/>
              <w:textAlignment w:val="auto"/>
              <w:rPr>
                <w:rFonts w:ascii="Times New Roman" w:hAnsi="Times New Roman"/>
                <w:b/>
                <w:b/>
                <w:bCs/>
                <w:lang w:val="en-US"/>
              </w:rPr>
            </w:pPr>
            <w:r>
              <w:rPr>
                <w:b/>
                <w:bCs/>
                <w:lang w:val="en-US"/>
              </w:rPr>
            </w:r>
          </w:p>
          <w:p>
            <w:pPr>
              <w:pStyle w:val="Normal"/>
              <w:widowControl/>
              <w:bidi w:val="0"/>
              <w:ind w:left="0" w:right="0" w:hanging="0"/>
              <w:jc w:val="center"/>
              <w:textAlignment w:val="auto"/>
              <w:rPr/>
            </w:pPr>
            <w:r>
              <w:rPr>
                <w:b/>
                <w:bCs/>
              </w:rPr>
              <w:t>1. DATE GENERALE</w:t>
            </w:r>
          </w:p>
        </w:tc>
      </w:tr>
      <w:tr>
        <w:trPr>
          <w:trHeight w:val="251" w:hRule="atLeast"/>
        </w:trPr>
        <w:tc>
          <w:tcPr>
            <w:tcW w:w="995" w:type="dxa"/>
            <w:tcBorders/>
            <w:shd w:fill="auto" w:val="clear"/>
            <w:vAlign w:val="bottom"/>
          </w:tcPr>
          <w:p>
            <w:pPr>
              <w:pStyle w:val="Normal"/>
              <w:widowControl/>
              <w:bidi w:val="0"/>
              <w:ind w:left="0" w:right="0" w:hanging="0"/>
              <w:jc w:val="center"/>
              <w:textAlignment w:val="auto"/>
              <w:rPr>
                <w:rFonts w:ascii="Times New Roman" w:hAnsi="Times New Roman"/>
                <w:b/>
                <w:b/>
                <w:bCs/>
              </w:rPr>
            </w:pPr>
            <w:r>
              <w:rPr>
                <w:b/>
                <w:bCs/>
              </w:rPr>
            </w:r>
          </w:p>
        </w:tc>
        <w:tc>
          <w:tcPr>
            <w:tcW w:w="4210" w:type="dxa"/>
            <w:tcBorders/>
            <w:shd w:fill="auto" w:val="clear"/>
            <w:vAlign w:val="bottom"/>
          </w:tcPr>
          <w:p>
            <w:pPr>
              <w:pStyle w:val="Normal"/>
              <w:widowControl/>
              <w:bidi w:val="0"/>
              <w:ind w:left="0" w:right="0" w:hanging="0"/>
              <w:jc w:val="center"/>
              <w:textAlignment w:val="auto"/>
              <w:rPr>
                <w:rFonts w:ascii="Times New Roman" w:hAnsi="Times New Roman"/>
                <w:b/>
                <w:b/>
                <w:bCs/>
              </w:rPr>
            </w:pPr>
            <w:r>
              <w:rPr>
                <w:b/>
                <w:bCs/>
              </w:rPr>
            </w:r>
          </w:p>
        </w:tc>
        <w:tc>
          <w:tcPr>
            <w:tcW w:w="5412" w:type="dxa"/>
            <w:tcBorders/>
            <w:shd w:fill="auto" w:val="clear"/>
            <w:vAlign w:val="bottom"/>
          </w:tcPr>
          <w:p>
            <w:pPr>
              <w:pStyle w:val="Normal"/>
              <w:widowControl/>
              <w:bidi w:val="0"/>
              <w:ind w:left="0" w:right="0" w:hanging="0"/>
              <w:jc w:val="center"/>
              <w:textAlignment w:val="auto"/>
              <w:rPr>
                <w:rFonts w:ascii="Arial" w:hAnsi="Arial" w:cs="Arial"/>
                <w:b/>
                <w:b/>
                <w:bCs/>
                <w:sz w:val="20"/>
                <w:szCs w:val="20"/>
              </w:rPr>
            </w:pPr>
            <w:r>
              <w:rPr>
                <w:rFonts w:cs="Arial" w:ascii="Arial" w:hAnsi="Arial"/>
                <w:b/>
                <w:bCs/>
                <w:sz w:val="20"/>
                <w:szCs w:val="20"/>
              </w:rPr>
            </w:r>
          </w:p>
        </w:tc>
      </w:tr>
      <w:tr>
        <w:trPr>
          <w:trHeight w:val="251" w:hRule="atLeast"/>
        </w:trPr>
        <w:tc>
          <w:tcPr>
            <w:tcW w:w="99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pPr>
            <w:r>
              <w:rPr>
                <w:b/>
                <w:bCs/>
              </w:rPr>
              <w:t>1.1.</w:t>
            </w:r>
          </w:p>
        </w:tc>
        <w:tc>
          <w:tcPr>
            <w:tcW w:w="4210" w:type="dxa"/>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b/>
                <w:bCs/>
              </w:rPr>
              <w:t>Denumirea subdiviziunii</w:t>
            </w:r>
          </w:p>
        </w:tc>
        <w:tc>
          <w:tcPr>
            <w:tcW w:w="5412" w:type="dxa"/>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rFonts w:cs="Times New Roman CE" w:ascii="Times New Roman CE" w:hAnsi="Times New Roman CE"/>
              </w:rPr>
              <w:t>Laboratorul "Modelare Matematică"</w:t>
            </w:r>
          </w:p>
        </w:tc>
      </w:tr>
      <w:tr>
        <w:trPr>
          <w:trHeight w:val="251" w:hRule="atLeast"/>
        </w:trPr>
        <w:tc>
          <w:tcPr>
            <w:tcW w:w="99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pPr>
            <w:r>
              <w:rPr>
                <w:b/>
                <w:bCs/>
              </w:rPr>
              <w:t>1.2.</w:t>
            </w:r>
          </w:p>
        </w:tc>
        <w:tc>
          <w:tcPr>
            <w:tcW w:w="421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rFonts w:cs="Times New Roman CE" w:ascii="Times New Roman CE" w:hAnsi="Times New Roman CE"/>
                <w:b/>
                <w:bCs/>
              </w:rPr>
              <w:t>Organizaţia</w:t>
            </w:r>
          </w:p>
        </w:tc>
        <w:tc>
          <w:tcPr>
            <w:tcW w:w="5412"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lang w:val="fr-FR"/>
              </w:rPr>
              <w:t>Institutul de Matematică şi Informatică</w:t>
            </w:r>
          </w:p>
        </w:tc>
      </w:tr>
      <w:tr>
        <w:trPr>
          <w:trHeight w:val="251" w:hRule="atLeast"/>
        </w:trPr>
        <w:tc>
          <w:tcPr>
            <w:tcW w:w="99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pPr>
            <w:r>
              <w:rPr>
                <w:b/>
                <w:bCs/>
              </w:rPr>
              <w:t>1.3.</w:t>
            </w:r>
          </w:p>
        </w:tc>
        <w:tc>
          <w:tcPr>
            <w:tcW w:w="9622" w:type="dxa"/>
            <w:gridSpan w:val="2"/>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firstLine="240"/>
              <w:jc w:val="left"/>
              <w:textAlignment w:val="auto"/>
              <w:rPr/>
            </w:pPr>
            <w:r>
              <w:rPr>
                <w:rFonts w:cs="Times New Roman CE" w:ascii="Times New Roman CE" w:hAnsi="Times New Roman CE"/>
              </w:rPr>
              <w:t>Conducătorul subdiviziunii:</w:t>
            </w:r>
          </w:p>
        </w:tc>
      </w:tr>
      <w:tr>
        <w:trPr>
          <w:trHeight w:val="251" w:hRule="atLeast"/>
        </w:trPr>
        <w:tc>
          <w:tcPr>
            <w:tcW w:w="99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1.3.1.</w:t>
            </w:r>
          </w:p>
        </w:tc>
        <w:tc>
          <w:tcPr>
            <w:tcW w:w="421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40"/>
              <w:jc w:val="left"/>
              <w:textAlignment w:val="auto"/>
              <w:rPr/>
            </w:pPr>
            <w:r>
              <w:rPr/>
              <w:t>Numele de familie</w:t>
            </w:r>
          </w:p>
        </w:tc>
        <w:tc>
          <w:tcPr>
            <w:tcW w:w="5412"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lang w:val="en-US"/>
              </w:rPr>
              <w:t>Kolesnik</w:t>
            </w:r>
          </w:p>
        </w:tc>
      </w:tr>
      <w:tr>
        <w:trPr>
          <w:trHeight w:val="251" w:hRule="atLeast"/>
        </w:trPr>
        <w:tc>
          <w:tcPr>
            <w:tcW w:w="99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240"/>
              <w:jc w:val="left"/>
              <w:textAlignment w:val="auto"/>
              <w:rPr/>
            </w:pPr>
            <w:r>
              <w:rPr/>
              <w:t>1.3.2.</w:t>
            </w:r>
          </w:p>
        </w:tc>
        <w:tc>
          <w:tcPr>
            <w:tcW w:w="421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40"/>
              <w:jc w:val="left"/>
              <w:textAlignment w:val="auto"/>
              <w:rPr/>
            </w:pPr>
            <w:r>
              <w:rPr/>
              <w:t>Prenumele</w:t>
            </w:r>
          </w:p>
        </w:tc>
        <w:tc>
          <w:tcPr>
            <w:tcW w:w="5412"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lang w:val="en-US"/>
              </w:rPr>
              <w:t>Alexander</w:t>
            </w:r>
          </w:p>
        </w:tc>
      </w:tr>
      <w:tr>
        <w:trPr>
          <w:trHeight w:val="251" w:hRule="atLeast"/>
        </w:trPr>
        <w:tc>
          <w:tcPr>
            <w:tcW w:w="99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240"/>
              <w:jc w:val="left"/>
              <w:textAlignment w:val="auto"/>
              <w:rPr/>
            </w:pPr>
            <w:r>
              <w:rPr/>
              <w:t xml:space="preserve">1.3.3. </w:t>
            </w:r>
          </w:p>
        </w:tc>
        <w:tc>
          <w:tcPr>
            <w:tcW w:w="421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40"/>
              <w:jc w:val="left"/>
              <w:textAlignment w:val="auto"/>
              <w:rPr/>
            </w:pPr>
            <w:r>
              <w:rPr>
                <w:rFonts w:cs="Times New Roman CE" w:ascii="Times New Roman CE" w:hAnsi="Times New Roman CE"/>
              </w:rPr>
              <w:t>Gradul ştiinţific</w:t>
            </w:r>
          </w:p>
        </w:tc>
        <w:tc>
          <w:tcPr>
            <w:tcW w:w="5412"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t>Doctor</w:t>
            </w:r>
            <w:r>
              <w:rPr>
                <w:lang w:val="en-US"/>
              </w:rPr>
              <w:t xml:space="preserve"> habilitat </w:t>
            </w:r>
            <w:r>
              <w:rPr>
                <w:rFonts w:cs="Times New Roman CE" w:ascii="Times New Roman CE" w:hAnsi="Times New Roman CE"/>
              </w:rPr>
              <w:t xml:space="preserve"> în stiinţă</w:t>
            </w:r>
          </w:p>
        </w:tc>
      </w:tr>
      <w:tr>
        <w:trPr>
          <w:trHeight w:val="251" w:hRule="atLeast"/>
        </w:trPr>
        <w:tc>
          <w:tcPr>
            <w:tcW w:w="99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240"/>
              <w:jc w:val="left"/>
              <w:textAlignment w:val="auto"/>
              <w:rPr/>
            </w:pPr>
            <w:r>
              <w:rPr/>
              <w:t xml:space="preserve">1.3.4. </w:t>
            </w:r>
          </w:p>
        </w:tc>
        <w:tc>
          <w:tcPr>
            <w:tcW w:w="421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40"/>
              <w:jc w:val="left"/>
              <w:textAlignment w:val="auto"/>
              <w:rPr/>
            </w:pPr>
            <w:r>
              <w:rPr>
                <w:rFonts w:cs="Times New Roman CE" w:ascii="Times New Roman CE" w:hAnsi="Times New Roman CE"/>
              </w:rPr>
              <w:t>Titlul ştiinţific/ştiinţifico-didactic</w:t>
            </w:r>
          </w:p>
        </w:tc>
        <w:tc>
          <w:tcPr>
            <w:tcW w:w="5412"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40"/>
              <w:jc w:val="left"/>
              <w:textAlignment w:val="auto"/>
              <w:rPr>
                <w:rFonts w:ascii="Times New Roman" w:hAnsi="Times New Roman"/>
              </w:rPr>
            </w:pPr>
            <w:r>
              <w:rPr/>
            </w:r>
          </w:p>
        </w:tc>
      </w:tr>
      <w:tr>
        <w:trPr>
          <w:trHeight w:val="251" w:hRule="atLeast"/>
        </w:trPr>
        <w:tc>
          <w:tcPr>
            <w:tcW w:w="99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240"/>
              <w:jc w:val="left"/>
              <w:textAlignment w:val="auto"/>
              <w:rPr/>
            </w:pPr>
            <w:r>
              <w:rPr/>
              <w:t>1.3.5.</w:t>
            </w:r>
          </w:p>
        </w:tc>
        <w:tc>
          <w:tcPr>
            <w:tcW w:w="421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40"/>
              <w:jc w:val="left"/>
              <w:textAlignment w:val="auto"/>
              <w:rPr/>
            </w:pPr>
            <w:r>
              <w:rPr/>
              <w:t>Titlul academic</w:t>
            </w:r>
          </w:p>
        </w:tc>
        <w:tc>
          <w:tcPr>
            <w:tcW w:w="5412"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40"/>
              <w:jc w:val="left"/>
              <w:textAlignment w:val="auto"/>
              <w:rPr/>
            </w:pPr>
            <w:r>
              <w:rPr/>
              <w:t> </w:t>
            </w:r>
          </w:p>
        </w:tc>
      </w:tr>
      <w:tr>
        <w:trPr>
          <w:trHeight w:val="251" w:hRule="atLeast"/>
        </w:trPr>
        <w:tc>
          <w:tcPr>
            <w:tcW w:w="99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pPr>
            <w:r>
              <w:rPr>
                <w:b/>
                <w:bCs/>
              </w:rPr>
              <w:t>1.4.</w:t>
            </w:r>
          </w:p>
        </w:tc>
        <w:tc>
          <w:tcPr>
            <w:tcW w:w="421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rFonts w:cs="Times New Roman CE" w:ascii="Times New Roman CE" w:hAnsi="Times New Roman CE"/>
                <w:b/>
                <w:bCs/>
              </w:rPr>
              <w:t>Anul creării</w:t>
            </w:r>
          </w:p>
        </w:tc>
        <w:tc>
          <w:tcPr>
            <w:tcW w:w="5412"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ro-RO"/>
              </w:rPr>
            </w:pPr>
            <w:r>
              <w:rPr>
                <w:lang w:val="ro-RO"/>
              </w:rPr>
              <w:t>2009</w:t>
            </w:r>
          </w:p>
        </w:tc>
      </w:tr>
      <w:tr>
        <w:trPr>
          <w:trHeight w:val="251" w:hRule="atLeast"/>
        </w:trPr>
        <w:tc>
          <w:tcPr>
            <w:tcW w:w="99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pPr>
            <w:r>
              <w:rPr>
                <w:b/>
                <w:bCs/>
              </w:rPr>
              <w:t xml:space="preserve">1.5. </w:t>
            </w:r>
          </w:p>
        </w:tc>
        <w:tc>
          <w:tcPr>
            <w:tcW w:w="9622" w:type="dxa"/>
            <w:gridSpan w:val="2"/>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firstLine="240"/>
              <w:jc w:val="left"/>
              <w:textAlignment w:val="auto"/>
              <w:rPr/>
            </w:pPr>
            <w:r>
              <w:rPr/>
              <w:t>Date de contact:</w:t>
            </w:r>
          </w:p>
        </w:tc>
      </w:tr>
      <w:tr>
        <w:trPr>
          <w:trHeight w:val="251" w:hRule="atLeast"/>
        </w:trPr>
        <w:tc>
          <w:tcPr>
            <w:tcW w:w="99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240"/>
              <w:jc w:val="left"/>
              <w:textAlignment w:val="auto"/>
              <w:rPr/>
            </w:pPr>
            <w:r>
              <w:rPr/>
              <w:t>1.5.1.</w:t>
            </w:r>
          </w:p>
        </w:tc>
        <w:tc>
          <w:tcPr>
            <w:tcW w:w="421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40"/>
              <w:jc w:val="left"/>
              <w:textAlignment w:val="auto"/>
              <w:rPr/>
            </w:pPr>
            <w:r>
              <w:rPr/>
              <w:t>Telefon</w:t>
            </w:r>
          </w:p>
        </w:tc>
        <w:tc>
          <w:tcPr>
            <w:tcW w:w="5412"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ro-RO"/>
              </w:rPr>
            </w:pPr>
            <w:r>
              <w:rPr>
                <w:lang w:val="ro-RO"/>
              </w:rPr>
              <w:t xml:space="preserve">022 </w:t>
            </w:r>
            <w:r>
              <w:rPr/>
              <w:t>73 80 46</w:t>
            </w:r>
          </w:p>
        </w:tc>
      </w:tr>
      <w:tr>
        <w:trPr>
          <w:trHeight w:val="251" w:hRule="atLeast"/>
        </w:trPr>
        <w:tc>
          <w:tcPr>
            <w:tcW w:w="99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240"/>
              <w:jc w:val="left"/>
              <w:textAlignment w:val="auto"/>
              <w:rPr/>
            </w:pPr>
            <w:r>
              <w:rPr/>
              <w:t>1.5.2.</w:t>
            </w:r>
          </w:p>
        </w:tc>
        <w:tc>
          <w:tcPr>
            <w:tcW w:w="421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40"/>
              <w:jc w:val="left"/>
              <w:textAlignment w:val="auto"/>
              <w:rPr/>
            </w:pPr>
            <w:r>
              <w:rPr/>
              <w:t>Fax</w:t>
            </w:r>
          </w:p>
        </w:tc>
        <w:tc>
          <w:tcPr>
            <w:tcW w:w="5412"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40"/>
              <w:jc w:val="left"/>
              <w:textAlignment w:val="auto"/>
              <w:rPr/>
            </w:pPr>
            <w:r>
              <w:rPr/>
              <w:t> </w:t>
            </w:r>
          </w:p>
        </w:tc>
      </w:tr>
      <w:tr>
        <w:trPr>
          <w:trHeight w:val="251" w:hRule="atLeast"/>
        </w:trPr>
        <w:tc>
          <w:tcPr>
            <w:tcW w:w="99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240"/>
              <w:jc w:val="left"/>
              <w:textAlignment w:val="auto"/>
              <w:rPr/>
            </w:pPr>
            <w:r>
              <w:rPr/>
              <w:t>1.5.3.</w:t>
            </w:r>
          </w:p>
        </w:tc>
        <w:tc>
          <w:tcPr>
            <w:tcW w:w="421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40"/>
              <w:jc w:val="left"/>
              <w:textAlignment w:val="auto"/>
              <w:rPr/>
            </w:pPr>
            <w:r>
              <w:rPr/>
              <w:t xml:space="preserve">E-mail </w:t>
            </w:r>
          </w:p>
        </w:tc>
        <w:tc>
          <w:tcPr>
            <w:tcW w:w="5412"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hyperlink r:id="rId115">
              <w:r>
                <w:rPr>
                  <w:webHidden/>
                  <w:rStyle w:val="Style5"/>
                  <w:rFonts w:ascii="Arial" w:hAnsi="Arial"/>
                  <w:color w:val="0000FF"/>
                  <w:sz w:val="20"/>
                  <w:u w:val="single"/>
                  <w:lang w:val="en-US"/>
                </w:rPr>
                <w:t>kolesnik</w:t>
              </w:r>
              <w:r>
                <w:rPr>
                  <w:rStyle w:val="Style5"/>
                  <w:rFonts w:ascii="Arial" w:hAnsi="Arial"/>
                  <w:color w:val="0000FF"/>
                  <w:sz w:val="20"/>
                  <w:u w:val="single"/>
                </w:rPr>
                <w:t>@m</w:t>
              </w:r>
              <w:r>
                <w:rPr>
                  <w:rStyle w:val="Style5"/>
                  <w:rFonts w:ascii="Arial" w:hAnsi="Arial"/>
                  <w:color w:val="0000FF"/>
                  <w:sz w:val="20"/>
                  <w:u w:val="single"/>
                  <w:lang w:val="en-US"/>
                </w:rPr>
                <w:t>ath</w:t>
              </w:r>
              <w:r>
                <w:rPr>
                  <w:rStyle w:val="Style5"/>
                  <w:rFonts w:ascii="Arial" w:hAnsi="Arial"/>
                  <w:color w:val="0000FF"/>
                  <w:sz w:val="20"/>
                  <w:u w:val="single"/>
                </w:rPr>
                <w:t>.md</w:t>
              </w:r>
            </w:hyperlink>
          </w:p>
        </w:tc>
      </w:tr>
      <w:tr>
        <w:trPr>
          <w:trHeight w:val="251" w:hRule="atLeast"/>
        </w:trPr>
        <w:tc>
          <w:tcPr>
            <w:tcW w:w="99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240"/>
              <w:jc w:val="left"/>
              <w:textAlignment w:val="auto"/>
              <w:rPr/>
            </w:pPr>
            <w:r>
              <w:rPr/>
              <w:t>1.5.4.</w:t>
            </w:r>
          </w:p>
        </w:tc>
        <w:tc>
          <w:tcPr>
            <w:tcW w:w="421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40"/>
              <w:jc w:val="left"/>
              <w:textAlignment w:val="auto"/>
              <w:rPr/>
            </w:pPr>
            <w:r>
              <w:rPr/>
              <w:t>Pagina WEB a subdiviziunii</w:t>
            </w:r>
          </w:p>
        </w:tc>
        <w:tc>
          <w:tcPr>
            <w:tcW w:w="5412"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t> </w:t>
            </w:r>
            <w:hyperlink r:id="rId116">
              <w:r>
                <w:rPr>
                  <w:webHidden/>
                  <w:rStyle w:val="Style5"/>
                  <w:rFonts w:cs="Arial" w:ascii="Arial" w:hAnsi="Arial"/>
                  <w:color w:val="0000FF"/>
                  <w:sz w:val="20"/>
                  <w:szCs w:val="20"/>
                </w:rPr>
                <w:t>www.math.md</w:t>
              </w:r>
            </w:hyperlink>
          </w:p>
        </w:tc>
      </w:tr>
      <w:tr>
        <w:trPr>
          <w:trHeight w:val="251" w:hRule="atLeast"/>
        </w:trPr>
        <w:tc>
          <w:tcPr>
            <w:tcW w:w="995" w:type="dxa"/>
            <w:tcBorders>
              <w:left w:val="single" w:sz="8" w:space="0" w:color="000001"/>
              <w:right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pPr>
            <w:r>
              <w:rPr>
                <w:b/>
                <w:bCs/>
              </w:rPr>
              <w:t>1.6.</w:t>
            </w:r>
          </w:p>
        </w:tc>
        <w:tc>
          <w:tcPr>
            <w:tcW w:w="9622" w:type="dxa"/>
            <w:gridSpan w:val="2"/>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firstLine="240"/>
              <w:jc w:val="left"/>
              <w:textAlignment w:val="auto"/>
              <w:rPr>
                <w:lang w:val="fr-FR"/>
              </w:rPr>
            </w:pPr>
            <w:r>
              <w:rPr>
                <w:rFonts w:cs="Times New Roman CE" w:ascii="Times New Roman CE" w:hAnsi="Times New Roman CE"/>
                <w:lang w:val="fr-FR"/>
              </w:rPr>
              <w:t>Persoana responsabilă de completarea formularului:</w:t>
            </w:r>
          </w:p>
        </w:tc>
      </w:tr>
      <w:tr>
        <w:trPr>
          <w:trHeight w:val="251" w:hRule="atLeast"/>
        </w:trPr>
        <w:tc>
          <w:tcPr>
            <w:tcW w:w="995" w:type="dxa"/>
            <w:tcBorders>
              <w:top w:val="single" w:sz="8" w:space="0" w:color="000001"/>
              <w:left w:val="single" w:sz="8" w:space="0" w:color="000001"/>
              <w:right w:val="single" w:sz="8" w:space="0" w:color="000001"/>
              <w:insideV w:val="single" w:sz="8" w:space="0" w:color="000001"/>
            </w:tcBorders>
            <w:shd w:fill="auto" w:val="clear"/>
            <w:tcMar>
              <w:left w:w="98" w:type="dxa"/>
            </w:tcMar>
            <w:vAlign w:val="bottom"/>
          </w:tcPr>
          <w:p>
            <w:pPr>
              <w:pStyle w:val="Normal"/>
              <w:widowControl/>
              <w:bidi w:val="0"/>
              <w:ind w:left="0" w:right="0" w:firstLine="240"/>
              <w:jc w:val="left"/>
              <w:textAlignment w:val="auto"/>
              <w:rPr/>
            </w:pPr>
            <w:r>
              <w:rPr/>
              <w:t>1.6.1.</w:t>
            </w:r>
          </w:p>
        </w:tc>
        <w:tc>
          <w:tcPr>
            <w:tcW w:w="421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40"/>
              <w:jc w:val="left"/>
              <w:textAlignment w:val="auto"/>
              <w:rPr/>
            </w:pPr>
            <w:r>
              <w:rPr/>
              <w:t xml:space="preserve">Numele, prenumele </w:t>
            </w:r>
          </w:p>
        </w:tc>
        <w:tc>
          <w:tcPr>
            <w:tcW w:w="5412"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lang w:val="en-US"/>
              </w:rPr>
              <w:t>Smolina Liudmila</w:t>
            </w:r>
          </w:p>
        </w:tc>
      </w:tr>
      <w:tr>
        <w:trPr>
          <w:trHeight w:val="251" w:hRule="atLeast"/>
        </w:trPr>
        <w:tc>
          <w:tcPr>
            <w:tcW w:w="99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240"/>
              <w:jc w:val="left"/>
              <w:textAlignment w:val="auto"/>
              <w:rPr/>
            </w:pPr>
            <w:r>
              <w:rPr/>
              <w:t>1.6.2.</w:t>
            </w:r>
          </w:p>
        </w:tc>
        <w:tc>
          <w:tcPr>
            <w:tcW w:w="421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40"/>
              <w:jc w:val="left"/>
              <w:textAlignment w:val="auto"/>
              <w:rPr/>
            </w:pPr>
            <w:r>
              <w:rPr/>
              <w:t xml:space="preserve">Telefon </w:t>
            </w:r>
          </w:p>
        </w:tc>
        <w:tc>
          <w:tcPr>
            <w:tcW w:w="5412"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ro-RO"/>
              </w:rPr>
            </w:pPr>
            <w:r>
              <w:rPr>
                <w:lang w:val="ro-RO"/>
              </w:rPr>
              <w:t xml:space="preserve">022 </w:t>
            </w:r>
            <w:r>
              <w:rPr/>
              <w:t>73 80 46</w:t>
            </w:r>
          </w:p>
        </w:tc>
      </w:tr>
      <w:tr>
        <w:trPr>
          <w:trHeight w:val="251" w:hRule="atLeast"/>
        </w:trPr>
        <w:tc>
          <w:tcPr>
            <w:tcW w:w="99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240"/>
              <w:jc w:val="left"/>
              <w:textAlignment w:val="auto"/>
              <w:rPr/>
            </w:pPr>
            <w:r>
              <w:rPr/>
              <w:t>1.6.3.</w:t>
            </w:r>
          </w:p>
        </w:tc>
        <w:tc>
          <w:tcPr>
            <w:tcW w:w="421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40"/>
              <w:jc w:val="left"/>
              <w:textAlignment w:val="auto"/>
              <w:rPr/>
            </w:pPr>
            <w:r>
              <w:rPr/>
              <w:t xml:space="preserve">E-mail </w:t>
            </w:r>
          </w:p>
        </w:tc>
        <w:tc>
          <w:tcPr>
            <w:tcW w:w="5412"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ro-RO"/>
              </w:rPr>
            </w:pPr>
            <w:r>
              <w:rPr>
                <w:rFonts w:ascii="Arial" w:hAnsi="Arial"/>
                <w:color w:val="0000FF"/>
                <w:sz w:val="20"/>
                <w:szCs w:val="20"/>
                <w:lang w:val="ro-RO"/>
              </w:rPr>
              <w:t>lsmol@mail.ru</w:t>
            </w:r>
          </w:p>
        </w:tc>
      </w:tr>
    </w:tbl>
    <w:p>
      <w:pPr>
        <w:pStyle w:val="Normal"/>
        <w:widowControl/>
        <w:tabs>
          <w:tab w:val="left" w:pos="4215" w:leader="none"/>
        </w:tabs>
        <w:bidi w:val="0"/>
        <w:ind w:left="0" w:right="0" w:hanging="0"/>
        <w:jc w:val="left"/>
        <w:textAlignment w:val="auto"/>
        <w:rPr>
          <w:rFonts w:ascii="Times New Roman" w:hAnsi="Times New Roman"/>
        </w:rPr>
      </w:pPr>
      <w:r>
        <w:rPr/>
      </w:r>
    </w:p>
    <w:p>
      <w:pPr>
        <w:pStyle w:val="Normal"/>
        <w:widowControl/>
        <w:tabs>
          <w:tab w:val="left" w:pos="4215" w:leader="none"/>
        </w:tabs>
        <w:bidi w:val="0"/>
        <w:ind w:left="0" w:right="0" w:hanging="0"/>
        <w:jc w:val="left"/>
        <w:textAlignment w:val="auto"/>
        <w:rPr>
          <w:rFonts w:ascii="Times New Roman" w:hAnsi="Times New Roman"/>
          <w:lang w:val="en-US"/>
        </w:rPr>
      </w:pPr>
      <w:r>
        <w:rPr>
          <w:lang w:val="en-US"/>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tbl>
      <w:tblPr>
        <w:tblW w:w="10153" w:type="dxa"/>
        <w:jc w:val="left"/>
        <w:tblInd w:w="-109" w:type="dxa"/>
        <w:tblBorders>
          <w:top w:val="single" w:sz="8" w:space="0" w:color="000001"/>
          <w:left w:val="single" w:sz="8" w:space="0" w:color="000001"/>
          <w:bottom w:val="single" w:sz="8" w:space="0" w:color="000001"/>
          <w:insideH w:val="single" w:sz="8" w:space="0" w:color="000001"/>
        </w:tblBorders>
        <w:tblCellMar>
          <w:top w:w="0" w:type="dxa"/>
          <w:left w:w="98" w:type="dxa"/>
          <w:bottom w:w="0" w:type="dxa"/>
          <w:right w:w="108" w:type="dxa"/>
        </w:tblCellMar>
      </w:tblPr>
      <w:tblGrid>
        <w:gridCol w:w="1254"/>
        <w:gridCol w:w="4544"/>
        <w:gridCol w:w="2222"/>
        <w:gridCol w:w="1"/>
        <w:gridCol w:w="2131"/>
      </w:tblGrid>
      <w:tr>
        <w:trPr>
          <w:trHeight w:val="329" w:hRule="atLeast"/>
        </w:trPr>
        <w:tc>
          <w:tcPr>
            <w:tcW w:w="8021" w:type="dxa"/>
            <w:gridSpan w:val="4"/>
            <w:tcBorders>
              <w:top w:val="single" w:sz="8" w:space="0" w:color="000001"/>
              <w:left w:val="single" w:sz="8" w:space="0" w:color="000001"/>
              <w:bottom w:val="single" w:sz="8" w:space="0" w:color="000001"/>
              <w:insideH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b/>
                <w:bCs/>
                <w:lang w:val="fr-FR"/>
              </w:rPr>
              <w:t>2.1. CADRUL TEMATIC DE CERCETARE PE ANUL 2016</w:t>
            </w:r>
          </w:p>
        </w:tc>
        <w:tc>
          <w:tcPr>
            <w:tcW w:w="2131" w:type="dxa"/>
            <w:tcBorders>
              <w:top w:val="single" w:sz="8" w:space="0" w:color="000001"/>
              <w:right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lang w:val="fr-FR"/>
              </w:rPr>
              <w:t> </w:t>
            </w:r>
          </w:p>
        </w:tc>
      </w:tr>
      <w:tr>
        <w:trPr>
          <w:trHeight w:val="567" w:hRule="atLeast"/>
        </w:trPr>
        <w:tc>
          <w:tcPr>
            <w:tcW w:w="1254" w:type="dxa"/>
            <w:vMerge w:val="restart"/>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pPr>
            <w:r>
              <w:rPr>
                <w:b/>
                <w:bCs/>
              </w:rPr>
              <w:t>Nr. d/o</w:t>
            </w:r>
          </w:p>
        </w:tc>
        <w:tc>
          <w:tcPr>
            <w:tcW w:w="4544" w:type="dxa"/>
            <w:vMerge w:val="restart"/>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center"/>
              <w:textAlignment w:val="auto"/>
              <w:rPr/>
            </w:pPr>
            <w:r>
              <w:rPr>
                <w:b/>
                <w:bCs/>
              </w:rPr>
              <w:t> </w:t>
            </w:r>
          </w:p>
        </w:tc>
        <w:tc>
          <w:tcPr>
            <w:tcW w:w="4354"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pPr>
            <w:r>
              <w:rPr>
                <w:rFonts w:cs="Times New Roman CE" w:ascii="Times New Roman CE" w:hAnsi="Times New Roman CE"/>
                <w:b/>
                <w:bCs/>
              </w:rPr>
              <w:t>Numărul de pr</w:t>
            </w:r>
            <w:r>
              <w:rPr>
                <w:b/>
                <w:bCs/>
              </w:rPr>
              <w:t>oiecte</w:t>
            </w:r>
          </w:p>
        </w:tc>
      </w:tr>
      <w:tr>
        <w:trPr>
          <w:trHeight w:val="373" w:hRule="atLeast"/>
        </w:trPr>
        <w:tc>
          <w:tcPr>
            <w:tcW w:w="1254" w:type="dxa"/>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b/>
                <w:b/>
                <w:bCs/>
              </w:rPr>
            </w:pPr>
            <w:r>
              <w:rPr>
                <w:b/>
                <w:bCs/>
              </w:rPr>
            </w:r>
          </w:p>
        </w:tc>
        <w:tc>
          <w:tcPr>
            <w:tcW w:w="4544" w:type="dxa"/>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b/>
                <w:b/>
                <w:bCs/>
              </w:rPr>
            </w:pPr>
            <w:r>
              <w:rPr>
                <w:b/>
                <w:bCs/>
              </w:rPr>
            </w:r>
          </w:p>
        </w:tc>
        <w:tc>
          <w:tcPr>
            <w:tcW w:w="2222" w:type="dxa"/>
            <w:tcBorders>
              <w:bottom w:val="single" w:sz="8" w:space="0" w:color="000001"/>
              <w:insideH w:val="single" w:sz="8" w:space="0" w:color="000001"/>
            </w:tcBorders>
            <w:shd w:fill="auto" w:val="clear"/>
            <w:vAlign w:val="center"/>
          </w:tcPr>
          <w:p>
            <w:pPr>
              <w:pStyle w:val="Normal"/>
              <w:widowControl/>
              <w:bidi w:val="0"/>
              <w:ind w:left="0" w:right="0" w:hanging="0"/>
              <w:jc w:val="center"/>
              <w:textAlignment w:val="auto"/>
              <w:rPr/>
            </w:pPr>
            <w:r>
              <w:rPr>
                <w:b/>
                <w:bCs/>
              </w:rPr>
              <w:t>fundamentale</w:t>
            </w:r>
          </w:p>
        </w:tc>
        <w:tc>
          <w:tcPr>
            <w:tcW w:w="2132"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pPr>
            <w:r>
              <w:rPr>
                <w:b/>
                <w:bCs/>
              </w:rPr>
              <w:t>aplicative</w:t>
            </w:r>
          </w:p>
        </w:tc>
      </w:tr>
      <w:tr>
        <w:trPr>
          <w:trHeight w:val="314" w:hRule="atLeast"/>
        </w:trPr>
        <w:tc>
          <w:tcPr>
            <w:tcW w:w="125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b/>
                <w:bCs/>
              </w:rPr>
              <w:t>2.1.</w:t>
            </w:r>
          </w:p>
        </w:tc>
        <w:tc>
          <w:tcPr>
            <w:tcW w:w="4544"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b/>
                <w:bCs/>
              </w:rPr>
              <w:t xml:space="preserve">TOTAL </w:t>
            </w:r>
          </w:p>
        </w:tc>
        <w:tc>
          <w:tcPr>
            <w:tcW w:w="2222" w:type="dxa"/>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ro-RO"/>
              </w:rPr>
            </w:pPr>
            <w:r>
              <w:rPr>
                <w:b/>
                <w:bCs/>
                <w:lang w:val="ro-RO"/>
              </w:rPr>
              <w:t>0</w:t>
            </w:r>
          </w:p>
        </w:tc>
        <w:tc>
          <w:tcPr>
            <w:tcW w:w="2132"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ro-RO"/>
              </w:rPr>
            </w:pPr>
            <w:r>
              <w:rPr>
                <w:b/>
                <w:bCs/>
                <w:lang w:val="ro-RO"/>
              </w:rPr>
              <w:t>2</w:t>
            </w:r>
          </w:p>
        </w:tc>
      </w:tr>
      <w:tr>
        <w:trPr>
          <w:trHeight w:val="314" w:hRule="atLeast"/>
        </w:trPr>
        <w:tc>
          <w:tcPr>
            <w:tcW w:w="125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b/>
                <w:bCs/>
              </w:rPr>
              <w:t>2.1.1.</w:t>
            </w:r>
          </w:p>
        </w:tc>
        <w:tc>
          <w:tcPr>
            <w:tcW w:w="454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rFonts w:cs="Times New Roman CE" w:ascii="Times New Roman CE" w:hAnsi="Times New Roman CE"/>
                <w:b/>
                <w:bCs/>
              </w:rPr>
              <w:t>Cercetări ştiinţifice, total</w:t>
            </w:r>
          </w:p>
        </w:tc>
        <w:tc>
          <w:tcPr>
            <w:tcW w:w="2222" w:type="dxa"/>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ro-RO"/>
              </w:rPr>
            </w:pPr>
            <w:r>
              <w:rPr>
                <w:b/>
                <w:bCs/>
                <w:lang w:val="ro-RO"/>
              </w:rPr>
              <w:t>0</w:t>
            </w:r>
          </w:p>
        </w:tc>
        <w:tc>
          <w:tcPr>
            <w:tcW w:w="2132"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ro-RO"/>
              </w:rPr>
            </w:pPr>
            <w:r>
              <w:rPr>
                <w:b/>
                <w:bCs/>
                <w:lang w:val="ro-RO"/>
              </w:rPr>
              <w:t>1</w:t>
            </w:r>
          </w:p>
        </w:tc>
      </w:tr>
      <w:tr>
        <w:trPr>
          <w:trHeight w:val="314" w:hRule="atLeast"/>
        </w:trPr>
        <w:tc>
          <w:tcPr>
            <w:tcW w:w="125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 </w:t>
            </w:r>
          </w:p>
        </w:tc>
        <w:tc>
          <w:tcPr>
            <w:tcW w:w="4544"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 xml:space="preserve">Inclusiv </w:t>
            </w:r>
          </w:p>
        </w:tc>
        <w:tc>
          <w:tcPr>
            <w:tcW w:w="2222" w:type="dxa"/>
            <w:tcBorders>
              <w:bottom w:val="single" w:sz="8" w:space="0" w:color="000001"/>
              <w:insideH w:val="single" w:sz="8" w:space="0" w:color="000001"/>
            </w:tcBorders>
            <w:shd w:color="auto" w:fill="C0C0C0"/>
          </w:tcPr>
          <w:p>
            <w:pPr>
              <w:pStyle w:val="Normal"/>
              <w:widowControl/>
              <w:bidi w:val="0"/>
              <w:ind w:left="0" w:right="0" w:hanging="0"/>
              <w:jc w:val="center"/>
              <w:textAlignment w:val="auto"/>
              <w:rPr/>
            </w:pPr>
            <w:r>
              <w:rPr>
                <w:b/>
                <w:bCs/>
              </w:rPr>
              <w:t> </w:t>
            </w:r>
          </w:p>
        </w:tc>
        <w:tc>
          <w:tcPr>
            <w:tcW w:w="2132" w:type="dxa"/>
            <w:gridSpan w:val="2"/>
            <w:tcBorders>
              <w:left w:val="single" w:sz="8" w:space="0" w:color="000001"/>
              <w:bottom w:val="single" w:sz="8" w:space="0" w:color="000001"/>
              <w:right w:val="single" w:sz="8" w:space="0" w:color="000001"/>
              <w:insideH w:val="single" w:sz="8" w:space="0" w:color="000001"/>
              <w:insideV w:val="single" w:sz="8" w:space="0" w:color="000001"/>
            </w:tcBorders>
            <w:shd w:color="auto" w:fill="C0C0C0"/>
            <w:tcMar>
              <w:left w:w="98" w:type="dxa"/>
            </w:tcMar>
          </w:tcPr>
          <w:p>
            <w:pPr>
              <w:pStyle w:val="Normal"/>
              <w:widowControl/>
              <w:bidi w:val="0"/>
              <w:ind w:left="0" w:right="0" w:hanging="0"/>
              <w:jc w:val="center"/>
              <w:textAlignment w:val="auto"/>
              <w:rPr/>
            </w:pPr>
            <w:r>
              <w:rPr>
                <w:b/>
                <w:bCs/>
              </w:rPr>
              <w:t> </w:t>
            </w:r>
          </w:p>
        </w:tc>
      </w:tr>
      <w:tr>
        <w:trPr>
          <w:trHeight w:val="298" w:hRule="atLeast"/>
        </w:trPr>
        <w:tc>
          <w:tcPr>
            <w:tcW w:w="125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2.1.1.1.</w:t>
            </w:r>
          </w:p>
        </w:tc>
        <w:tc>
          <w:tcPr>
            <w:tcW w:w="4544"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40"/>
              <w:jc w:val="left"/>
              <w:textAlignment w:val="auto"/>
              <w:rPr/>
            </w:pPr>
            <w:r>
              <w:rPr>
                <w:rFonts w:cs="Times New Roman CE" w:ascii="Times New Roman CE" w:hAnsi="Times New Roman CE"/>
              </w:rPr>
              <w:t>Proiecte de cercetări instituţionale</w:t>
            </w:r>
          </w:p>
        </w:tc>
        <w:tc>
          <w:tcPr>
            <w:tcW w:w="2222"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 </w:t>
            </w:r>
          </w:p>
        </w:tc>
        <w:tc>
          <w:tcPr>
            <w:tcW w:w="2132"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ro-RO"/>
              </w:rPr>
            </w:pPr>
            <w:r>
              <w:rPr>
                <w:lang w:val="ro-RO"/>
              </w:rPr>
              <w:t>1</w:t>
            </w:r>
          </w:p>
        </w:tc>
      </w:tr>
      <w:tr>
        <w:trPr>
          <w:trHeight w:val="298" w:hRule="atLeast"/>
        </w:trPr>
        <w:tc>
          <w:tcPr>
            <w:tcW w:w="125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2.1.1.2.</w:t>
            </w:r>
          </w:p>
        </w:tc>
        <w:tc>
          <w:tcPr>
            <w:tcW w:w="4544"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40"/>
              <w:jc w:val="left"/>
              <w:textAlignment w:val="auto"/>
              <w:rPr>
                <w:lang w:val="fr-FR"/>
              </w:rPr>
            </w:pPr>
            <w:r>
              <w:rPr>
                <w:lang w:val="fr-FR"/>
              </w:rPr>
              <w:t>Proiecte din cadrul programelor de stat</w:t>
            </w:r>
          </w:p>
        </w:tc>
        <w:tc>
          <w:tcPr>
            <w:tcW w:w="2222"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lang w:val="fr-FR"/>
              </w:rPr>
            </w:pPr>
            <w:r>
              <w:rPr>
                <w:lang w:val="fr-FR"/>
              </w:rPr>
            </w:r>
          </w:p>
        </w:tc>
        <w:tc>
          <w:tcPr>
            <w:tcW w:w="2132"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fr-FR"/>
              </w:rPr>
            </w:pPr>
            <w:r>
              <w:rPr>
                <w:lang w:val="fr-FR"/>
              </w:rPr>
              <w:t> </w:t>
            </w:r>
          </w:p>
        </w:tc>
      </w:tr>
      <w:tr>
        <w:trPr>
          <w:trHeight w:val="298" w:hRule="atLeast"/>
        </w:trPr>
        <w:tc>
          <w:tcPr>
            <w:tcW w:w="125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2.1.1.3.</w:t>
            </w:r>
          </w:p>
        </w:tc>
        <w:tc>
          <w:tcPr>
            <w:tcW w:w="4544"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40"/>
              <w:jc w:val="left"/>
              <w:textAlignment w:val="auto"/>
              <w:rPr/>
            </w:pPr>
            <w:r>
              <w:rPr>
                <w:rFonts w:cs="Times New Roman CE" w:ascii="Times New Roman CE" w:hAnsi="Times New Roman CE"/>
              </w:rPr>
              <w:t>Proiecte pentru tineri cercetător</w:t>
            </w:r>
            <w:r>
              <w:rPr/>
              <w:t>i</w:t>
            </w:r>
          </w:p>
        </w:tc>
        <w:tc>
          <w:tcPr>
            <w:tcW w:w="2222"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 </w:t>
            </w:r>
          </w:p>
        </w:tc>
        <w:tc>
          <w:tcPr>
            <w:tcW w:w="2132"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 </w:t>
            </w:r>
          </w:p>
        </w:tc>
      </w:tr>
      <w:tr>
        <w:trPr>
          <w:trHeight w:val="298" w:hRule="atLeast"/>
        </w:trPr>
        <w:tc>
          <w:tcPr>
            <w:tcW w:w="125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2.1.1.4.</w:t>
            </w:r>
          </w:p>
        </w:tc>
        <w:tc>
          <w:tcPr>
            <w:tcW w:w="4544"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40"/>
              <w:jc w:val="left"/>
              <w:textAlignment w:val="auto"/>
              <w:rPr/>
            </w:pPr>
            <w:r>
              <w:rPr/>
              <w:t>Proiecte pentru procurarea echipamentului</w:t>
            </w:r>
          </w:p>
        </w:tc>
        <w:tc>
          <w:tcPr>
            <w:tcW w:w="2222"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 </w:t>
            </w:r>
          </w:p>
        </w:tc>
        <w:tc>
          <w:tcPr>
            <w:tcW w:w="2132"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 </w:t>
            </w:r>
          </w:p>
        </w:tc>
      </w:tr>
      <w:tr>
        <w:trPr>
          <w:trHeight w:val="314" w:hRule="atLeast"/>
        </w:trPr>
        <w:tc>
          <w:tcPr>
            <w:tcW w:w="125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2.1.2.</w:t>
            </w:r>
          </w:p>
        </w:tc>
        <w:tc>
          <w:tcPr>
            <w:tcW w:w="4544"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41"/>
              <w:jc w:val="left"/>
              <w:textAlignment w:val="auto"/>
              <w:rPr/>
            </w:pPr>
            <w:r>
              <w:rPr>
                <w:rFonts w:cs="Times New Roman CE" w:ascii="Times New Roman CE" w:hAnsi="Times New Roman CE"/>
                <w:b/>
                <w:bCs/>
              </w:rPr>
              <w:t>Proiecte/granturi internaţionale</w:t>
            </w:r>
          </w:p>
        </w:tc>
        <w:tc>
          <w:tcPr>
            <w:tcW w:w="2222" w:type="dxa"/>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ro-RO"/>
              </w:rPr>
            </w:pPr>
            <w:r>
              <w:rPr>
                <w:b/>
                <w:bCs/>
                <w:lang w:val="ro-RO"/>
              </w:rPr>
              <w:t>0</w:t>
            </w:r>
          </w:p>
        </w:tc>
        <w:tc>
          <w:tcPr>
            <w:tcW w:w="2132"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ro-RO"/>
              </w:rPr>
            </w:pPr>
            <w:r>
              <w:rPr>
                <w:b/>
                <w:bCs/>
                <w:lang w:val="ro-RO"/>
              </w:rPr>
              <w:t>1</w:t>
            </w:r>
          </w:p>
        </w:tc>
      </w:tr>
      <w:tr>
        <w:trPr>
          <w:trHeight w:val="314" w:hRule="atLeast"/>
        </w:trPr>
        <w:tc>
          <w:tcPr>
            <w:tcW w:w="125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2.1.2.1.</w:t>
            </w:r>
          </w:p>
        </w:tc>
        <w:tc>
          <w:tcPr>
            <w:tcW w:w="4544"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40"/>
              <w:jc w:val="left"/>
              <w:textAlignment w:val="auto"/>
              <w:rPr/>
            </w:pPr>
            <w:r>
              <w:rPr/>
              <w:t xml:space="preserve">  </w:t>
            </w:r>
            <w:r>
              <w:rPr/>
              <w:t>Bilaterale</w:t>
            </w:r>
          </w:p>
        </w:tc>
        <w:tc>
          <w:tcPr>
            <w:tcW w:w="2222"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lang w:val="ro-RO"/>
              </w:rPr>
            </w:pPr>
            <w:r>
              <w:rPr>
                <w:lang w:val="ro-RO"/>
              </w:rPr>
            </w:r>
          </w:p>
        </w:tc>
        <w:tc>
          <w:tcPr>
            <w:tcW w:w="2132"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 </w:t>
            </w:r>
          </w:p>
        </w:tc>
      </w:tr>
      <w:tr>
        <w:trPr>
          <w:trHeight w:val="314" w:hRule="atLeast"/>
        </w:trPr>
        <w:tc>
          <w:tcPr>
            <w:tcW w:w="125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2.1.2.2.</w:t>
            </w:r>
          </w:p>
        </w:tc>
        <w:tc>
          <w:tcPr>
            <w:tcW w:w="4544"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40"/>
              <w:jc w:val="left"/>
              <w:textAlignment w:val="auto"/>
              <w:rPr/>
            </w:pPr>
            <w:r>
              <w:rPr/>
              <w:t xml:space="preserve">  </w:t>
            </w:r>
            <w:r>
              <w:rPr/>
              <w:t>PC6/PC7</w:t>
            </w:r>
          </w:p>
        </w:tc>
        <w:tc>
          <w:tcPr>
            <w:tcW w:w="2222" w:type="dxa"/>
            <w:tcBorders>
              <w:right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rPr>
            </w:pPr>
            <w:r>
              <w:rPr/>
            </w:r>
          </w:p>
        </w:tc>
        <w:tc>
          <w:tcPr>
            <w:tcW w:w="2132"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rPr>
            </w:pPr>
            <w:r>
              <w:rPr/>
            </w:r>
          </w:p>
        </w:tc>
      </w:tr>
      <w:tr>
        <w:trPr>
          <w:trHeight w:val="314" w:hRule="atLeast"/>
        </w:trPr>
        <w:tc>
          <w:tcPr>
            <w:tcW w:w="125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2.1.2.3.</w:t>
            </w:r>
          </w:p>
        </w:tc>
        <w:tc>
          <w:tcPr>
            <w:tcW w:w="4544" w:type="dxa"/>
            <w:tcBorders>
              <w:bottom w:val="single" w:sz="8" w:space="0" w:color="000001"/>
              <w:insideH w:val="single" w:sz="8" w:space="0" w:color="000001"/>
            </w:tcBorders>
            <w:shd w:fill="auto" w:val="clear"/>
          </w:tcPr>
          <w:p>
            <w:pPr>
              <w:pStyle w:val="Normal"/>
              <w:widowControl/>
              <w:bidi w:val="0"/>
              <w:ind w:left="0" w:right="0" w:firstLine="240"/>
              <w:jc w:val="left"/>
              <w:textAlignment w:val="auto"/>
              <w:rPr>
                <w:lang w:val="en-US"/>
              </w:rPr>
            </w:pPr>
            <w:r>
              <w:rPr>
                <w:lang w:val="en-US"/>
              </w:rPr>
              <w:t xml:space="preserve">  </w:t>
            </w:r>
            <w:r>
              <w:rPr>
                <w:lang w:val="en-US"/>
              </w:rPr>
              <w:t xml:space="preserve">Alte proiecte/granturi (STCU)   </w:t>
            </w:r>
          </w:p>
        </w:tc>
        <w:tc>
          <w:tcPr>
            <w:tcW w:w="2222"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center"/>
              <w:textAlignment w:val="auto"/>
              <w:rPr>
                <w:rFonts w:ascii="Times New Roman" w:hAnsi="Times New Roman"/>
                <w:lang w:val="en-US"/>
              </w:rPr>
            </w:pPr>
            <w:r>
              <w:rPr>
                <w:lang w:val="en-US"/>
              </w:rPr>
            </w:r>
          </w:p>
        </w:tc>
        <w:tc>
          <w:tcPr>
            <w:tcW w:w="2132"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lang w:val="en-US"/>
              </w:rPr>
              <w:t>1 </w:t>
            </w:r>
          </w:p>
        </w:tc>
      </w:tr>
      <w:tr>
        <w:trPr>
          <w:trHeight w:val="314" w:hRule="atLeast"/>
        </w:trPr>
        <w:tc>
          <w:tcPr>
            <w:tcW w:w="125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2.1.3.</w:t>
            </w:r>
          </w:p>
        </w:tc>
        <w:tc>
          <w:tcPr>
            <w:tcW w:w="4544"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rFonts w:cs="Times New Roman CE" w:ascii="Times New Roman CE" w:hAnsi="Times New Roman CE"/>
                <w:b/>
                <w:bCs/>
              </w:rPr>
              <w:t>Proiecte/granturi naţionale</w:t>
            </w:r>
          </w:p>
        </w:tc>
        <w:tc>
          <w:tcPr>
            <w:tcW w:w="2222"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 </w:t>
            </w:r>
          </w:p>
        </w:tc>
        <w:tc>
          <w:tcPr>
            <w:tcW w:w="2132"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 </w:t>
            </w:r>
          </w:p>
        </w:tc>
      </w:tr>
      <w:tr>
        <w:trPr>
          <w:trHeight w:val="314" w:hRule="atLeast"/>
        </w:trPr>
        <w:tc>
          <w:tcPr>
            <w:tcW w:w="125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2.1.4.</w:t>
            </w:r>
          </w:p>
        </w:tc>
        <w:tc>
          <w:tcPr>
            <w:tcW w:w="4544"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rPr>
              <w:t>Cont</w:t>
            </w:r>
            <w:r>
              <w:rPr>
                <w:rFonts w:cs="Times New Roman CE" w:ascii="Times New Roman CE" w:hAnsi="Times New Roman CE"/>
                <w:b/>
                <w:bCs/>
              </w:rPr>
              <w:t>racte cu agenţi economici</w:t>
            </w:r>
          </w:p>
        </w:tc>
        <w:tc>
          <w:tcPr>
            <w:tcW w:w="2222"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 </w:t>
            </w:r>
          </w:p>
        </w:tc>
        <w:tc>
          <w:tcPr>
            <w:tcW w:w="2132"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 </w:t>
            </w:r>
          </w:p>
        </w:tc>
      </w:tr>
    </w:tbl>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tabs>
          <w:tab w:val="left" w:pos="4215" w:leader="none"/>
        </w:tabs>
        <w:bidi w:val="0"/>
        <w:ind w:left="0" w:right="0" w:hanging="0"/>
        <w:jc w:val="left"/>
        <w:textAlignment w:val="auto"/>
        <w:rPr>
          <w:rFonts w:ascii="Times New Roman" w:hAnsi="Times New Roman"/>
        </w:rPr>
      </w:pPr>
      <w:r>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tbl>
      <w:tblPr>
        <w:tblW w:w="10859" w:type="dxa"/>
        <w:jc w:val="left"/>
        <w:tblInd w:w="-142" w:type="dxa"/>
        <w:tblBorders/>
        <w:tblCellMar>
          <w:top w:w="0" w:type="dxa"/>
          <w:left w:w="108" w:type="dxa"/>
          <w:bottom w:w="0" w:type="dxa"/>
          <w:right w:w="108" w:type="dxa"/>
        </w:tblCellMar>
      </w:tblPr>
      <w:tblGrid>
        <w:gridCol w:w="775"/>
        <w:gridCol w:w="57"/>
        <w:gridCol w:w="719"/>
        <w:gridCol w:w="775"/>
        <w:gridCol w:w="52"/>
        <w:gridCol w:w="625"/>
        <w:gridCol w:w="99"/>
        <w:gridCol w:w="137"/>
        <w:gridCol w:w="230"/>
        <w:gridCol w:w="483"/>
        <w:gridCol w:w="430"/>
        <w:gridCol w:w="103"/>
        <w:gridCol w:w="38"/>
        <w:gridCol w:w="429"/>
        <w:gridCol w:w="571"/>
        <w:gridCol w:w="93"/>
        <w:gridCol w:w="51"/>
        <w:gridCol w:w="428"/>
        <w:gridCol w:w="241"/>
        <w:gridCol w:w="330"/>
        <w:gridCol w:w="429"/>
        <w:gridCol w:w="142"/>
        <w:gridCol w:w="766"/>
        <w:gridCol w:w="1"/>
        <w:gridCol w:w="426"/>
        <w:gridCol w:w="2"/>
        <w:gridCol w:w="570"/>
        <w:gridCol w:w="1"/>
        <w:gridCol w:w="570"/>
        <w:gridCol w:w="1"/>
        <w:gridCol w:w="1284"/>
      </w:tblGrid>
      <w:tr>
        <w:trPr>
          <w:trHeight w:val="255" w:hRule="atLeast"/>
        </w:trPr>
        <w:tc>
          <w:tcPr>
            <w:tcW w:w="10858" w:type="dxa"/>
            <w:gridSpan w:val="31"/>
            <w:tcBorders/>
            <w:shd w:fill="auto" w:val="clear"/>
            <w:vAlign w:val="bottom"/>
          </w:tcPr>
          <w:p>
            <w:pPr>
              <w:pStyle w:val="Normal"/>
              <w:widowControl/>
              <w:bidi w:val="0"/>
              <w:ind w:left="0" w:right="0" w:hanging="0"/>
              <w:jc w:val="center"/>
              <w:textAlignment w:val="auto"/>
              <w:rPr>
                <w:lang w:val="en-US"/>
              </w:rPr>
            </w:pPr>
            <w:r>
              <w:rPr>
                <w:rFonts w:cs="Times New Roman CE" w:ascii="Times New Roman CE" w:hAnsi="Times New Roman CE"/>
                <w:b/>
                <w:bCs/>
                <w:sz w:val="18"/>
                <w:szCs w:val="18"/>
                <w:lang w:val="en-US"/>
              </w:rPr>
              <w:t xml:space="preserve">3. RESURSE UMANE ŞI RETRIBUIREA MUNCII </w:t>
            </w:r>
          </w:p>
        </w:tc>
      </w:tr>
      <w:tr>
        <w:trPr>
          <w:trHeight w:val="8645" w:hRule="atLeast"/>
        </w:trPr>
        <w:tc>
          <w:tcPr>
            <w:tcW w:w="10858" w:type="dxa"/>
            <w:gridSpan w:val="31"/>
            <w:tcBorders>
              <w:bottom w:val="single" w:sz="8" w:space="0" w:color="000001"/>
              <w:insideH w:val="single" w:sz="8" w:space="0" w:color="000001"/>
            </w:tcBorders>
            <w:shd w:fill="auto" w:val="clear"/>
            <w:vAlign w:val="bottom"/>
          </w:tcPr>
          <w:tbl>
            <w:tblPr>
              <w:tblW w:w="9957" w:type="dxa"/>
              <w:jc w:val="left"/>
              <w:tblInd w:w="0" w:type="dxa"/>
              <w:tblBorders>
                <w:bottom w:val="single" w:sz="8" w:space="0" w:color="000001"/>
                <w:insideH w:val="single" w:sz="8" w:space="0" w:color="000001"/>
              </w:tblBorders>
              <w:tblCellMar>
                <w:top w:w="0" w:type="dxa"/>
                <w:left w:w="108" w:type="dxa"/>
                <w:bottom w:w="0" w:type="dxa"/>
                <w:right w:w="108" w:type="dxa"/>
              </w:tblCellMar>
            </w:tblPr>
            <w:tblGrid>
              <w:gridCol w:w="714"/>
              <w:gridCol w:w="1587"/>
              <w:gridCol w:w="1"/>
              <w:gridCol w:w="708"/>
              <w:gridCol w:w="708"/>
              <w:gridCol w:w="1"/>
              <w:gridCol w:w="708"/>
              <w:gridCol w:w="1"/>
              <w:gridCol w:w="566"/>
              <w:gridCol w:w="1"/>
              <w:gridCol w:w="707"/>
              <w:gridCol w:w="1"/>
              <w:gridCol w:w="708"/>
              <w:gridCol w:w="1"/>
              <w:gridCol w:w="565"/>
              <w:gridCol w:w="1"/>
              <w:gridCol w:w="566"/>
              <w:gridCol w:w="1"/>
              <w:gridCol w:w="1"/>
              <w:gridCol w:w="707"/>
              <w:gridCol w:w="1"/>
              <w:gridCol w:w="1"/>
              <w:gridCol w:w="423"/>
              <w:gridCol w:w="1"/>
              <w:gridCol w:w="1"/>
              <w:gridCol w:w="565"/>
              <w:gridCol w:w="1"/>
              <w:gridCol w:w="1"/>
              <w:gridCol w:w="709"/>
            </w:tblGrid>
            <w:tr>
              <w:trPr>
                <w:trHeight w:val="360" w:hRule="atLeast"/>
              </w:trPr>
              <w:tc>
                <w:tcPr>
                  <w:tcW w:w="9956" w:type="dxa"/>
                  <w:gridSpan w:val="29"/>
                  <w:tcBorders>
                    <w:bottom w:val="single" w:sz="8" w:space="0" w:color="000001"/>
                    <w:insideH w:val="single" w:sz="8" w:space="0" w:color="000001"/>
                  </w:tcBorders>
                  <w:shd w:fill="auto" w:val="clear"/>
                  <w:vAlign w:val="bottom"/>
                </w:tcPr>
                <w:p>
                  <w:pPr>
                    <w:pStyle w:val="Normal"/>
                    <w:widowControl/>
                    <w:bidi w:val="0"/>
                    <w:ind w:left="0" w:right="-675" w:hanging="0"/>
                    <w:jc w:val="center"/>
                    <w:textAlignment w:val="auto"/>
                    <w:rPr>
                      <w:lang w:val="fr-FR"/>
                    </w:rPr>
                  </w:pPr>
                  <w:r>
                    <w:rPr>
                      <w:rFonts w:cs="Times New Roman CE" w:ascii="Times New Roman CE" w:hAnsi="Times New Roman CE"/>
                      <w:b/>
                      <w:bCs/>
                      <w:sz w:val="20"/>
                      <w:szCs w:val="20"/>
                      <w:lang w:val="fr-FR" w:eastAsia="en-US"/>
                    </w:rPr>
                    <w:t>3.1. Resurse umane şi structura personalului după ocupaţie, v</w:t>
                  </w:r>
                  <w:r>
                    <w:rPr>
                      <w:b/>
                      <w:bCs/>
                      <w:sz w:val="20"/>
                      <w:szCs w:val="20"/>
                      <w:lang w:val="fr-FR" w:eastAsia="en-US"/>
                    </w:rPr>
                    <w:t>â</w:t>
                  </w:r>
                  <w:r>
                    <w:rPr>
                      <w:rFonts w:cs="Times New Roman CE" w:ascii="Times New Roman CE" w:hAnsi="Times New Roman CE"/>
                      <w:b/>
                      <w:bCs/>
                      <w:sz w:val="20"/>
                      <w:szCs w:val="20"/>
                      <w:lang w:val="fr-FR" w:eastAsia="en-US"/>
                    </w:rPr>
                    <w:t>rstă şi gen</w:t>
                  </w:r>
                  <w:r>
                    <w:rPr>
                      <w:b/>
                      <w:bCs/>
                      <w:sz w:val="20"/>
                      <w:szCs w:val="20"/>
                      <w:lang w:val="fr-FR" w:eastAsia="en-US"/>
                    </w:rPr>
                    <w:t xml:space="preserve"> 2016</w:t>
                  </w:r>
                </w:p>
              </w:tc>
            </w:tr>
            <w:tr>
              <w:trPr>
                <w:trHeight w:val="270" w:hRule="atLeast"/>
              </w:trPr>
              <w:tc>
                <w:tcPr>
                  <w:tcW w:w="2302" w:type="dxa"/>
                  <w:gridSpan w:val="3"/>
                  <w:vMerge w:val="restart"/>
                  <w:tcBorders>
                    <w:top w:val="single" w:sz="8" w:space="0" w:color="000001"/>
                    <w:left w:val="single" w:sz="8" w:space="0" w:color="000001"/>
                    <w:bottom w:val="single" w:sz="8" w:space="0" w:color="000001"/>
                    <w:insideH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color w:val="000000"/>
                      <w:sz w:val="20"/>
                      <w:szCs w:val="20"/>
                      <w:lang w:val="en-US" w:eastAsia="en-US"/>
                    </w:rPr>
                    <w:t>Categorii de personal</w:t>
                  </w:r>
                </w:p>
              </w:tc>
              <w:tc>
                <w:tcPr>
                  <w:tcW w:w="708" w:type="dxa"/>
                  <w:vMerge w:val="restart"/>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extDirection w:val="btLr"/>
                  <w:vAlign w:val="center"/>
                </w:tcPr>
                <w:p>
                  <w:pPr>
                    <w:pStyle w:val="Normal"/>
                    <w:widowControl/>
                    <w:bidi w:val="0"/>
                    <w:ind w:left="0" w:right="0" w:hanging="0"/>
                    <w:jc w:val="center"/>
                    <w:textAlignment w:val="auto"/>
                    <w:rPr>
                      <w:lang w:val="en-US"/>
                    </w:rPr>
                  </w:pPr>
                  <w:r>
                    <w:rPr>
                      <w:sz w:val="20"/>
                      <w:szCs w:val="20"/>
                      <w:lang w:val="en-US" w:eastAsia="en-US"/>
                    </w:rPr>
                    <w:t>Unitati conform statelor de personal</w:t>
                  </w:r>
                </w:p>
              </w:tc>
              <w:tc>
                <w:tcPr>
                  <w:tcW w:w="6946" w:type="dxa"/>
                  <w:gridSpan w:val="25"/>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Persoane fizice</w:t>
                  </w:r>
                </w:p>
              </w:tc>
            </w:tr>
            <w:tr>
              <w:trPr>
                <w:trHeight w:val="285" w:hRule="atLeast"/>
              </w:trPr>
              <w:tc>
                <w:tcPr>
                  <w:tcW w:w="2302" w:type="dxa"/>
                  <w:gridSpan w:val="3"/>
                  <w:vMerge w:val="continue"/>
                  <w:tcBorders>
                    <w:top w:val="single" w:sz="8" w:space="0" w:color="000001"/>
                    <w:left w:val="single" w:sz="8" w:space="0" w:color="000001"/>
                    <w:bottom w:val="single" w:sz="8" w:space="0" w:color="000001"/>
                    <w:insideH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color w:val="000000"/>
                      <w:sz w:val="20"/>
                      <w:szCs w:val="20"/>
                      <w:lang w:val="en-US" w:eastAsia="en-US"/>
                    </w:rPr>
                  </w:pPr>
                  <w:r>
                    <w:rPr>
                      <w:color w:val="000000"/>
                      <w:sz w:val="20"/>
                      <w:szCs w:val="20"/>
                      <w:lang w:val="en-US" w:eastAsia="en-US"/>
                    </w:rPr>
                  </w:r>
                </w:p>
              </w:tc>
              <w:tc>
                <w:tcPr>
                  <w:tcW w:w="708" w:type="dxa"/>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c>
                <w:tcPr>
                  <w:tcW w:w="709" w:type="dxa"/>
                  <w:gridSpan w:val="2"/>
                  <w:vMerge w:val="restart"/>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extDirection w:val="btLr"/>
                  <w:vAlign w:val="center"/>
                </w:tcPr>
                <w:p>
                  <w:pPr>
                    <w:pStyle w:val="Normal"/>
                    <w:widowControl/>
                    <w:bidi w:val="0"/>
                    <w:ind w:left="0" w:right="0" w:hanging="0"/>
                    <w:jc w:val="center"/>
                    <w:textAlignment w:val="auto"/>
                    <w:rPr>
                      <w:lang w:val="en-US"/>
                    </w:rPr>
                  </w:pPr>
                  <w:r>
                    <w:rPr>
                      <w:rFonts w:cs="Times New Roman CE" w:ascii="Times New Roman CE" w:hAnsi="Times New Roman CE"/>
                      <w:sz w:val="20"/>
                      <w:szCs w:val="20"/>
                      <w:lang w:val="en-US" w:eastAsia="en-US"/>
                    </w:rPr>
                    <w:t>De bază</w:t>
                  </w:r>
                </w:p>
              </w:tc>
              <w:tc>
                <w:tcPr>
                  <w:tcW w:w="3827" w:type="dxa"/>
                  <w:gridSpan w:val="13"/>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inclusiv</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extDirection w:val="btLr"/>
                  <w:vAlign w:val="center"/>
                </w:tcPr>
                <w:p>
                  <w:pPr>
                    <w:pStyle w:val="Normal"/>
                    <w:widowControl/>
                    <w:bidi w:val="0"/>
                    <w:ind w:left="0" w:right="0" w:hanging="0"/>
                    <w:jc w:val="center"/>
                    <w:textAlignment w:val="auto"/>
                    <w:rPr>
                      <w:lang w:val="en-US"/>
                    </w:rPr>
                  </w:pPr>
                  <w:r>
                    <w:rPr>
                      <w:sz w:val="20"/>
                      <w:szCs w:val="20"/>
                      <w:lang w:val="en-US" w:eastAsia="en-US"/>
                    </w:rPr>
                    <w:t>Cumul intern</w:t>
                  </w:r>
                </w:p>
              </w:tc>
              <w:tc>
                <w:tcPr>
                  <w:tcW w:w="425"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extDirection w:val="btLr"/>
                  <w:vAlign w:val="center"/>
                </w:tcPr>
                <w:p>
                  <w:pPr>
                    <w:pStyle w:val="Normal"/>
                    <w:widowControl/>
                    <w:bidi w:val="0"/>
                    <w:ind w:left="0" w:right="0" w:hanging="0"/>
                    <w:jc w:val="center"/>
                    <w:textAlignment w:val="auto"/>
                    <w:rPr>
                      <w:lang w:val="en-US"/>
                    </w:rPr>
                  </w:pPr>
                  <w:r>
                    <w:rPr>
                      <w:sz w:val="20"/>
                      <w:szCs w:val="20"/>
                      <w:lang w:val="en-US" w:eastAsia="en-US"/>
                    </w:rPr>
                    <w:t>Cumul extern</w:t>
                  </w:r>
                </w:p>
              </w:tc>
              <w:tc>
                <w:tcPr>
                  <w:tcW w:w="567"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extDirection w:val="btLr"/>
                  <w:vAlign w:val="center"/>
                </w:tcPr>
                <w:p>
                  <w:pPr>
                    <w:pStyle w:val="Normal"/>
                    <w:widowControl/>
                    <w:bidi w:val="0"/>
                    <w:ind w:left="0" w:right="0" w:hanging="0"/>
                    <w:jc w:val="center"/>
                    <w:textAlignment w:val="auto"/>
                    <w:rPr>
                      <w:lang w:val="en-US"/>
                    </w:rPr>
                  </w:pPr>
                  <w:r>
                    <w:rPr>
                      <w:rFonts w:cs="Times New Roman CE" w:ascii="Times New Roman CE" w:hAnsi="Times New Roman CE"/>
                      <w:sz w:val="20"/>
                      <w:szCs w:val="20"/>
                      <w:lang w:val="en-US" w:eastAsia="en-US"/>
                    </w:rPr>
                    <w:t>Acord de muncă (netitulari)</w:t>
                  </w:r>
                </w:p>
              </w:tc>
              <w:tc>
                <w:tcPr>
                  <w:tcW w:w="70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extDirection w:val="btLr"/>
                  <w:vAlign w:val="center"/>
                </w:tcPr>
                <w:p>
                  <w:pPr>
                    <w:pStyle w:val="Normal"/>
                    <w:widowControl/>
                    <w:bidi w:val="0"/>
                    <w:ind w:left="0" w:right="0" w:hanging="0"/>
                    <w:jc w:val="center"/>
                    <w:textAlignment w:val="auto"/>
                    <w:rPr>
                      <w:lang w:val="fr-FR"/>
                    </w:rPr>
                  </w:pPr>
                  <w:r>
                    <w:rPr>
                      <w:rFonts w:cs="Times New Roman CE" w:ascii="Times New Roman CE" w:hAnsi="Times New Roman CE"/>
                      <w:sz w:val="20"/>
                      <w:szCs w:val="20"/>
                      <w:lang w:val="fr-FR" w:eastAsia="en-US"/>
                    </w:rPr>
                    <w:t>Total (fară cumul intern şi acord de muncă)</w:t>
                  </w:r>
                </w:p>
              </w:tc>
            </w:tr>
            <w:tr>
              <w:trPr>
                <w:trHeight w:val="1410" w:hRule="atLeast"/>
              </w:trPr>
              <w:tc>
                <w:tcPr>
                  <w:tcW w:w="2301" w:type="dxa"/>
                  <w:gridSpan w:val="2"/>
                  <w:vMerge w:val="continue"/>
                  <w:tcBorders>
                    <w:top w:val="single" w:sz="8" w:space="0" w:color="000001"/>
                    <w:left w:val="single" w:sz="8" w:space="0" w:color="000001"/>
                    <w:bottom w:val="single" w:sz="8" w:space="0" w:color="000001"/>
                    <w:insideH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color w:val="000000"/>
                      <w:sz w:val="20"/>
                      <w:szCs w:val="20"/>
                      <w:lang w:val="fr-FR" w:eastAsia="en-US"/>
                    </w:rPr>
                  </w:pPr>
                  <w:r>
                    <w:rPr>
                      <w:color w:val="000000"/>
                      <w:sz w:val="20"/>
                      <w:szCs w:val="20"/>
                      <w:lang w:val="fr-FR" w:eastAsia="en-US"/>
                    </w:rPr>
                  </w:r>
                </w:p>
              </w:tc>
              <w:tc>
                <w:tcPr>
                  <w:tcW w:w="709" w:type="dxa"/>
                  <w:gridSpan w:val="2"/>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fr-FR" w:eastAsia="en-US"/>
                    </w:rPr>
                  </w:pPr>
                  <w:r>
                    <w:rPr>
                      <w:sz w:val="20"/>
                      <w:szCs w:val="20"/>
                      <w:lang w:val="fr-FR" w:eastAsia="en-US"/>
                    </w:rPr>
                  </w:r>
                </w:p>
              </w:tc>
              <w:tc>
                <w:tcPr>
                  <w:tcW w:w="708" w:type="dxa"/>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fr-FR" w:eastAsia="en-US"/>
                    </w:rPr>
                  </w:pPr>
                  <w:r>
                    <w:rPr>
                      <w:sz w:val="20"/>
                      <w:szCs w:val="20"/>
                      <w:lang w:val="fr-FR" w:eastAsia="en-US"/>
                    </w:rPr>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rFonts w:cs="Times New Roman CE" w:ascii="Times New Roman CE" w:hAnsi="Times New Roman CE"/>
                      <w:sz w:val="20"/>
                      <w:szCs w:val="20"/>
                      <w:lang w:val="en-US" w:eastAsia="en-US"/>
                    </w:rPr>
                    <w:t>Pînă la 25</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20"/>
                      <w:szCs w:val="20"/>
                      <w:lang w:val="en-US" w:eastAsia="en-US"/>
                    </w:rPr>
                    <w:t>25-34</w:t>
                  </w:r>
                </w:p>
              </w:tc>
              <w:tc>
                <w:tcPr>
                  <w:tcW w:w="708"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20"/>
                      <w:szCs w:val="20"/>
                      <w:lang w:val="en-US" w:eastAsia="en-US"/>
                    </w:rPr>
                    <w:t>35-44</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20"/>
                      <w:szCs w:val="20"/>
                      <w:lang w:val="en-US" w:eastAsia="en-US"/>
                    </w:rPr>
                    <w:t>45-54</w:t>
                  </w:r>
                </w:p>
              </w:tc>
              <w:tc>
                <w:tcPr>
                  <w:tcW w:w="566"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20"/>
                      <w:szCs w:val="20"/>
                      <w:lang w:val="en-US" w:eastAsia="en-US"/>
                    </w:rPr>
                    <w:t>55-64</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rFonts w:cs="Times New Roman CE" w:ascii="Times New Roman CE" w:hAnsi="Times New Roman CE"/>
                      <w:sz w:val="20"/>
                      <w:szCs w:val="20"/>
                      <w:lang w:val="en-US" w:eastAsia="en-US"/>
                    </w:rPr>
                    <w:t>65 şi peste</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c>
                <w:tcPr>
                  <w:tcW w:w="425"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c>
                <w:tcPr>
                  <w:tcW w:w="567"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c>
                <w:tcPr>
                  <w:tcW w:w="711"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295" w:hRule="atLeast"/>
              </w:trPr>
              <w:tc>
                <w:tcPr>
                  <w:tcW w:w="2301"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lang w:val="en-US"/>
                    </w:rPr>
                  </w:pPr>
                  <w:r>
                    <w:rPr>
                      <w:color w:val="000000"/>
                      <w:sz w:val="20"/>
                      <w:szCs w:val="20"/>
                      <w:lang w:val="en-US" w:eastAsia="en-US"/>
                    </w:rPr>
                    <w:t>Conducatori</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 </w:t>
                  </w:r>
                  <w:r>
                    <w:rPr>
                      <w:sz w:val="20"/>
                      <w:szCs w:val="20"/>
                      <w:lang w:val="en-US" w:eastAsia="en-US"/>
                    </w:rPr>
                    <w:t>1</w:t>
                  </w:r>
                </w:p>
              </w:tc>
              <w:tc>
                <w:tcPr>
                  <w:tcW w:w="708" w:type="dxa"/>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20"/>
                      <w:szCs w:val="20"/>
                      <w:lang w:val="en-US" w:eastAsia="en-US"/>
                    </w:rPr>
                    <w:t>1</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20"/>
                      <w:szCs w:val="20"/>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20"/>
                      <w:szCs w:val="20"/>
                      <w:lang w:val="en-US" w:eastAsia="en-US"/>
                    </w:rPr>
                    <w:t> </w:t>
                  </w:r>
                </w:p>
              </w:tc>
              <w:tc>
                <w:tcPr>
                  <w:tcW w:w="708"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20"/>
                      <w:szCs w:val="20"/>
                      <w:lang w:val="en-US" w:eastAsia="en-US"/>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20"/>
                      <w:szCs w:val="20"/>
                      <w:lang w:val="en-US" w:eastAsia="en-US"/>
                    </w:rPr>
                    <w:t> </w:t>
                  </w:r>
                </w:p>
              </w:tc>
              <w:tc>
                <w:tcPr>
                  <w:tcW w:w="566"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1</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20"/>
                      <w:szCs w:val="20"/>
                      <w:lang w:val="en-US" w:eastAsia="en-US"/>
                    </w:rPr>
                    <w:t>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20"/>
                      <w:szCs w:val="20"/>
                      <w:lang w:val="en-US" w:eastAsia="en-US"/>
                    </w:rPr>
                    <w:t> </w:t>
                  </w:r>
                </w:p>
              </w:tc>
              <w:tc>
                <w:tcPr>
                  <w:tcW w:w="425" w:type="dxa"/>
                  <w:gridSpan w:val="3"/>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20"/>
                      <w:szCs w:val="20"/>
                      <w:lang w:val="en-US" w:eastAsia="en-US"/>
                    </w:rPr>
                    <w:t> </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20"/>
                      <w:szCs w:val="20"/>
                      <w:lang w:val="en-US" w:eastAsia="en-US"/>
                    </w:rPr>
                    <w:t> </w:t>
                  </w:r>
                </w:p>
              </w:tc>
              <w:tc>
                <w:tcPr>
                  <w:tcW w:w="711"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sz w:val="20"/>
                      <w:szCs w:val="20"/>
                      <w:lang w:val="en-US" w:eastAsia="en-US"/>
                    </w:rPr>
                    <w:t>1</w:t>
                  </w:r>
                </w:p>
              </w:tc>
            </w:tr>
            <w:tr>
              <w:trPr>
                <w:trHeight w:val="115" w:hRule="atLeast"/>
              </w:trPr>
              <w:tc>
                <w:tcPr>
                  <w:tcW w:w="714" w:type="dxa"/>
                  <w:tcBorders>
                    <w:left w:val="single" w:sz="8" w:space="0" w:color="000001"/>
                    <w:bottom w:val="single" w:sz="8" w:space="0" w:color="000001"/>
                    <w:insideH w:val="single" w:sz="8" w:space="0" w:color="000001"/>
                  </w:tcBorders>
                  <w:shd w:fill="auto" w:val="clear"/>
                  <w:tcMar>
                    <w:left w:w="98" w:type="dxa"/>
                  </w:tcMar>
                  <w:vAlign w:val="center"/>
                </w:tcPr>
                <w:p>
                  <w:pPr>
                    <w:pStyle w:val="Normal"/>
                    <w:widowControl/>
                    <w:bidi w:val="0"/>
                    <w:ind w:left="0" w:right="0" w:hanging="0"/>
                    <w:jc w:val="left"/>
                    <w:textAlignment w:val="auto"/>
                    <w:rPr>
                      <w:lang w:val="en-US"/>
                    </w:rPr>
                  </w:pPr>
                  <w:r>
                    <w:rPr>
                      <w:color w:val="000000"/>
                      <w:sz w:val="20"/>
                      <w:szCs w:val="20"/>
                      <w:lang w:val="en-US" w:eastAsia="en-US"/>
                    </w:rPr>
                    <w:t> </w:t>
                  </w:r>
                </w:p>
              </w:tc>
              <w:tc>
                <w:tcPr>
                  <w:tcW w:w="1588"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lang w:val="en-US"/>
                    </w:rPr>
                  </w:pPr>
                  <w:r>
                    <w:rPr>
                      <w:color w:val="000000"/>
                      <w:sz w:val="20"/>
                      <w:szCs w:val="20"/>
                      <w:lang w:val="en-US" w:eastAsia="en-US"/>
                    </w:rPr>
                    <w:t>Femei</w:t>
                  </w:r>
                </w:p>
              </w:tc>
              <w:tc>
                <w:tcPr>
                  <w:tcW w:w="708" w:type="dxa"/>
                  <w:tcBorders>
                    <w:bottom w:val="single" w:sz="8" w:space="0" w:color="000001"/>
                    <w:right w:val="single" w:sz="8" w:space="0" w:color="000001"/>
                    <w:insideH w:val="single" w:sz="8" w:space="0" w:color="000001"/>
                    <w:insideV w:val="single" w:sz="8" w:space="0" w:color="000001"/>
                  </w:tcBorders>
                  <w:shd w:color="auto" w:fill="C0C0C0"/>
                  <w:textDirection w:val="btLr"/>
                  <w:vAlign w:val="center"/>
                </w:tcPr>
                <w:p>
                  <w:pPr>
                    <w:pStyle w:val="Normal"/>
                    <w:widowControl/>
                    <w:bidi w:val="0"/>
                    <w:ind w:left="0" w:right="0" w:hanging="0"/>
                    <w:jc w:val="center"/>
                    <w:textAlignment w:val="auto"/>
                    <w:rPr>
                      <w:lang w:val="en-US"/>
                    </w:rPr>
                  </w:pPr>
                  <w:r>
                    <w:rPr>
                      <w:sz w:val="20"/>
                      <w:szCs w:val="20"/>
                      <w:lang w:val="en-US" w:eastAsia="en-US"/>
                    </w:rPr>
                    <w:t> </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0</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20"/>
                      <w:szCs w:val="20"/>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20"/>
                      <w:szCs w:val="20"/>
                      <w:lang w:val="en-US" w:eastAsia="en-US"/>
                    </w:rPr>
                    <w:t> </w:t>
                  </w:r>
                </w:p>
              </w:tc>
              <w:tc>
                <w:tcPr>
                  <w:tcW w:w="708"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20"/>
                      <w:szCs w:val="20"/>
                      <w:lang w:val="en-US" w:eastAsia="en-US"/>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20"/>
                      <w:szCs w:val="20"/>
                      <w:lang w:val="en-US" w:eastAsia="en-US"/>
                    </w:rPr>
                    <w:t> </w:t>
                  </w:r>
                </w:p>
              </w:tc>
              <w:tc>
                <w:tcPr>
                  <w:tcW w:w="566"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20"/>
                      <w:szCs w:val="20"/>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20"/>
                      <w:szCs w:val="20"/>
                      <w:lang w:val="en-US" w:eastAsia="en-US"/>
                    </w:rPr>
                    <w:t>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20"/>
                      <w:szCs w:val="20"/>
                      <w:lang w:val="en-US" w:eastAsia="en-US"/>
                    </w:rPr>
                    <w:t> </w:t>
                  </w:r>
                </w:p>
              </w:tc>
              <w:tc>
                <w:tcPr>
                  <w:tcW w:w="425" w:type="dxa"/>
                  <w:gridSpan w:val="3"/>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20"/>
                      <w:szCs w:val="20"/>
                      <w:lang w:val="en-US" w:eastAsia="en-US"/>
                    </w:rPr>
                    <w:t> </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20"/>
                      <w:szCs w:val="20"/>
                      <w:lang w:val="en-US" w:eastAsia="en-US"/>
                    </w:rPr>
                    <w:t> </w:t>
                  </w:r>
                </w:p>
              </w:tc>
              <w:tc>
                <w:tcPr>
                  <w:tcW w:w="710"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20"/>
                      <w:szCs w:val="20"/>
                      <w:lang w:val="en-US" w:eastAsia="en-US"/>
                    </w:rPr>
                    <w:t>0</w:t>
                  </w:r>
                </w:p>
              </w:tc>
            </w:tr>
            <w:tr>
              <w:trPr>
                <w:trHeight w:val="147" w:hRule="atLeast"/>
              </w:trPr>
              <w:tc>
                <w:tcPr>
                  <w:tcW w:w="2301"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Cercetători</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0"/>
                    <w:jc w:val="left"/>
                    <w:textAlignment w:val="auto"/>
                    <w:rPr>
                      <w:lang w:val="en-US"/>
                    </w:rPr>
                  </w:pPr>
                  <w:r>
                    <w:rPr>
                      <w:sz w:val="20"/>
                      <w:szCs w:val="20"/>
                      <w:lang w:val="en-US" w:eastAsia="en-US"/>
                    </w:rPr>
                    <w:t>6</w:t>
                  </w:r>
                </w:p>
              </w:tc>
              <w:tc>
                <w:tcPr>
                  <w:tcW w:w="708" w:type="dxa"/>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4</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c>
                <w:tcPr>
                  <w:tcW w:w="708"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1</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 </w:t>
                  </w:r>
                </w:p>
              </w:tc>
              <w:tc>
                <w:tcPr>
                  <w:tcW w:w="566"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1</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2</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 </w:t>
                  </w:r>
                  <w:r>
                    <w:rPr>
                      <w:sz w:val="20"/>
                      <w:szCs w:val="20"/>
                      <w:lang w:val="en-US" w:eastAsia="en-US"/>
                    </w:rPr>
                    <w:t>1</w:t>
                  </w:r>
                </w:p>
              </w:tc>
              <w:tc>
                <w:tcPr>
                  <w:tcW w:w="425"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 </w:t>
                  </w:r>
                  <w:r>
                    <w:rPr>
                      <w:sz w:val="20"/>
                      <w:szCs w:val="20"/>
                      <w:lang w:val="en-US" w:eastAsia="en-US"/>
                    </w:rPr>
                    <w:t>3</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lang w:val="en-US" w:eastAsia="en-US"/>
                    </w:rPr>
                    <w:t> </w:t>
                  </w:r>
                </w:p>
              </w:tc>
              <w:tc>
                <w:tcPr>
                  <w:tcW w:w="711"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20"/>
                      <w:szCs w:val="20"/>
                      <w:lang w:val="en-US" w:eastAsia="en-US"/>
                    </w:rPr>
                    <w:t>7</w:t>
                  </w:r>
                </w:p>
              </w:tc>
            </w:tr>
            <w:tr>
              <w:trPr>
                <w:trHeight w:val="193" w:hRule="atLeast"/>
              </w:trPr>
              <w:tc>
                <w:tcPr>
                  <w:tcW w:w="71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lang w:val="en-US"/>
                    </w:rPr>
                  </w:pPr>
                  <w:r>
                    <w:rPr>
                      <w:sz w:val="20"/>
                      <w:szCs w:val="20"/>
                      <w:lang w:val="en-US" w:eastAsia="en-US"/>
                    </w:rPr>
                    <w:t> </w:t>
                  </w:r>
                </w:p>
              </w:tc>
              <w:tc>
                <w:tcPr>
                  <w:tcW w:w="1588"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0"/>
                    <w:jc w:val="left"/>
                    <w:textAlignment w:val="auto"/>
                    <w:rPr>
                      <w:lang w:val="en-US"/>
                    </w:rPr>
                  </w:pPr>
                  <w:r>
                    <w:rPr>
                      <w:sz w:val="20"/>
                      <w:szCs w:val="20"/>
                      <w:lang w:val="en-US" w:eastAsia="en-US"/>
                    </w:rPr>
                    <w:t>Femei</w:t>
                  </w:r>
                </w:p>
              </w:tc>
              <w:tc>
                <w:tcPr>
                  <w:tcW w:w="708" w:type="dxa"/>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lang w:val="en-US"/>
                    </w:rPr>
                  </w:pPr>
                  <w:r>
                    <w:rPr>
                      <w:sz w:val="20"/>
                      <w:szCs w:val="20"/>
                      <w:lang w:val="en-US" w:eastAsia="en-US"/>
                    </w:rPr>
                    <w:t> </w:t>
                  </w:r>
                  <w:r>
                    <w:rPr>
                      <w:sz w:val="20"/>
                      <w:szCs w:val="20"/>
                      <w:lang w:val="en-US" w:eastAsia="en-US"/>
                    </w:rPr>
                    <w:t>1</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1</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c>
                <w:tcPr>
                  <w:tcW w:w="708"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1</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 </w:t>
                  </w:r>
                </w:p>
              </w:tc>
              <w:tc>
                <w:tcPr>
                  <w:tcW w:w="566"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1</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 </w:t>
                  </w:r>
                </w:p>
              </w:tc>
              <w:tc>
                <w:tcPr>
                  <w:tcW w:w="425"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 </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lang w:val="en-US" w:eastAsia="en-US"/>
                    </w:rPr>
                    <w:t> </w:t>
                  </w:r>
                </w:p>
              </w:tc>
              <w:tc>
                <w:tcPr>
                  <w:tcW w:w="710"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20"/>
                      <w:szCs w:val="20"/>
                      <w:lang w:val="en-US" w:eastAsia="en-US"/>
                    </w:rPr>
                    <w:t>1</w:t>
                  </w:r>
                </w:p>
              </w:tc>
            </w:tr>
            <w:tr>
              <w:trPr>
                <w:trHeight w:val="211" w:hRule="atLeast"/>
              </w:trPr>
              <w:tc>
                <w:tcPr>
                  <w:tcW w:w="2301"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right"/>
                    <w:textAlignment w:val="auto"/>
                    <w:rPr>
                      <w:lang w:val="en-US"/>
                    </w:rPr>
                  </w:pPr>
                  <w:r>
                    <w:rPr>
                      <w:i/>
                      <w:iCs/>
                      <w:sz w:val="20"/>
                      <w:szCs w:val="20"/>
                      <w:lang w:val="en-US" w:eastAsia="en-US"/>
                    </w:rPr>
                    <w:t>din ei</w:t>
                  </w:r>
                  <w:r>
                    <w:rPr>
                      <w:sz w:val="20"/>
                      <w:szCs w:val="20"/>
                      <w:lang w:val="en-US" w:eastAsia="en-US"/>
                    </w:rPr>
                    <w:t>:</w:t>
                  </w:r>
                </w:p>
              </w:tc>
              <w:tc>
                <w:tcPr>
                  <w:tcW w:w="709" w:type="dxa"/>
                  <w:gridSpan w:val="2"/>
                  <w:tcBorders>
                    <w:bottom w:val="single" w:sz="8" w:space="0" w:color="000001"/>
                    <w:insideH w:val="single" w:sz="8" w:space="0" w:color="000001"/>
                  </w:tcBorders>
                  <w:shd w:color="auto" w:fill="C0C0C0"/>
                </w:tcPr>
                <w:p>
                  <w:pPr>
                    <w:pStyle w:val="Normal"/>
                    <w:widowControl/>
                    <w:bidi w:val="0"/>
                    <w:ind w:left="0" w:right="0" w:firstLine="200"/>
                    <w:jc w:val="right"/>
                    <w:textAlignment w:val="auto"/>
                    <w:rPr/>
                  </w:pPr>
                  <w:r>
                    <w:rPr>
                      <w:i/>
                      <w:iCs/>
                      <w:sz w:val="20"/>
                      <w:szCs w:val="20"/>
                      <w:lang w:val="en-US" w:eastAsia="en-US"/>
                    </w:rPr>
                    <w:t> </w:t>
                  </w:r>
                </w:p>
              </w:tc>
              <w:tc>
                <w:tcPr>
                  <w:tcW w:w="708" w:type="dxa"/>
                  <w:tcBorders>
                    <w:bottom w:val="single" w:sz="8" w:space="0" w:color="000001"/>
                    <w:insideH w:val="single" w:sz="8" w:space="0" w:color="000001"/>
                  </w:tcBorders>
                  <w:shd w:color="auto" w:fill="C0C0C0"/>
                </w:tcPr>
                <w:p>
                  <w:pPr>
                    <w:pStyle w:val="Normal"/>
                    <w:widowControl/>
                    <w:bidi w:val="0"/>
                    <w:ind w:left="0" w:right="0" w:firstLine="200"/>
                    <w:jc w:val="right"/>
                    <w:textAlignment w:val="auto"/>
                    <w:rPr/>
                  </w:pPr>
                  <w:r>
                    <w:rPr>
                      <w:i/>
                      <w:iCs/>
                      <w:sz w:val="20"/>
                      <w:szCs w:val="20"/>
                      <w:lang w:val="en-US" w:eastAsia="en-US"/>
                    </w:rPr>
                    <w:t> </w:t>
                  </w:r>
                </w:p>
              </w:tc>
              <w:tc>
                <w:tcPr>
                  <w:tcW w:w="709" w:type="dxa"/>
                  <w:gridSpan w:val="2"/>
                  <w:tcBorders>
                    <w:bottom w:val="single" w:sz="8" w:space="0" w:color="000001"/>
                    <w:insideH w:val="single" w:sz="8" w:space="0" w:color="000001"/>
                  </w:tcBorders>
                  <w:shd w:color="auto" w:fill="C0C0C0"/>
                </w:tcPr>
                <w:p>
                  <w:pPr>
                    <w:pStyle w:val="Normal"/>
                    <w:widowControl/>
                    <w:bidi w:val="0"/>
                    <w:ind w:left="0" w:right="0" w:firstLine="200"/>
                    <w:jc w:val="right"/>
                    <w:textAlignment w:val="auto"/>
                    <w:rPr/>
                  </w:pPr>
                  <w:r>
                    <w:rPr>
                      <w:i/>
                      <w:iCs/>
                      <w:sz w:val="20"/>
                      <w:szCs w:val="20"/>
                      <w:lang w:val="en-US" w:eastAsia="en-US"/>
                    </w:rPr>
                    <w:t> </w:t>
                  </w:r>
                </w:p>
              </w:tc>
              <w:tc>
                <w:tcPr>
                  <w:tcW w:w="567" w:type="dxa"/>
                  <w:gridSpan w:val="2"/>
                  <w:tcBorders>
                    <w:bottom w:val="single" w:sz="8" w:space="0" w:color="000001"/>
                    <w:insideH w:val="single" w:sz="8" w:space="0" w:color="000001"/>
                  </w:tcBorders>
                  <w:shd w:color="auto" w:fill="C0C0C0"/>
                </w:tcPr>
                <w:p>
                  <w:pPr>
                    <w:pStyle w:val="Normal"/>
                    <w:widowControl/>
                    <w:bidi w:val="0"/>
                    <w:ind w:left="0" w:right="0" w:firstLine="200"/>
                    <w:jc w:val="right"/>
                    <w:textAlignment w:val="auto"/>
                    <w:rPr/>
                  </w:pPr>
                  <w:r>
                    <w:rPr>
                      <w:i/>
                      <w:iCs/>
                      <w:sz w:val="20"/>
                      <w:szCs w:val="20"/>
                      <w:lang w:val="en-US" w:eastAsia="en-US"/>
                    </w:rPr>
                    <w:t> </w:t>
                  </w:r>
                </w:p>
              </w:tc>
              <w:tc>
                <w:tcPr>
                  <w:tcW w:w="708" w:type="dxa"/>
                  <w:gridSpan w:val="2"/>
                  <w:tcBorders>
                    <w:bottom w:val="single" w:sz="8" w:space="0" w:color="000001"/>
                    <w:insideH w:val="single" w:sz="8" w:space="0" w:color="000001"/>
                  </w:tcBorders>
                  <w:shd w:color="auto" w:fill="C0C0C0"/>
                </w:tcPr>
                <w:p>
                  <w:pPr>
                    <w:pStyle w:val="Normal"/>
                    <w:widowControl/>
                    <w:bidi w:val="0"/>
                    <w:ind w:left="0" w:right="0" w:firstLine="200"/>
                    <w:jc w:val="right"/>
                    <w:textAlignment w:val="auto"/>
                    <w:rPr/>
                  </w:pPr>
                  <w:r>
                    <w:rPr>
                      <w:i/>
                      <w:iCs/>
                      <w:sz w:val="20"/>
                      <w:szCs w:val="20"/>
                      <w:lang w:val="en-US" w:eastAsia="en-US"/>
                    </w:rPr>
                    <w:t> </w:t>
                  </w:r>
                </w:p>
              </w:tc>
              <w:tc>
                <w:tcPr>
                  <w:tcW w:w="709" w:type="dxa"/>
                  <w:gridSpan w:val="2"/>
                  <w:tcBorders>
                    <w:bottom w:val="single" w:sz="8" w:space="0" w:color="000001"/>
                    <w:insideH w:val="single" w:sz="8" w:space="0" w:color="000001"/>
                  </w:tcBorders>
                  <w:shd w:color="auto" w:fill="C0C0C0"/>
                </w:tcPr>
                <w:p>
                  <w:pPr>
                    <w:pStyle w:val="Normal"/>
                    <w:widowControl/>
                    <w:bidi w:val="0"/>
                    <w:ind w:left="0" w:right="0" w:firstLine="200"/>
                    <w:jc w:val="right"/>
                    <w:textAlignment w:val="auto"/>
                    <w:rPr/>
                  </w:pPr>
                  <w:r>
                    <w:rPr>
                      <w:i/>
                      <w:iCs/>
                      <w:sz w:val="20"/>
                      <w:szCs w:val="20"/>
                      <w:lang w:val="en-US" w:eastAsia="en-US"/>
                    </w:rPr>
                    <w:t> </w:t>
                  </w:r>
                </w:p>
              </w:tc>
              <w:tc>
                <w:tcPr>
                  <w:tcW w:w="566" w:type="dxa"/>
                  <w:gridSpan w:val="2"/>
                  <w:tcBorders>
                    <w:bottom w:val="single" w:sz="8" w:space="0" w:color="000001"/>
                    <w:insideH w:val="single" w:sz="8" w:space="0" w:color="000001"/>
                  </w:tcBorders>
                  <w:shd w:color="auto" w:fill="C0C0C0"/>
                </w:tcPr>
                <w:p>
                  <w:pPr>
                    <w:pStyle w:val="Normal"/>
                    <w:widowControl/>
                    <w:bidi w:val="0"/>
                    <w:ind w:left="0" w:right="0" w:firstLine="200"/>
                    <w:jc w:val="right"/>
                    <w:textAlignment w:val="auto"/>
                    <w:rPr/>
                  </w:pPr>
                  <w:r>
                    <w:rPr>
                      <w:i/>
                      <w:iCs/>
                      <w:sz w:val="20"/>
                      <w:szCs w:val="20"/>
                      <w:lang w:val="en-US" w:eastAsia="en-US"/>
                    </w:rPr>
                    <w:t> </w:t>
                  </w:r>
                </w:p>
              </w:tc>
              <w:tc>
                <w:tcPr>
                  <w:tcW w:w="567" w:type="dxa"/>
                  <w:gridSpan w:val="2"/>
                  <w:tcBorders>
                    <w:bottom w:val="single" w:sz="8" w:space="0" w:color="000001"/>
                    <w:insideH w:val="single" w:sz="8" w:space="0" w:color="000001"/>
                  </w:tcBorders>
                  <w:shd w:color="auto" w:fill="C0C0C0"/>
                </w:tcPr>
                <w:p>
                  <w:pPr>
                    <w:pStyle w:val="Normal"/>
                    <w:widowControl/>
                    <w:bidi w:val="0"/>
                    <w:ind w:left="0" w:right="0" w:firstLine="200"/>
                    <w:jc w:val="right"/>
                    <w:textAlignment w:val="auto"/>
                    <w:rPr/>
                  </w:pPr>
                  <w:r>
                    <w:rPr>
                      <w:i/>
                      <w:iCs/>
                      <w:sz w:val="20"/>
                      <w:szCs w:val="20"/>
                      <w:lang w:val="en-US" w:eastAsia="en-US"/>
                    </w:rPr>
                    <w:t> </w:t>
                  </w:r>
                </w:p>
              </w:tc>
              <w:tc>
                <w:tcPr>
                  <w:tcW w:w="709" w:type="dxa"/>
                  <w:gridSpan w:val="3"/>
                  <w:tcBorders>
                    <w:bottom w:val="single" w:sz="8" w:space="0" w:color="000001"/>
                    <w:insideH w:val="single" w:sz="8" w:space="0" w:color="000001"/>
                  </w:tcBorders>
                  <w:shd w:color="auto" w:fill="C0C0C0"/>
                </w:tcPr>
                <w:p>
                  <w:pPr>
                    <w:pStyle w:val="Normal"/>
                    <w:widowControl/>
                    <w:bidi w:val="0"/>
                    <w:ind w:left="0" w:right="0" w:firstLine="200"/>
                    <w:jc w:val="right"/>
                    <w:textAlignment w:val="auto"/>
                    <w:rPr/>
                  </w:pPr>
                  <w:r>
                    <w:rPr>
                      <w:i/>
                      <w:iCs/>
                      <w:sz w:val="20"/>
                      <w:szCs w:val="20"/>
                      <w:lang w:val="en-US" w:eastAsia="en-US"/>
                    </w:rPr>
                    <w:t> </w:t>
                  </w:r>
                </w:p>
              </w:tc>
              <w:tc>
                <w:tcPr>
                  <w:tcW w:w="425" w:type="dxa"/>
                  <w:gridSpan w:val="3"/>
                  <w:tcBorders>
                    <w:bottom w:val="single" w:sz="8" w:space="0" w:color="000001"/>
                    <w:insideH w:val="single" w:sz="8" w:space="0" w:color="000001"/>
                  </w:tcBorders>
                  <w:shd w:color="auto" w:fill="C0C0C0"/>
                </w:tcPr>
                <w:p>
                  <w:pPr>
                    <w:pStyle w:val="Normal"/>
                    <w:widowControl/>
                    <w:bidi w:val="0"/>
                    <w:ind w:left="0" w:right="0" w:firstLine="200"/>
                    <w:jc w:val="right"/>
                    <w:textAlignment w:val="auto"/>
                    <w:rPr/>
                  </w:pPr>
                  <w:r>
                    <w:rPr>
                      <w:i/>
                      <w:iCs/>
                      <w:sz w:val="20"/>
                      <w:szCs w:val="20"/>
                      <w:lang w:val="en-US" w:eastAsia="en-US"/>
                    </w:rPr>
                    <w:t> </w:t>
                  </w:r>
                </w:p>
              </w:tc>
              <w:tc>
                <w:tcPr>
                  <w:tcW w:w="567" w:type="dxa"/>
                  <w:gridSpan w:val="3"/>
                  <w:tcBorders>
                    <w:bottom w:val="single" w:sz="8" w:space="0" w:color="000001"/>
                    <w:insideH w:val="single" w:sz="8" w:space="0" w:color="000001"/>
                  </w:tcBorders>
                  <w:shd w:color="auto" w:fill="C0C0C0"/>
                </w:tcPr>
                <w:p>
                  <w:pPr>
                    <w:pStyle w:val="Normal"/>
                    <w:widowControl/>
                    <w:bidi w:val="0"/>
                    <w:ind w:left="0" w:right="0" w:firstLine="200"/>
                    <w:jc w:val="right"/>
                    <w:textAlignment w:val="auto"/>
                    <w:rPr/>
                  </w:pPr>
                  <w:r>
                    <w:rPr>
                      <w:i/>
                      <w:iCs/>
                      <w:sz w:val="20"/>
                      <w:szCs w:val="20"/>
                      <w:lang w:val="en-US" w:eastAsia="en-US"/>
                    </w:rPr>
                    <w:t> </w:t>
                  </w:r>
                </w:p>
              </w:tc>
              <w:tc>
                <w:tcPr>
                  <w:tcW w:w="711" w:type="dxa"/>
                  <w:gridSpan w:val="3"/>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right"/>
                    <w:textAlignment w:val="auto"/>
                    <w:rPr/>
                  </w:pPr>
                  <w:r>
                    <w:rPr>
                      <w:i/>
                      <w:iCs/>
                      <w:sz w:val="20"/>
                      <w:szCs w:val="20"/>
                      <w:lang w:val="en-US" w:eastAsia="en-US"/>
                    </w:rPr>
                    <w:t> </w:t>
                  </w:r>
                </w:p>
              </w:tc>
            </w:tr>
            <w:tr>
              <w:trPr>
                <w:trHeight w:val="102" w:hRule="atLeast"/>
              </w:trPr>
              <w:tc>
                <w:tcPr>
                  <w:tcW w:w="2301"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Doctori habilitaţi</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lang w:val="en-US"/>
                    </w:rPr>
                  </w:pPr>
                  <w:r>
                    <w:rPr>
                      <w:sz w:val="20"/>
                      <w:szCs w:val="20"/>
                      <w:lang w:val="en-US" w:eastAsia="en-US"/>
                    </w:rPr>
                    <w:t>3 </w:t>
                  </w:r>
                </w:p>
              </w:tc>
              <w:tc>
                <w:tcPr>
                  <w:tcW w:w="708" w:type="dxa"/>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2</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 </w:t>
                  </w:r>
                </w:p>
              </w:tc>
              <w:tc>
                <w:tcPr>
                  <w:tcW w:w="708"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 </w:t>
                  </w:r>
                </w:p>
              </w:tc>
              <w:tc>
                <w:tcPr>
                  <w:tcW w:w="566"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1</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1</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 </w:t>
                  </w:r>
                </w:p>
              </w:tc>
              <w:tc>
                <w:tcPr>
                  <w:tcW w:w="425"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2</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lang w:val="en-US" w:eastAsia="en-US"/>
                    </w:rPr>
                    <w:t> </w:t>
                  </w:r>
                </w:p>
              </w:tc>
              <w:tc>
                <w:tcPr>
                  <w:tcW w:w="711"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sz w:val="20"/>
                      <w:szCs w:val="20"/>
                      <w:lang w:val="en-US" w:eastAsia="en-US"/>
                    </w:rPr>
                    <w:t>4</w:t>
                  </w:r>
                </w:p>
              </w:tc>
            </w:tr>
            <w:tr>
              <w:trPr>
                <w:trHeight w:val="147" w:hRule="atLeast"/>
              </w:trPr>
              <w:tc>
                <w:tcPr>
                  <w:tcW w:w="71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lang w:val="en-US"/>
                    </w:rPr>
                  </w:pPr>
                  <w:r>
                    <w:rPr>
                      <w:sz w:val="20"/>
                      <w:szCs w:val="20"/>
                      <w:lang w:val="en-US" w:eastAsia="en-US"/>
                    </w:rPr>
                    <w:t> </w:t>
                  </w:r>
                </w:p>
              </w:tc>
              <w:tc>
                <w:tcPr>
                  <w:tcW w:w="1588"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0"/>
                    <w:jc w:val="left"/>
                    <w:textAlignment w:val="auto"/>
                    <w:rPr>
                      <w:lang w:val="en-US"/>
                    </w:rPr>
                  </w:pPr>
                  <w:r>
                    <w:rPr>
                      <w:sz w:val="20"/>
                      <w:szCs w:val="20"/>
                      <w:lang w:val="en-US" w:eastAsia="en-US"/>
                    </w:rPr>
                    <w:t>Femei</w:t>
                  </w:r>
                </w:p>
              </w:tc>
              <w:tc>
                <w:tcPr>
                  <w:tcW w:w="708" w:type="dxa"/>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lang w:val="en-US"/>
                    </w:rPr>
                  </w:pPr>
                  <w:r>
                    <w:rPr>
                      <w:sz w:val="20"/>
                      <w:szCs w:val="20"/>
                      <w:lang w:val="en-US" w:eastAsia="en-US"/>
                    </w:rPr>
                    <w:t> </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0</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08"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6"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425"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20"/>
                      <w:szCs w:val="20"/>
                      <w:lang w:val="en-US" w:eastAsia="en-US"/>
                    </w:rPr>
                    <w:t> </w:t>
                  </w:r>
                </w:p>
              </w:tc>
              <w:tc>
                <w:tcPr>
                  <w:tcW w:w="710"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20"/>
                      <w:szCs w:val="20"/>
                      <w:lang w:val="en-US" w:eastAsia="en-US"/>
                    </w:rPr>
                    <w:t>0</w:t>
                  </w:r>
                </w:p>
              </w:tc>
            </w:tr>
            <w:tr>
              <w:trPr>
                <w:trHeight w:val="180" w:hRule="atLeast"/>
              </w:trPr>
              <w:tc>
                <w:tcPr>
                  <w:tcW w:w="2301"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Doctori în ştiinţe</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lang w:val="en-US"/>
                    </w:rPr>
                  </w:pPr>
                  <w:r>
                    <w:rPr>
                      <w:sz w:val="20"/>
                      <w:szCs w:val="20"/>
                      <w:lang w:val="en-US" w:eastAsia="en-US"/>
                    </w:rPr>
                    <w:t>2,5</w:t>
                  </w:r>
                </w:p>
              </w:tc>
              <w:tc>
                <w:tcPr>
                  <w:tcW w:w="708" w:type="dxa"/>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2</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08"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1</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6"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1</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1 </w:t>
                  </w:r>
                </w:p>
              </w:tc>
              <w:tc>
                <w:tcPr>
                  <w:tcW w:w="425"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lang w:val="en-US" w:eastAsia="en-US"/>
                    </w:rPr>
                    <w:t> </w:t>
                  </w:r>
                </w:p>
              </w:tc>
              <w:tc>
                <w:tcPr>
                  <w:tcW w:w="711"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20"/>
                      <w:szCs w:val="20"/>
                      <w:lang w:val="en-US" w:eastAsia="en-US"/>
                    </w:rPr>
                    <w:t>2</w:t>
                  </w:r>
                </w:p>
              </w:tc>
            </w:tr>
            <w:tr>
              <w:trPr>
                <w:trHeight w:val="60" w:hRule="atLeast"/>
              </w:trPr>
              <w:tc>
                <w:tcPr>
                  <w:tcW w:w="71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lang w:val="en-US"/>
                    </w:rPr>
                  </w:pPr>
                  <w:r>
                    <w:rPr>
                      <w:sz w:val="20"/>
                      <w:szCs w:val="20"/>
                      <w:lang w:val="en-US" w:eastAsia="en-US"/>
                    </w:rPr>
                    <w:t> </w:t>
                  </w:r>
                </w:p>
              </w:tc>
              <w:tc>
                <w:tcPr>
                  <w:tcW w:w="1588"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0"/>
                    <w:jc w:val="left"/>
                    <w:textAlignment w:val="auto"/>
                    <w:rPr>
                      <w:lang w:val="en-US"/>
                    </w:rPr>
                  </w:pPr>
                  <w:r>
                    <w:rPr>
                      <w:sz w:val="20"/>
                      <w:szCs w:val="20"/>
                      <w:lang w:val="en-US" w:eastAsia="en-US"/>
                    </w:rPr>
                    <w:t>Femei</w:t>
                  </w:r>
                </w:p>
              </w:tc>
              <w:tc>
                <w:tcPr>
                  <w:tcW w:w="708" w:type="dxa"/>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hanging="0"/>
                    <w:jc w:val="left"/>
                    <w:textAlignment w:val="auto"/>
                    <w:rPr>
                      <w:lang w:val="en-US"/>
                    </w:rPr>
                  </w:pPr>
                  <w:r>
                    <w:rPr>
                      <w:sz w:val="20"/>
                      <w:szCs w:val="20"/>
                      <w:lang w:val="en-US" w:eastAsia="en-US"/>
                    </w:rPr>
                    <w:t> </w:t>
                  </w:r>
                  <w:r>
                    <w:rPr>
                      <w:sz w:val="20"/>
                      <w:szCs w:val="20"/>
                      <w:lang w:val="en-US" w:eastAsia="en-US"/>
                    </w:rPr>
                    <w:t>1,5</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2</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08"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1</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6"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r>
                    <w:rPr>
                      <w:sz w:val="20"/>
                      <w:szCs w:val="20"/>
                      <w:lang w:val="en-US" w:eastAsia="en-US"/>
                    </w:rPr>
                    <w:t>1</w:t>
                  </w:r>
                </w:p>
              </w:tc>
              <w:tc>
                <w:tcPr>
                  <w:tcW w:w="425"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lang w:val="en-US" w:eastAsia="en-US"/>
                    </w:rPr>
                    <w:t> </w:t>
                  </w:r>
                </w:p>
              </w:tc>
              <w:tc>
                <w:tcPr>
                  <w:tcW w:w="710"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20"/>
                      <w:szCs w:val="20"/>
                      <w:lang w:val="en-US" w:eastAsia="en-US"/>
                    </w:rPr>
                    <w:t>1</w:t>
                  </w:r>
                </w:p>
              </w:tc>
            </w:tr>
            <w:tr>
              <w:trPr>
                <w:trHeight w:val="102" w:hRule="atLeast"/>
              </w:trPr>
              <w:tc>
                <w:tcPr>
                  <w:tcW w:w="2301"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sz w:val="20"/>
                      <w:szCs w:val="20"/>
                      <w:lang w:val="en-US" w:eastAsia="en-US"/>
                    </w:rPr>
                    <w:t xml:space="preserve">Postdoctoranzi </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lang w:val="en-US"/>
                    </w:rPr>
                  </w:pPr>
                  <w:r>
                    <w:rPr>
                      <w:sz w:val="20"/>
                      <w:szCs w:val="20"/>
                      <w:lang w:val="en-US" w:eastAsia="en-US"/>
                    </w:rPr>
                    <w:t> </w:t>
                  </w:r>
                </w:p>
              </w:tc>
              <w:tc>
                <w:tcPr>
                  <w:tcW w:w="708" w:type="dxa"/>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0</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08"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6"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425"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20"/>
                      <w:szCs w:val="20"/>
                      <w:lang w:val="en-US" w:eastAsia="en-US"/>
                    </w:rPr>
                    <w:t> </w:t>
                  </w:r>
                </w:p>
              </w:tc>
              <w:tc>
                <w:tcPr>
                  <w:tcW w:w="711"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20"/>
                      <w:szCs w:val="20"/>
                      <w:lang w:val="en-US" w:eastAsia="en-US"/>
                    </w:rPr>
                    <w:t>0</w:t>
                  </w:r>
                </w:p>
              </w:tc>
            </w:tr>
            <w:tr>
              <w:trPr>
                <w:trHeight w:val="133" w:hRule="atLeast"/>
              </w:trPr>
              <w:tc>
                <w:tcPr>
                  <w:tcW w:w="71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lang w:val="en-US"/>
                    </w:rPr>
                  </w:pPr>
                  <w:r>
                    <w:rPr>
                      <w:sz w:val="20"/>
                      <w:szCs w:val="20"/>
                      <w:lang w:val="en-US" w:eastAsia="en-US"/>
                    </w:rPr>
                    <w:t> </w:t>
                  </w:r>
                </w:p>
              </w:tc>
              <w:tc>
                <w:tcPr>
                  <w:tcW w:w="1588"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0"/>
                    <w:jc w:val="left"/>
                    <w:textAlignment w:val="auto"/>
                    <w:rPr>
                      <w:lang w:val="en-US"/>
                    </w:rPr>
                  </w:pPr>
                  <w:r>
                    <w:rPr>
                      <w:sz w:val="20"/>
                      <w:szCs w:val="20"/>
                      <w:lang w:val="en-US" w:eastAsia="en-US"/>
                    </w:rPr>
                    <w:t>Femei</w:t>
                  </w:r>
                </w:p>
              </w:tc>
              <w:tc>
                <w:tcPr>
                  <w:tcW w:w="708" w:type="dxa"/>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lang w:val="en-US"/>
                    </w:rPr>
                  </w:pPr>
                  <w:r>
                    <w:rPr>
                      <w:sz w:val="20"/>
                      <w:szCs w:val="20"/>
                      <w:lang w:val="en-US" w:eastAsia="en-US"/>
                    </w:rPr>
                    <w:t> </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0</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08"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6"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425"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20"/>
                      <w:szCs w:val="20"/>
                      <w:lang w:val="en-US" w:eastAsia="en-US"/>
                    </w:rPr>
                    <w:t> </w:t>
                  </w:r>
                </w:p>
              </w:tc>
              <w:tc>
                <w:tcPr>
                  <w:tcW w:w="710"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20"/>
                      <w:szCs w:val="20"/>
                      <w:lang w:val="en-US" w:eastAsia="en-US"/>
                    </w:rPr>
                    <w:t>0</w:t>
                  </w:r>
                </w:p>
              </w:tc>
            </w:tr>
            <w:tr>
              <w:trPr>
                <w:trHeight w:val="165" w:hRule="atLeast"/>
              </w:trPr>
              <w:tc>
                <w:tcPr>
                  <w:tcW w:w="2301"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sz w:val="20"/>
                      <w:szCs w:val="20"/>
                      <w:lang w:val="en-US" w:eastAsia="en-US"/>
                    </w:rPr>
                    <w:t xml:space="preserve">Doctoranzi </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lang w:val="en-US"/>
                    </w:rPr>
                  </w:pPr>
                  <w:r>
                    <w:rPr>
                      <w:sz w:val="20"/>
                      <w:szCs w:val="20"/>
                      <w:lang w:val="en-US" w:eastAsia="en-US"/>
                    </w:rPr>
                    <w:t> </w:t>
                  </w:r>
                </w:p>
              </w:tc>
              <w:tc>
                <w:tcPr>
                  <w:tcW w:w="708" w:type="dxa"/>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0</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08"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6"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425"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20"/>
                      <w:szCs w:val="20"/>
                      <w:lang w:val="en-US" w:eastAsia="en-US"/>
                    </w:rPr>
                    <w:t> </w:t>
                  </w:r>
                </w:p>
              </w:tc>
              <w:tc>
                <w:tcPr>
                  <w:tcW w:w="711"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20"/>
                      <w:szCs w:val="20"/>
                      <w:lang w:val="en-US" w:eastAsia="en-US"/>
                    </w:rPr>
                    <w:t>0</w:t>
                  </w:r>
                </w:p>
              </w:tc>
            </w:tr>
            <w:tr>
              <w:trPr>
                <w:trHeight w:val="212" w:hRule="atLeast"/>
              </w:trPr>
              <w:tc>
                <w:tcPr>
                  <w:tcW w:w="71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lang w:val="en-US"/>
                    </w:rPr>
                  </w:pPr>
                  <w:r>
                    <w:rPr>
                      <w:sz w:val="20"/>
                      <w:szCs w:val="20"/>
                      <w:lang w:val="en-US" w:eastAsia="en-US"/>
                    </w:rPr>
                    <w:t> </w:t>
                  </w:r>
                </w:p>
              </w:tc>
              <w:tc>
                <w:tcPr>
                  <w:tcW w:w="1588"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0"/>
                    <w:jc w:val="left"/>
                    <w:textAlignment w:val="auto"/>
                    <w:rPr>
                      <w:lang w:val="en-US"/>
                    </w:rPr>
                  </w:pPr>
                  <w:r>
                    <w:rPr>
                      <w:sz w:val="20"/>
                      <w:szCs w:val="20"/>
                      <w:lang w:val="en-US" w:eastAsia="en-US"/>
                    </w:rPr>
                    <w:t>Femei</w:t>
                  </w:r>
                </w:p>
              </w:tc>
              <w:tc>
                <w:tcPr>
                  <w:tcW w:w="708" w:type="dxa"/>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lang w:val="en-US"/>
                    </w:rPr>
                  </w:pPr>
                  <w:r>
                    <w:rPr>
                      <w:sz w:val="20"/>
                      <w:szCs w:val="20"/>
                      <w:lang w:val="en-US" w:eastAsia="en-US"/>
                    </w:rPr>
                    <w:t> </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0</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08"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6"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425"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20"/>
                      <w:szCs w:val="20"/>
                      <w:lang w:val="en-US" w:eastAsia="en-US"/>
                    </w:rPr>
                    <w:t> </w:t>
                  </w:r>
                </w:p>
              </w:tc>
              <w:tc>
                <w:tcPr>
                  <w:tcW w:w="710"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20"/>
                      <w:szCs w:val="20"/>
                      <w:lang w:val="en-US" w:eastAsia="en-US"/>
                    </w:rPr>
                    <w:t>0</w:t>
                  </w:r>
                </w:p>
              </w:tc>
            </w:tr>
            <w:tr>
              <w:trPr>
                <w:trHeight w:val="87" w:hRule="atLeast"/>
              </w:trPr>
              <w:tc>
                <w:tcPr>
                  <w:tcW w:w="2301"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sz w:val="20"/>
                      <w:szCs w:val="20"/>
                      <w:lang w:val="en-US" w:eastAsia="en-US"/>
                    </w:rPr>
                    <w:t xml:space="preserve">Masteranzi </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lang w:val="en-US"/>
                    </w:rPr>
                  </w:pPr>
                  <w:r>
                    <w:rPr>
                      <w:sz w:val="20"/>
                      <w:szCs w:val="20"/>
                      <w:lang w:val="en-US" w:eastAsia="en-US"/>
                    </w:rPr>
                    <w:t> </w:t>
                  </w:r>
                </w:p>
              </w:tc>
              <w:tc>
                <w:tcPr>
                  <w:tcW w:w="708" w:type="dxa"/>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0</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08"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6"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425"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20"/>
                      <w:szCs w:val="20"/>
                      <w:lang w:val="en-US" w:eastAsia="en-US"/>
                    </w:rPr>
                    <w:t> </w:t>
                  </w:r>
                </w:p>
              </w:tc>
              <w:tc>
                <w:tcPr>
                  <w:tcW w:w="711"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20"/>
                      <w:szCs w:val="20"/>
                      <w:lang w:val="en-US" w:eastAsia="en-US"/>
                    </w:rPr>
                    <w:t>0</w:t>
                  </w:r>
                </w:p>
              </w:tc>
            </w:tr>
            <w:tr>
              <w:trPr>
                <w:trHeight w:val="120" w:hRule="atLeast"/>
              </w:trPr>
              <w:tc>
                <w:tcPr>
                  <w:tcW w:w="71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lang w:val="en-US"/>
                    </w:rPr>
                  </w:pPr>
                  <w:r>
                    <w:rPr>
                      <w:sz w:val="20"/>
                      <w:szCs w:val="20"/>
                      <w:lang w:val="en-US" w:eastAsia="en-US"/>
                    </w:rPr>
                    <w:t> </w:t>
                  </w:r>
                </w:p>
              </w:tc>
              <w:tc>
                <w:tcPr>
                  <w:tcW w:w="1588"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0"/>
                    <w:jc w:val="left"/>
                    <w:textAlignment w:val="auto"/>
                    <w:rPr>
                      <w:lang w:val="en-US"/>
                    </w:rPr>
                  </w:pPr>
                  <w:r>
                    <w:rPr>
                      <w:sz w:val="20"/>
                      <w:szCs w:val="20"/>
                      <w:lang w:val="en-US" w:eastAsia="en-US"/>
                    </w:rPr>
                    <w:t>Femei</w:t>
                  </w:r>
                </w:p>
              </w:tc>
              <w:tc>
                <w:tcPr>
                  <w:tcW w:w="708" w:type="dxa"/>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lang w:val="en-US"/>
                    </w:rPr>
                  </w:pPr>
                  <w:r>
                    <w:rPr>
                      <w:sz w:val="20"/>
                      <w:szCs w:val="20"/>
                      <w:lang w:val="en-US" w:eastAsia="en-US"/>
                    </w:rPr>
                    <w:t> </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0</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08"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6"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425"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20"/>
                      <w:szCs w:val="20"/>
                      <w:lang w:val="en-US" w:eastAsia="en-US"/>
                    </w:rPr>
                    <w:t> </w:t>
                  </w:r>
                </w:p>
              </w:tc>
              <w:tc>
                <w:tcPr>
                  <w:tcW w:w="710"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20"/>
                      <w:szCs w:val="20"/>
                      <w:lang w:val="en-US" w:eastAsia="en-US"/>
                    </w:rPr>
                    <w:t>0</w:t>
                  </w:r>
                </w:p>
              </w:tc>
            </w:tr>
            <w:tr>
              <w:trPr>
                <w:trHeight w:val="165" w:hRule="atLeast"/>
              </w:trPr>
              <w:tc>
                <w:tcPr>
                  <w:tcW w:w="2301"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sz w:val="20"/>
                      <w:szCs w:val="20"/>
                      <w:lang w:val="en-US" w:eastAsia="en-US"/>
                    </w:rPr>
                    <w:t xml:space="preserve">Ingineri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en-US"/>
                    </w:rPr>
                  </w:pPr>
                  <w:r>
                    <w:rPr>
                      <w:sz w:val="20"/>
                      <w:szCs w:val="20"/>
                      <w:lang w:val="en-US" w:eastAsia="en-US"/>
                    </w:rPr>
                    <w:t>3,5 </w:t>
                  </w:r>
                </w:p>
              </w:tc>
              <w:tc>
                <w:tcPr>
                  <w:tcW w:w="708" w:type="dxa"/>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5</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2</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 </w:t>
                  </w:r>
                  <w:r>
                    <w:rPr>
                      <w:sz w:val="20"/>
                      <w:szCs w:val="20"/>
                      <w:lang w:val="en-US" w:eastAsia="en-US"/>
                    </w:rPr>
                    <w:t>1</w:t>
                  </w:r>
                </w:p>
              </w:tc>
              <w:tc>
                <w:tcPr>
                  <w:tcW w:w="708"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 </w:t>
                  </w:r>
                </w:p>
              </w:tc>
              <w:tc>
                <w:tcPr>
                  <w:tcW w:w="566"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1</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1</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 </w:t>
                  </w:r>
                </w:p>
              </w:tc>
              <w:tc>
                <w:tcPr>
                  <w:tcW w:w="425"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1</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lang w:val="en-US" w:eastAsia="en-US"/>
                    </w:rPr>
                    <w:t> </w:t>
                  </w:r>
                </w:p>
              </w:tc>
              <w:tc>
                <w:tcPr>
                  <w:tcW w:w="711"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20"/>
                      <w:szCs w:val="20"/>
                      <w:lang w:val="en-US" w:eastAsia="en-US"/>
                    </w:rPr>
                    <w:t>6</w:t>
                  </w:r>
                </w:p>
              </w:tc>
            </w:tr>
            <w:tr>
              <w:trPr>
                <w:trHeight w:val="198" w:hRule="atLeast"/>
              </w:trPr>
              <w:tc>
                <w:tcPr>
                  <w:tcW w:w="71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lang w:val="en-US"/>
                    </w:rPr>
                  </w:pPr>
                  <w:r>
                    <w:rPr>
                      <w:sz w:val="20"/>
                      <w:szCs w:val="20"/>
                      <w:lang w:val="en-US" w:eastAsia="en-US"/>
                    </w:rPr>
                    <w:t> </w:t>
                  </w:r>
                </w:p>
              </w:tc>
              <w:tc>
                <w:tcPr>
                  <w:tcW w:w="1588"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0"/>
                    <w:jc w:val="left"/>
                    <w:textAlignment w:val="auto"/>
                    <w:rPr>
                      <w:lang w:val="en-US"/>
                    </w:rPr>
                  </w:pPr>
                  <w:r>
                    <w:rPr>
                      <w:sz w:val="20"/>
                      <w:szCs w:val="20"/>
                      <w:lang w:val="en-US" w:eastAsia="en-US"/>
                    </w:rPr>
                    <w:t>Femei</w:t>
                  </w:r>
                </w:p>
              </w:tc>
              <w:tc>
                <w:tcPr>
                  <w:tcW w:w="708" w:type="dxa"/>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hanging="0"/>
                    <w:jc w:val="left"/>
                    <w:textAlignment w:val="auto"/>
                    <w:rPr>
                      <w:lang w:val="en-US"/>
                    </w:rPr>
                  </w:pPr>
                  <w:r>
                    <w:rPr>
                      <w:sz w:val="20"/>
                      <w:szCs w:val="20"/>
                      <w:lang w:val="en-US" w:eastAsia="en-US"/>
                    </w:rPr>
                    <w:t>2,5 </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3</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1</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 </w:t>
                  </w:r>
                </w:p>
              </w:tc>
              <w:tc>
                <w:tcPr>
                  <w:tcW w:w="708"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 </w:t>
                  </w:r>
                </w:p>
              </w:tc>
              <w:tc>
                <w:tcPr>
                  <w:tcW w:w="566"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1</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1</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 </w:t>
                  </w:r>
                </w:p>
              </w:tc>
              <w:tc>
                <w:tcPr>
                  <w:tcW w:w="425"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1 </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lang w:val="en-US" w:eastAsia="en-US"/>
                    </w:rPr>
                    <w:t> </w:t>
                  </w:r>
                </w:p>
              </w:tc>
              <w:tc>
                <w:tcPr>
                  <w:tcW w:w="710"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sz w:val="20"/>
                      <w:szCs w:val="20"/>
                      <w:lang w:val="en-US" w:eastAsia="en-US"/>
                    </w:rPr>
                    <w:t>4</w:t>
                  </w:r>
                </w:p>
              </w:tc>
            </w:tr>
            <w:tr>
              <w:trPr>
                <w:trHeight w:val="73" w:hRule="atLeast"/>
              </w:trPr>
              <w:tc>
                <w:tcPr>
                  <w:tcW w:w="2301"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Tehnicieni, laboranţi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0"/>
                    <w:jc w:val="left"/>
                    <w:textAlignment w:val="auto"/>
                    <w:rPr>
                      <w:lang w:val="en-US"/>
                    </w:rPr>
                  </w:pPr>
                  <w:r>
                    <w:rPr>
                      <w:sz w:val="20"/>
                      <w:szCs w:val="20"/>
                      <w:lang w:val="en-US" w:eastAsia="en-US"/>
                    </w:rPr>
                    <w:t> </w:t>
                  </w:r>
                </w:p>
              </w:tc>
              <w:tc>
                <w:tcPr>
                  <w:tcW w:w="708" w:type="dxa"/>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0</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08"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6"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425"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20"/>
                      <w:szCs w:val="20"/>
                      <w:lang w:val="en-US" w:eastAsia="en-US"/>
                    </w:rPr>
                    <w:t> </w:t>
                  </w:r>
                </w:p>
              </w:tc>
              <w:tc>
                <w:tcPr>
                  <w:tcW w:w="711"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20"/>
                      <w:szCs w:val="20"/>
                      <w:lang w:val="en-US" w:eastAsia="en-US"/>
                    </w:rPr>
                    <w:t>0</w:t>
                  </w:r>
                </w:p>
              </w:tc>
            </w:tr>
            <w:tr>
              <w:trPr>
                <w:trHeight w:val="119" w:hRule="atLeast"/>
              </w:trPr>
              <w:tc>
                <w:tcPr>
                  <w:tcW w:w="71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lang w:val="en-US"/>
                    </w:rPr>
                  </w:pPr>
                  <w:r>
                    <w:rPr>
                      <w:sz w:val="20"/>
                      <w:szCs w:val="20"/>
                      <w:lang w:val="en-US" w:eastAsia="en-US"/>
                    </w:rPr>
                    <w:t> </w:t>
                  </w:r>
                </w:p>
              </w:tc>
              <w:tc>
                <w:tcPr>
                  <w:tcW w:w="1588"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0"/>
                    <w:jc w:val="left"/>
                    <w:textAlignment w:val="auto"/>
                    <w:rPr>
                      <w:lang w:val="en-US"/>
                    </w:rPr>
                  </w:pPr>
                  <w:r>
                    <w:rPr>
                      <w:sz w:val="20"/>
                      <w:szCs w:val="20"/>
                      <w:lang w:val="en-US" w:eastAsia="en-US"/>
                    </w:rPr>
                    <w:t>Femei</w:t>
                  </w:r>
                </w:p>
              </w:tc>
              <w:tc>
                <w:tcPr>
                  <w:tcW w:w="708" w:type="dxa"/>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lang w:val="en-US"/>
                    </w:rPr>
                  </w:pPr>
                  <w:r>
                    <w:rPr>
                      <w:sz w:val="20"/>
                      <w:szCs w:val="20"/>
                      <w:lang w:val="en-US" w:eastAsia="en-US"/>
                    </w:rPr>
                    <w:t> </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0</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08"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6"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425"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20"/>
                      <w:szCs w:val="20"/>
                      <w:lang w:val="en-US" w:eastAsia="en-US"/>
                    </w:rPr>
                    <w:t> </w:t>
                  </w:r>
                </w:p>
              </w:tc>
              <w:tc>
                <w:tcPr>
                  <w:tcW w:w="710"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20"/>
                      <w:szCs w:val="20"/>
                      <w:lang w:val="en-US" w:eastAsia="en-US"/>
                    </w:rPr>
                    <w:t>0</w:t>
                  </w:r>
                </w:p>
              </w:tc>
            </w:tr>
            <w:tr>
              <w:trPr>
                <w:trHeight w:val="151" w:hRule="atLeast"/>
              </w:trPr>
              <w:tc>
                <w:tcPr>
                  <w:tcW w:w="2301"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Alte categorii de salariaţi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0"/>
                    <w:jc w:val="left"/>
                    <w:textAlignment w:val="auto"/>
                    <w:rPr>
                      <w:lang w:val="en-US"/>
                    </w:rPr>
                  </w:pPr>
                  <w:r>
                    <w:rPr>
                      <w:sz w:val="20"/>
                      <w:szCs w:val="20"/>
                      <w:lang w:val="en-US" w:eastAsia="en-US"/>
                    </w:rPr>
                    <w:t> </w:t>
                  </w:r>
                </w:p>
              </w:tc>
              <w:tc>
                <w:tcPr>
                  <w:tcW w:w="708" w:type="dxa"/>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0</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08"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6"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425"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20"/>
                      <w:szCs w:val="20"/>
                      <w:lang w:val="en-US" w:eastAsia="en-US"/>
                    </w:rPr>
                    <w:t> </w:t>
                  </w:r>
                </w:p>
              </w:tc>
              <w:tc>
                <w:tcPr>
                  <w:tcW w:w="711"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20"/>
                      <w:szCs w:val="20"/>
                      <w:lang w:val="en-US" w:eastAsia="en-US"/>
                    </w:rPr>
                    <w:t>0</w:t>
                  </w:r>
                </w:p>
              </w:tc>
            </w:tr>
            <w:tr>
              <w:trPr>
                <w:trHeight w:val="183" w:hRule="atLeast"/>
              </w:trPr>
              <w:tc>
                <w:tcPr>
                  <w:tcW w:w="71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lang w:val="en-US"/>
                    </w:rPr>
                  </w:pPr>
                  <w:r>
                    <w:rPr>
                      <w:sz w:val="20"/>
                      <w:szCs w:val="20"/>
                      <w:lang w:val="en-US" w:eastAsia="en-US"/>
                    </w:rPr>
                    <w:t> </w:t>
                  </w:r>
                </w:p>
              </w:tc>
              <w:tc>
                <w:tcPr>
                  <w:tcW w:w="1588"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0"/>
                    <w:jc w:val="left"/>
                    <w:textAlignment w:val="auto"/>
                    <w:rPr>
                      <w:lang w:val="en-US"/>
                    </w:rPr>
                  </w:pPr>
                  <w:r>
                    <w:rPr>
                      <w:sz w:val="20"/>
                      <w:szCs w:val="20"/>
                      <w:lang w:val="en-US" w:eastAsia="en-US"/>
                    </w:rPr>
                    <w:t>Femei</w:t>
                  </w:r>
                </w:p>
              </w:tc>
              <w:tc>
                <w:tcPr>
                  <w:tcW w:w="708" w:type="dxa"/>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lang w:val="en-US"/>
                    </w:rPr>
                  </w:pPr>
                  <w:r>
                    <w:rPr>
                      <w:sz w:val="20"/>
                      <w:szCs w:val="20"/>
                      <w:lang w:val="en-US" w:eastAsia="en-US"/>
                    </w:rPr>
                    <w:t> </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0</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08"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6"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425"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20"/>
                      <w:szCs w:val="20"/>
                      <w:lang w:val="en-US" w:eastAsia="en-US"/>
                    </w:rPr>
                    <w:t> </w:t>
                  </w:r>
                </w:p>
              </w:tc>
              <w:tc>
                <w:tcPr>
                  <w:tcW w:w="710"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20"/>
                      <w:szCs w:val="20"/>
                      <w:lang w:val="en-US" w:eastAsia="en-US"/>
                    </w:rPr>
                    <w:t>0</w:t>
                  </w:r>
                </w:p>
              </w:tc>
            </w:tr>
            <w:tr>
              <w:trPr>
                <w:trHeight w:val="230" w:hRule="atLeast"/>
              </w:trPr>
              <w:tc>
                <w:tcPr>
                  <w:tcW w:w="2301"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1"/>
                    <w:jc w:val="left"/>
                    <w:textAlignment w:val="auto"/>
                    <w:rPr>
                      <w:lang w:val="en-US"/>
                    </w:rPr>
                  </w:pPr>
                  <w:r>
                    <w:rPr>
                      <w:b/>
                      <w:bCs/>
                      <w:sz w:val="20"/>
                      <w:szCs w:val="20"/>
                      <w:lang w:val="en-US" w:eastAsia="en-US"/>
                    </w:rPr>
                    <w:t>Total</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left"/>
                    <w:textAlignment w:val="auto"/>
                    <w:rPr>
                      <w:lang w:val="en-US"/>
                    </w:rPr>
                  </w:pPr>
                  <w:r>
                    <w:rPr>
                      <w:b/>
                      <w:bCs/>
                      <w:sz w:val="20"/>
                      <w:szCs w:val="20"/>
                      <w:lang w:val="en-US" w:eastAsia="en-US"/>
                    </w:rPr>
                    <w:t>9,5</w:t>
                  </w:r>
                </w:p>
              </w:tc>
              <w:tc>
                <w:tcPr>
                  <w:tcW w:w="708" w:type="dxa"/>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9</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2</w:t>
                  </w:r>
                </w:p>
              </w:tc>
              <w:tc>
                <w:tcPr>
                  <w:tcW w:w="567"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20"/>
                      <w:szCs w:val="20"/>
                      <w:lang w:val="en-US" w:eastAsia="en-US"/>
                    </w:rPr>
                    <w:t>1</w:t>
                  </w:r>
                </w:p>
              </w:tc>
              <w:tc>
                <w:tcPr>
                  <w:tcW w:w="708"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20"/>
                      <w:szCs w:val="20"/>
                      <w:lang w:val="en-US" w:eastAsia="en-US"/>
                    </w:rPr>
                    <w:t>1</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20"/>
                      <w:szCs w:val="20"/>
                      <w:lang w:val="en-US" w:eastAsia="en-US"/>
                    </w:rPr>
                    <w:t>0</w:t>
                  </w:r>
                </w:p>
              </w:tc>
              <w:tc>
                <w:tcPr>
                  <w:tcW w:w="566"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20"/>
                      <w:szCs w:val="20"/>
                      <w:lang w:val="en-US" w:eastAsia="en-US"/>
                    </w:rPr>
                    <w:t>2</w:t>
                  </w:r>
                </w:p>
              </w:tc>
              <w:tc>
                <w:tcPr>
                  <w:tcW w:w="567"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3</w:t>
                  </w:r>
                </w:p>
              </w:tc>
              <w:tc>
                <w:tcPr>
                  <w:tcW w:w="709"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1</w:t>
                  </w:r>
                </w:p>
              </w:tc>
              <w:tc>
                <w:tcPr>
                  <w:tcW w:w="425"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4</w:t>
                  </w:r>
                </w:p>
              </w:tc>
              <w:tc>
                <w:tcPr>
                  <w:tcW w:w="567"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20"/>
                      <w:szCs w:val="20"/>
                      <w:lang w:val="en-US" w:eastAsia="en-US"/>
                    </w:rPr>
                    <w:t>0</w:t>
                  </w:r>
                </w:p>
              </w:tc>
              <w:tc>
                <w:tcPr>
                  <w:tcW w:w="711"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13</w:t>
                  </w:r>
                </w:p>
              </w:tc>
            </w:tr>
            <w:tr>
              <w:trPr>
                <w:trHeight w:val="105" w:hRule="atLeast"/>
              </w:trPr>
              <w:tc>
                <w:tcPr>
                  <w:tcW w:w="71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lang w:val="en-US"/>
                    </w:rPr>
                  </w:pPr>
                  <w:r>
                    <w:rPr>
                      <w:sz w:val="20"/>
                      <w:szCs w:val="20"/>
                      <w:lang w:val="en-US" w:eastAsia="en-US"/>
                    </w:rPr>
                    <w:t> </w:t>
                  </w:r>
                </w:p>
              </w:tc>
              <w:tc>
                <w:tcPr>
                  <w:tcW w:w="1588"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1"/>
                    <w:jc w:val="left"/>
                    <w:textAlignment w:val="auto"/>
                    <w:rPr>
                      <w:lang w:val="en-US"/>
                    </w:rPr>
                  </w:pPr>
                  <w:r>
                    <w:rPr>
                      <w:b/>
                      <w:bCs/>
                      <w:sz w:val="20"/>
                      <w:szCs w:val="20"/>
                      <w:lang w:val="en-US" w:eastAsia="en-US"/>
                    </w:rPr>
                    <w:t>Total femei</w:t>
                  </w:r>
                </w:p>
              </w:tc>
              <w:tc>
                <w:tcPr>
                  <w:tcW w:w="708" w:type="dxa"/>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lang w:val="en-US"/>
                    </w:rPr>
                  </w:pPr>
                  <w:r>
                    <w:rPr>
                      <w:sz w:val="20"/>
                      <w:szCs w:val="20"/>
                      <w:lang w:val="en-US" w:eastAsia="en-US"/>
                    </w:rPr>
                    <w:t>2,5</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3</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1</w:t>
                  </w:r>
                </w:p>
              </w:tc>
              <w:tc>
                <w:tcPr>
                  <w:tcW w:w="567"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0</w:t>
                  </w:r>
                </w:p>
              </w:tc>
              <w:tc>
                <w:tcPr>
                  <w:tcW w:w="708"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0</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20"/>
                      <w:szCs w:val="20"/>
                      <w:lang w:val="en-US" w:eastAsia="en-US"/>
                    </w:rPr>
                    <w:t>0</w:t>
                  </w:r>
                </w:p>
              </w:tc>
              <w:tc>
                <w:tcPr>
                  <w:tcW w:w="566"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20"/>
                      <w:szCs w:val="20"/>
                      <w:lang w:val="en-US" w:eastAsia="en-US"/>
                    </w:rPr>
                    <w:t>1</w:t>
                  </w:r>
                </w:p>
              </w:tc>
              <w:tc>
                <w:tcPr>
                  <w:tcW w:w="567"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1</w:t>
                  </w:r>
                </w:p>
              </w:tc>
              <w:tc>
                <w:tcPr>
                  <w:tcW w:w="709"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1</w:t>
                  </w:r>
                </w:p>
              </w:tc>
              <w:tc>
                <w:tcPr>
                  <w:tcW w:w="425"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2</w:t>
                  </w:r>
                </w:p>
              </w:tc>
              <w:tc>
                <w:tcPr>
                  <w:tcW w:w="567"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20"/>
                      <w:szCs w:val="20"/>
                      <w:lang w:val="en-US" w:eastAsia="en-US"/>
                    </w:rPr>
                    <w:t>0</w:t>
                  </w:r>
                </w:p>
              </w:tc>
              <w:tc>
                <w:tcPr>
                  <w:tcW w:w="710"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5</w:t>
                  </w:r>
                </w:p>
              </w:tc>
            </w:tr>
            <w:tr>
              <w:trPr>
                <w:trHeight w:val="138" w:hRule="atLeast"/>
              </w:trPr>
              <w:tc>
                <w:tcPr>
                  <w:tcW w:w="2301"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sz w:val="20"/>
                      <w:szCs w:val="20"/>
                      <w:lang w:val="en-US" w:eastAsia="en-US"/>
                    </w:rPr>
                    <w:t>Din ei membrii academiei</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lang w:val="en-US"/>
                    </w:rPr>
                  </w:pPr>
                  <w:r>
                    <w:rPr>
                      <w:sz w:val="20"/>
                      <w:szCs w:val="20"/>
                      <w:lang w:val="en-US" w:eastAsia="en-US"/>
                    </w:rPr>
                    <w:t>1 </w:t>
                  </w:r>
                </w:p>
              </w:tc>
              <w:tc>
                <w:tcPr>
                  <w:tcW w:w="708" w:type="dxa"/>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1</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08"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6"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1 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 </w:t>
                  </w:r>
                </w:p>
              </w:tc>
              <w:tc>
                <w:tcPr>
                  <w:tcW w:w="425"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lang w:val="en-US" w:eastAsia="en-US"/>
                    </w:rPr>
                    <w:t> </w:t>
                  </w:r>
                  <w:r>
                    <w:rPr>
                      <w:sz w:val="20"/>
                      <w:szCs w:val="20"/>
                      <w:lang w:val="en-US" w:eastAsia="en-US"/>
                    </w:rPr>
                    <w:t>1</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lang w:val="en-US" w:eastAsia="en-US"/>
                    </w:rPr>
                    <w:t> </w:t>
                  </w:r>
                </w:p>
              </w:tc>
              <w:tc>
                <w:tcPr>
                  <w:tcW w:w="711"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sz w:val="20"/>
                      <w:szCs w:val="20"/>
                      <w:lang w:val="en-US" w:eastAsia="en-US"/>
                    </w:rPr>
                    <w:t>1</w:t>
                  </w:r>
                </w:p>
              </w:tc>
            </w:tr>
            <w:tr>
              <w:trPr>
                <w:trHeight w:val="315" w:hRule="atLeast"/>
              </w:trPr>
              <w:tc>
                <w:tcPr>
                  <w:tcW w:w="71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lang w:val="en-US"/>
                    </w:rPr>
                  </w:pPr>
                  <w:r>
                    <w:rPr>
                      <w:sz w:val="20"/>
                      <w:szCs w:val="20"/>
                      <w:lang w:val="en-US" w:eastAsia="en-US"/>
                    </w:rPr>
                    <w:t> </w:t>
                  </w:r>
                </w:p>
              </w:tc>
              <w:tc>
                <w:tcPr>
                  <w:tcW w:w="1588"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0"/>
                    <w:jc w:val="left"/>
                    <w:textAlignment w:val="auto"/>
                    <w:rPr>
                      <w:lang w:val="en-US"/>
                    </w:rPr>
                  </w:pPr>
                  <w:r>
                    <w:rPr>
                      <w:sz w:val="20"/>
                      <w:szCs w:val="20"/>
                      <w:lang w:val="en-US" w:eastAsia="en-US"/>
                    </w:rPr>
                    <w:t>Femei</w:t>
                  </w:r>
                </w:p>
              </w:tc>
              <w:tc>
                <w:tcPr>
                  <w:tcW w:w="708" w:type="dxa"/>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lang w:val="en-US"/>
                    </w:rPr>
                  </w:pPr>
                  <w:r>
                    <w:rPr>
                      <w:sz w:val="20"/>
                      <w:szCs w:val="20"/>
                      <w:lang w:val="en-US" w:eastAsia="en-US"/>
                    </w:rPr>
                    <w:t> </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0</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08"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6"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425"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20"/>
                      <w:szCs w:val="20"/>
                      <w:lang w:val="en-US" w:eastAsia="en-US"/>
                    </w:rPr>
                    <w:t> </w:t>
                  </w:r>
                </w:p>
              </w:tc>
              <w:tc>
                <w:tcPr>
                  <w:tcW w:w="710"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20"/>
                      <w:szCs w:val="20"/>
                      <w:lang w:val="en-US" w:eastAsia="en-US"/>
                    </w:rPr>
                    <w:t>0</w:t>
                  </w:r>
                </w:p>
              </w:tc>
            </w:tr>
          </w:tbl>
          <w:p>
            <w:pPr>
              <w:pStyle w:val="Normal"/>
              <w:widowControl/>
              <w:bidi w:val="0"/>
              <w:ind w:left="0" w:right="0" w:hanging="0"/>
              <w:jc w:val="center"/>
              <w:textAlignment w:val="auto"/>
              <w:rPr>
                <w:rFonts w:ascii="Times New Roman" w:hAnsi="Times New Roman"/>
                <w:b/>
                <w:b/>
                <w:bCs/>
                <w:sz w:val="18"/>
                <w:szCs w:val="18"/>
                <w:lang w:val="en-US"/>
              </w:rPr>
            </w:pPr>
            <w:r>
              <w:rPr>
                <w:b/>
                <w:bCs/>
                <w:sz w:val="18"/>
                <w:szCs w:val="18"/>
                <w:lang w:val="en-US"/>
              </w:rPr>
            </w:r>
          </w:p>
        </w:tc>
      </w:tr>
      <w:tr>
        <w:trPr>
          <w:trHeight w:val="300" w:hRule="atLeast"/>
        </w:trPr>
        <w:tc>
          <w:tcPr>
            <w:tcW w:w="832" w:type="dxa"/>
            <w:gridSpan w:val="2"/>
            <w:tcBorders/>
            <w:shd w:fill="auto" w:val="clear"/>
          </w:tcPr>
          <w:p>
            <w:pPr>
              <w:pStyle w:val="Normal"/>
              <w:widowControl/>
              <w:bidi w:val="0"/>
              <w:ind w:left="0" w:right="0" w:firstLine="180"/>
              <w:jc w:val="left"/>
              <w:textAlignment w:val="auto"/>
              <w:rPr>
                <w:rFonts w:ascii="Times New Roman" w:hAnsi="Times New Roman"/>
                <w:sz w:val="18"/>
                <w:szCs w:val="18"/>
                <w:lang w:val="en-US"/>
              </w:rPr>
            </w:pPr>
            <w:r>
              <w:rPr>
                <w:sz w:val="18"/>
                <w:szCs w:val="18"/>
                <w:lang w:val="en-US"/>
              </w:rPr>
            </w:r>
          </w:p>
        </w:tc>
        <w:tc>
          <w:tcPr>
            <w:tcW w:w="2407" w:type="dxa"/>
            <w:gridSpan w:val="6"/>
            <w:tcBorders/>
            <w:shd w:fill="auto" w:val="clear"/>
          </w:tcPr>
          <w:p>
            <w:pPr>
              <w:pStyle w:val="Normal"/>
              <w:widowControl/>
              <w:bidi w:val="0"/>
              <w:ind w:left="0" w:right="0" w:firstLine="181"/>
              <w:jc w:val="left"/>
              <w:textAlignment w:val="auto"/>
              <w:rPr>
                <w:rFonts w:ascii="Times New Roman" w:hAnsi="Times New Roman"/>
                <w:b/>
                <w:b/>
                <w:bCs/>
                <w:sz w:val="18"/>
                <w:szCs w:val="18"/>
                <w:lang w:val="en-US"/>
              </w:rPr>
            </w:pPr>
            <w:r>
              <w:rPr>
                <w:b/>
                <w:bCs/>
                <w:sz w:val="18"/>
                <w:szCs w:val="18"/>
                <w:lang w:val="en-US"/>
              </w:rPr>
            </w:r>
          </w:p>
        </w:tc>
        <w:tc>
          <w:tcPr>
            <w:tcW w:w="713" w:type="dxa"/>
            <w:gridSpan w:val="2"/>
            <w:tcBorders/>
            <w:shd w:fill="auto" w:val="clear"/>
          </w:tcPr>
          <w:p>
            <w:pPr>
              <w:pStyle w:val="Normal"/>
              <w:widowControl/>
              <w:bidi w:val="0"/>
              <w:ind w:left="0" w:right="0" w:firstLine="180"/>
              <w:jc w:val="left"/>
              <w:textAlignment w:val="auto"/>
              <w:rPr>
                <w:rFonts w:ascii="Times New Roman" w:hAnsi="Times New Roman"/>
                <w:sz w:val="18"/>
                <w:szCs w:val="18"/>
                <w:lang w:val="en-US"/>
              </w:rPr>
            </w:pPr>
            <w:r>
              <w:rPr>
                <w:sz w:val="18"/>
                <w:szCs w:val="18"/>
                <w:lang w:val="en-US"/>
              </w:rPr>
            </w:r>
          </w:p>
        </w:tc>
        <w:tc>
          <w:tcPr>
            <w:tcW w:w="571" w:type="dxa"/>
            <w:gridSpan w:val="3"/>
            <w:tcBorders/>
            <w:shd w:fill="auto" w:val="clear"/>
            <w:vAlign w:val="bottom"/>
          </w:tcPr>
          <w:p>
            <w:pPr>
              <w:pStyle w:val="Normal"/>
              <w:widowControl/>
              <w:bidi w:val="0"/>
              <w:ind w:left="0" w:right="0" w:hanging="0"/>
              <w:jc w:val="center"/>
              <w:textAlignment w:val="auto"/>
              <w:rPr>
                <w:rFonts w:ascii="Times New Roman" w:hAnsi="Times New Roman"/>
                <w:sz w:val="18"/>
                <w:szCs w:val="18"/>
                <w:lang w:val="en-US"/>
              </w:rPr>
            </w:pPr>
            <w:r>
              <w:rPr>
                <w:sz w:val="18"/>
                <w:szCs w:val="18"/>
                <w:lang w:val="en-US"/>
              </w:rPr>
            </w:r>
          </w:p>
        </w:tc>
        <w:tc>
          <w:tcPr>
            <w:tcW w:w="429" w:type="dxa"/>
            <w:tcBorders/>
            <w:shd w:fill="auto" w:val="clear"/>
            <w:vAlign w:val="bottom"/>
          </w:tcPr>
          <w:p>
            <w:pPr>
              <w:pStyle w:val="Normal"/>
              <w:widowControl/>
              <w:bidi w:val="0"/>
              <w:ind w:left="0" w:right="0" w:hanging="0"/>
              <w:jc w:val="center"/>
              <w:textAlignment w:val="auto"/>
              <w:rPr>
                <w:rFonts w:ascii="Times New Roman" w:hAnsi="Times New Roman"/>
                <w:sz w:val="18"/>
                <w:szCs w:val="18"/>
                <w:lang w:val="en-US"/>
              </w:rPr>
            </w:pPr>
            <w:r>
              <w:rPr>
                <w:sz w:val="18"/>
                <w:szCs w:val="18"/>
                <w:lang w:val="en-US"/>
              </w:rPr>
            </w:r>
          </w:p>
        </w:tc>
        <w:tc>
          <w:tcPr>
            <w:tcW w:w="571" w:type="dxa"/>
            <w:tcBorders/>
            <w:shd w:fill="auto" w:val="clear"/>
            <w:vAlign w:val="bottom"/>
          </w:tcPr>
          <w:p>
            <w:pPr>
              <w:pStyle w:val="Normal"/>
              <w:widowControl/>
              <w:bidi w:val="0"/>
              <w:ind w:left="0" w:right="0" w:hanging="0"/>
              <w:jc w:val="center"/>
              <w:textAlignment w:val="auto"/>
              <w:rPr>
                <w:rFonts w:ascii="Times New Roman" w:hAnsi="Times New Roman"/>
                <w:sz w:val="18"/>
                <w:szCs w:val="18"/>
                <w:lang w:val="en-US"/>
              </w:rPr>
            </w:pPr>
            <w:r>
              <w:rPr>
                <w:sz w:val="18"/>
                <w:szCs w:val="18"/>
                <w:lang w:val="en-US"/>
              </w:rPr>
            </w:r>
          </w:p>
        </w:tc>
        <w:tc>
          <w:tcPr>
            <w:tcW w:w="572" w:type="dxa"/>
            <w:gridSpan w:val="3"/>
            <w:tcBorders/>
            <w:shd w:fill="auto" w:val="clear"/>
            <w:vAlign w:val="bottom"/>
          </w:tcPr>
          <w:p>
            <w:pPr>
              <w:pStyle w:val="Normal"/>
              <w:widowControl/>
              <w:bidi w:val="0"/>
              <w:ind w:left="0" w:right="0" w:hanging="0"/>
              <w:jc w:val="center"/>
              <w:textAlignment w:val="auto"/>
              <w:rPr>
                <w:rFonts w:ascii="Times New Roman" w:hAnsi="Times New Roman"/>
                <w:sz w:val="18"/>
                <w:szCs w:val="18"/>
                <w:lang w:val="en-US"/>
              </w:rPr>
            </w:pPr>
            <w:r>
              <w:rPr>
                <w:sz w:val="18"/>
                <w:szCs w:val="18"/>
                <w:lang w:val="en-US"/>
              </w:rPr>
            </w:r>
          </w:p>
        </w:tc>
        <w:tc>
          <w:tcPr>
            <w:tcW w:w="571" w:type="dxa"/>
            <w:gridSpan w:val="2"/>
            <w:tcBorders/>
            <w:shd w:fill="auto" w:val="clear"/>
            <w:vAlign w:val="bottom"/>
          </w:tcPr>
          <w:p>
            <w:pPr>
              <w:pStyle w:val="Normal"/>
              <w:widowControl/>
              <w:bidi w:val="0"/>
              <w:ind w:left="0" w:right="0" w:hanging="0"/>
              <w:jc w:val="center"/>
              <w:textAlignment w:val="auto"/>
              <w:rPr>
                <w:rFonts w:ascii="Times New Roman" w:hAnsi="Times New Roman"/>
                <w:sz w:val="18"/>
                <w:szCs w:val="18"/>
                <w:lang w:val="en-US"/>
              </w:rPr>
            </w:pPr>
            <w:r>
              <w:rPr>
                <w:sz w:val="18"/>
                <w:szCs w:val="18"/>
                <w:lang w:val="en-US"/>
              </w:rPr>
            </w:r>
          </w:p>
        </w:tc>
        <w:tc>
          <w:tcPr>
            <w:tcW w:w="571" w:type="dxa"/>
            <w:gridSpan w:val="2"/>
            <w:tcBorders/>
            <w:shd w:fill="auto" w:val="clear"/>
            <w:vAlign w:val="bottom"/>
          </w:tcPr>
          <w:p>
            <w:pPr>
              <w:pStyle w:val="Normal"/>
              <w:widowControl/>
              <w:bidi w:val="0"/>
              <w:ind w:left="0" w:right="0" w:hanging="0"/>
              <w:jc w:val="center"/>
              <w:textAlignment w:val="auto"/>
              <w:rPr>
                <w:rFonts w:ascii="Times New Roman" w:hAnsi="Times New Roman"/>
                <w:sz w:val="18"/>
                <w:szCs w:val="18"/>
                <w:lang w:val="en-US"/>
              </w:rPr>
            </w:pPr>
            <w:r>
              <w:rPr>
                <w:sz w:val="18"/>
                <w:szCs w:val="18"/>
                <w:lang w:val="en-US"/>
              </w:rPr>
            </w:r>
          </w:p>
        </w:tc>
        <w:tc>
          <w:tcPr>
            <w:tcW w:w="766" w:type="dxa"/>
            <w:tcBorders/>
            <w:shd w:fill="auto" w:val="clear"/>
            <w:vAlign w:val="bottom"/>
          </w:tcPr>
          <w:p>
            <w:pPr>
              <w:pStyle w:val="Normal"/>
              <w:widowControl/>
              <w:bidi w:val="0"/>
              <w:ind w:left="0" w:right="0" w:hanging="0"/>
              <w:jc w:val="center"/>
              <w:textAlignment w:val="auto"/>
              <w:rPr>
                <w:rFonts w:ascii="Times New Roman" w:hAnsi="Times New Roman"/>
                <w:sz w:val="18"/>
                <w:szCs w:val="18"/>
                <w:lang w:val="en-US"/>
              </w:rPr>
            </w:pPr>
            <w:r>
              <w:rPr>
                <w:sz w:val="18"/>
                <w:szCs w:val="18"/>
                <w:lang w:val="en-US"/>
              </w:rPr>
            </w:r>
          </w:p>
        </w:tc>
        <w:tc>
          <w:tcPr>
            <w:tcW w:w="427" w:type="dxa"/>
            <w:gridSpan w:val="2"/>
            <w:tcBorders/>
            <w:shd w:fill="auto" w:val="clear"/>
            <w:vAlign w:val="bottom"/>
          </w:tcPr>
          <w:p>
            <w:pPr>
              <w:pStyle w:val="Normal"/>
              <w:widowControl/>
              <w:bidi w:val="0"/>
              <w:ind w:left="0" w:right="0" w:hanging="0"/>
              <w:jc w:val="center"/>
              <w:textAlignment w:val="auto"/>
              <w:rPr>
                <w:rFonts w:ascii="Times New Roman" w:hAnsi="Times New Roman"/>
                <w:sz w:val="18"/>
                <w:szCs w:val="18"/>
                <w:lang w:val="en-US"/>
              </w:rPr>
            </w:pPr>
            <w:r>
              <w:rPr>
                <w:sz w:val="18"/>
                <w:szCs w:val="18"/>
                <w:lang w:val="en-US"/>
              </w:rPr>
            </w:r>
          </w:p>
        </w:tc>
        <w:tc>
          <w:tcPr>
            <w:tcW w:w="572" w:type="dxa"/>
            <w:gridSpan w:val="2"/>
            <w:tcBorders/>
            <w:shd w:fill="auto" w:val="clear"/>
            <w:vAlign w:val="bottom"/>
          </w:tcPr>
          <w:p>
            <w:pPr>
              <w:pStyle w:val="Normal"/>
              <w:widowControl/>
              <w:bidi w:val="0"/>
              <w:ind w:left="0" w:right="0" w:hanging="0"/>
              <w:jc w:val="center"/>
              <w:textAlignment w:val="auto"/>
              <w:rPr>
                <w:rFonts w:ascii="Times New Roman" w:hAnsi="Times New Roman"/>
                <w:sz w:val="18"/>
                <w:szCs w:val="18"/>
                <w:lang w:val="en-US"/>
              </w:rPr>
            </w:pPr>
            <w:r>
              <w:rPr>
                <w:sz w:val="18"/>
                <w:szCs w:val="18"/>
                <w:lang w:val="en-US"/>
              </w:rPr>
            </w:r>
          </w:p>
        </w:tc>
        <w:tc>
          <w:tcPr>
            <w:tcW w:w="571" w:type="dxa"/>
            <w:gridSpan w:val="2"/>
            <w:tcBorders/>
            <w:shd w:fill="auto" w:val="clear"/>
            <w:vAlign w:val="bottom"/>
          </w:tcPr>
          <w:p>
            <w:pPr>
              <w:pStyle w:val="Normal"/>
              <w:widowControl/>
              <w:bidi w:val="0"/>
              <w:ind w:left="0" w:right="0" w:hanging="0"/>
              <w:jc w:val="center"/>
              <w:textAlignment w:val="auto"/>
              <w:rPr>
                <w:rFonts w:ascii="Arial" w:hAnsi="Arial" w:cs="Arial"/>
                <w:sz w:val="20"/>
                <w:szCs w:val="20"/>
                <w:lang w:val="en-US"/>
              </w:rPr>
            </w:pPr>
            <w:r>
              <w:rPr>
                <w:rFonts w:cs="Arial" w:ascii="Arial" w:hAnsi="Arial"/>
                <w:sz w:val="20"/>
                <w:szCs w:val="20"/>
                <w:lang w:val="en-US"/>
              </w:rPr>
            </w:r>
          </w:p>
        </w:tc>
        <w:tc>
          <w:tcPr>
            <w:tcW w:w="1285" w:type="dxa"/>
            <w:gridSpan w:val="2"/>
            <w:tcBorders/>
            <w:shd w:fill="auto" w:val="clear"/>
            <w:vAlign w:val="bottom"/>
          </w:tcPr>
          <w:p>
            <w:pPr>
              <w:pStyle w:val="Normal"/>
              <w:widowControl/>
              <w:bidi w:val="0"/>
              <w:ind w:left="0" w:right="0" w:hanging="0"/>
              <w:jc w:val="center"/>
              <w:textAlignment w:val="auto"/>
              <w:rPr>
                <w:rFonts w:ascii="Arial" w:hAnsi="Arial" w:cs="Arial"/>
                <w:sz w:val="20"/>
                <w:szCs w:val="20"/>
                <w:lang w:val="en-US"/>
              </w:rPr>
            </w:pPr>
            <w:r>
              <w:rPr>
                <w:rFonts w:cs="Arial" w:ascii="Arial" w:hAnsi="Arial"/>
                <w:sz w:val="20"/>
                <w:szCs w:val="20"/>
                <w:lang w:val="en-US"/>
              </w:rPr>
            </w:r>
          </w:p>
        </w:tc>
      </w:tr>
      <w:tr>
        <w:trPr>
          <w:trHeight w:val="270" w:hRule="atLeast"/>
        </w:trPr>
        <w:tc>
          <w:tcPr>
            <w:tcW w:w="8003" w:type="dxa"/>
            <w:gridSpan w:val="23"/>
            <w:tcBorders>
              <w:bottom w:val="single" w:sz="8" w:space="0" w:color="000001"/>
              <w:insideH w:val="single" w:sz="8" w:space="0" w:color="000001"/>
            </w:tcBorders>
            <w:shd w:fill="auto" w:val="clear"/>
            <w:vAlign w:val="bottom"/>
          </w:tcPr>
          <w:p>
            <w:pPr>
              <w:pStyle w:val="Normal"/>
              <w:widowControl/>
              <w:bidi w:val="0"/>
              <w:ind w:left="0" w:right="0" w:hanging="0"/>
              <w:jc w:val="center"/>
              <w:textAlignment w:val="auto"/>
              <w:rPr/>
            </w:pPr>
            <w:r>
              <w:rPr>
                <w:b/>
                <w:bCs/>
                <w:sz w:val="18"/>
                <w:szCs w:val="18"/>
              </w:rPr>
              <w:t>3.2. Retribuirea muncii colaboratorilor</w:t>
            </w:r>
            <w:r>
              <w:rPr>
                <w:b/>
                <w:bCs/>
                <w:sz w:val="18"/>
                <w:szCs w:val="18"/>
                <w:lang w:val="ro-RO"/>
              </w:rPr>
              <w:t xml:space="preserve"> 2016</w:t>
            </w:r>
          </w:p>
        </w:tc>
        <w:tc>
          <w:tcPr>
            <w:tcW w:w="427" w:type="dxa"/>
            <w:gridSpan w:val="2"/>
            <w:tcBorders/>
            <w:shd w:fill="auto" w:val="clear"/>
            <w:vAlign w:val="bottom"/>
          </w:tcPr>
          <w:p>
            <w:pPr>
              <w:pStyle w:val="Normal"/>
              <w:widowControl/>
              <w:bidi w:val="0"/>
              <w:ind w:left="0" w:right="0" w:hanging="0"/>
              <w:jc w:val="center"/>
              <w:textAlignment w:val="auto"/>
              <w:rPr>
                <w:rFonts w:ascii="Times New Roman" w:hAnsi="Times New Roman"/>
                <w:b/>
                <w:b/>
                <w:bCs/>
                <w:sz w:val="18"/>
                <w:szCs w:val="18"/>
              </w:rPr>
            </w:pPr>
            <w:r>
              <w:rPr>
                <w:b/>
                <w:bCs/>
                <w:sz w:val="18"/>
                <w:szCs w:val="18"/>
              </w:rPr>
            </w:r>
          </w:p>
        </w:tc>
        <w:tc>
          <w:tcPr>
            <w:tcW w:w="572" w:type="dxa"/>
            <w:gridSpan w:val="2"/>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571" w:type="dxa"/>
            <w:gridSpan w:val="2"/>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1285" w:type="dxa"/>
            <w:gridSpan w:val="2"/>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r>
      <w:tr>
        <w:trPr>
          <w:trHeight w:val="300" w:hRule="atLeast"/>
        </w:trPr>
        <w:tc>
          <w:tcPr>
            <w:tcW w:w="3003" w:type="dxa"/>
            <w:gridSpan w:val="6"/>
            <w:vMerge w:val="restart"/>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18"/>
                <w:szCs w:val="18"/>
              </w:rPr>
              <w:t>Categorii de personal</w:t>
            </w:r>
          </w:p>
        </w:tc>
        <w:tc>
          <w:tcPr>
            <w:tcW w:w="5001" w:type="dxa"/>
            <w:gridSpan w:val="18"/>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b/>
                <w:bCs/>
                <w:sz w:val="18"/>
                <w:szCs w:val="18"/>
                <w:lang w:val="en-US"/>
              </w:rPr>
              <w:t xml:space="preserve">Salariul mediu lunar calculate </w:t>
            </w:r>
            <w:r>
              <w:rPr>
                <w:rFonts w:cs="Times New Roman CE" w:ascii="Times New Roman CE" w:hAnsi="Times New Roman CE"/>
                <w:b/>
                <w:bCs/>
                <w:sz w:val="18"/>
                <w:szCs w:val="18"/>
                <w:lang w:val="en-US"/>
              </w:rPr>
              <w:t xml:space="preserve">(cu sporuri şi premii) </w:t>
            </w:r>
            <w:r>
              <w:rPr>
                <w:b/>
                <w:bCs/>
                <w:color w:val="FF0000"/>
                <w:sz w:val="18"/>
                <w:szCs w:val="18"/>
                <w:lang w:val="en-US"/>
              </w:rPr>
              <w:t xml:space="preserve"> per unitate</w:t>
            </w:r>
            <w:r>
              <w:rPr>
                <w:b/>
                <w:bCs/>
                <w:sz w:val="18"/>
                <w:szCs w:val="18"/>
                <w:lang w:val="en-US"/>
              </w:rPr>
              <w:t>, lei</w:t>
            </w:r>
          </w:p>
        </w:tc>
        <w:tc>
          <w:tcPr>
            <w:tcW w:w="428" w:type="dxa"/>
            <w:gridSpan w:val="2"/>
            <w:tcBorders/>
            <w:shd w:fill="auto" w:val="clear"/>
            <w:vAlign w:val="bottom"/>
          </w:tcPr>
          <w:p>
            <w:pPr>
              <w:pStyle w:val="Normal"/>
              <w:widowControl/>
              <w:bidi w:val="0"/>
              <w:ind w:left="0" w:right="0" w:hanging="0"/>
              <w:jc w:val="left"/>
              <w:textAlignment w:val="auto"/>
              <w:rPr>
                <w:rFonts w:ascii="Times New Roman" w:hAnsi="Times New Roman"/>
                <w:sz w:val="18"/>
                <w:szCs w:val="18"/>
                <w:lang w:val="en-US"/>
              </w:rPr>
            </w:pPr>
            <w:r>
              <w:rPr>
                <w:sz w:val="18"/>
                <w:szCs w:val="18"/>
                <w:lang w:val="en-US"/>
              </w:rPr>
            </w:r>
          </w:p>
        </w:tc>
        <w:tc>
          <w:tcPr>
            <w:tcW w:w="571" w:type="dxa"/>
            <w:gridSpan w:val="2"/>
            <w:tcBorders/>
            <w:shd w:fill="auto" w:val="clear"/>
            <w:vAlign w:val="bottom"/>
          </w:tcPr>
          <w:p>
            <w:pPr>
              <w:pStyle w:val="Normal"/>
              <w:widowControl/>
              <w:bidi w:val="0"/>
              <w:ind w:left="0" w:right="0" w:hanging="0"/>
              <w:jc w:val="left"/>
              <w:textAlignment w:val="auto"/>
              <w:rPr>
                <w:rFonts w:ascii="Times New Roman" w:hAnsi="Times New Roman"/>
                <w:sz w:val="18"/>
                <w:szCs w:val="18"/>
                <w:lang w:val="en-US"/>
              </w:rPr>
            </w:pPr>
            <w:r>
              <w:rPr>
                <w:sz w:val="18"/>
                <w:szCs w:val="18"/>
                <w:lang w:val="en-US"/>
              </w:rPr>
            </w:r>
          </w:p>
        </w:tc>
        <w:tc>
          <w:tcPr>
            <w:tcW w:w="571" w:type="dxa"/>
            <w:gridSpan w:val="2"/>
            <w:tcBorders/>
            <w:shd w:fill="auto" w:val="clear"/>
            <w:vAlign w:val="bottom"/>
          </w:tcPr>
          <w:p>
            <w:pPr>
              <w:pStyle w:val="Normal"/>
              <w:widowControl/>
              <w:bidi w:val="0"/>
              <w:ind w:left="0" w:right="0" w:hanging="0"/>
              <w:jc w:val="left"/>
              <w:textAlignment w:val="auto"/>
              <w:rPr>
                <w:rFonts w:ascii="Arial" w:hAnsi="Arial" w:cs="Arial"/>
                <w:sz w:val="20"/>
                <w:szCs w:val="20"/>
                <w:lang w:val="en-US"/>
              </w:rPr>
            </w:pPr>
            <w:r>
              <w:rPr>
                <w:rFonts w:cs="Arial" w:ascii="Arial" w:hAnsi="Arial"/>
                <w:sz w:val="20"/>
                <w:szCs w:val="20"/>
                <w:lang w:val="en-US"/>
              </w:rPr>
            </w:r>
          </w:p>
        </w:tc>
        <w:tc>
          <w:tcPr>
            <w:tcW w:w="1284" w:type="dxa"/>
            <w:tcBorders/>
            <w:shd w:fill="auto" w:val="clear"/>
            <w:vAlign w:val="bottom"/>
          </w:tcPr>
          <w:p>
            <w:pPr>
              <w:pStyle w:val="Normal"/>
              <w:widowControl/>
              <w:bidi w:val="0"/>
              <w:ind w:left="0" w:right="0" w:hanging="0"/>
              <w:jc w:val="left"/>
              <w:textAlignment w:val="auto"/>
              <w:rPr>
                <w:rFonts w:ascii="Arial" w:hAnsi="Arial" w:cs="Arial"/>
                <w:sz w:val="20"/>
                <w:szCs w:val="20"/>
                <w:lang w:val="en-US"/>
              </w:rPr>
            </w:pPr>
            <w:r>
              <w:rPr>
                <w:rFonts w:cs="Arial" w:ascii="Arial" w:hAnsi="Arial"/>
                <w:sz w:val="20"/>
                <w:szCs w:val="20"/>
                <w:lang w:val="en-US"/>
              </w:rPr>
            </w:r>
          </w:p>
        </w:tc>
      </w:tr>
      <w:tr>
        <w:trPr>
          <w:trHeight w:val="122" w:hRule="atLeast"/>
        </w:trPr>
        <w:tc>
          <w:tcPr>
            <w:tcW w:w="3003" w:type="dxa"/>
            <w:gridSpan w:val="6"/>
            <w:vMerge w:val="continue"/>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18"/>
                <w:szCs w:val="18"/>
                <w:lang w:val="en-US"/>
              </w:rPr>
            </w:pPr>
            <w:r>
              <w:rPr>
                <w:sz w:val="18"/>
                <w:szCs w:val="18"/>
                <w:lang w:val="en-US"/>
              </w:rPr>
            </w:r>
          </w:p>
        </w:tc>
        <w:tc>
          <w:tcPr>
            <w:tcW w:w="5001" w:type="dxa"/>
            <w:gridSpan w:val="18"/>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Tipul de angajare</w:t>
            </w:r>
          </w:p>
        </w:tc>
        <w:tc>
          <w:tcPr>
            <w:tcW w:w="428" w:type="dxa"/>
            <w:gridSpan w:val="2"/>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571" w:type="dxa"/>
            <w:gridSpan w:val="2"/>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571" w:type="dxa"/>
            <w:gridSpan w:val="2"/>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1284" w:type="dxa"/>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r>
      <w:tr>
        <w:trPr>
          <w:trHeight w:val="209" w:hRule="atLeast"/>
        </w:trPr>
        <w:tc>
          <w:tcPr>
            <w:tcW w:w="3003" w:type="dxa"/>
            <w:gridSpan w:val="6"/>
            <w:vMerge w:val="continue"/>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1379"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rFonts w:cs="Times New Roman CE" w:ascii="Times New Roman CE" w:hAnsi="Times New Roman CE"/>
                <w:sz w:val="18"/>
                <w:szCs w:val="18"/>
              </w:rPr>
              <w:t>De bază</w:t>
            </w:r>
          </w:p>
        </w:tc>
        <w:tc>
          <w:tcPr>
            <w:tcW w:w="1285" w:type="dxa"/>
            <w:gridSpan w:val="6"/>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Cumul intern</w:t>
            </w:r>
          </w:p>
        </w:tc>
        <w:tc>
          <w:tcPr>
            <w:tcW w:w="1428"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Cumul extern</w:t>
            </w:r>
          </w:p>
        </w:tc>
        <w:tc>
          <w:tcPr>
            <w:tcW w:w="909"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rFonts w:cs="Times New Roman CE" w:ascii="Times New Roman CE" w:hAnsi="Times New Roman CE"/>
                <w:sz w:val="18"/>
                <w:szCs w:val="18"/>
              </w:rPr>
              <w:t>Acord de muncă</w:t>
            </w:r>
          </w:p>
        </w:tc>
        <w:tc>
          <w:tcPr>
            <w:tcW w:w="428" w:type="dxa"/>
            <w:gridSpan w:val="2"/>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571" w:type="dxa"/>
            <w:gridSpan w:val="2"/>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571" w:type="dxa"/>
            <w:gridSpan w:val="2"/>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1284" w:type="dxa"/>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r>
      <w:tr>
        <w:trPr>
          <w:trHeight w:val="113" w:hRule="atLeast"/>
        </w:trPr>
        <w:tc>
          <w:tcPr>
            <w:tcW w:w="3003" w:type="dxa"/>
            <w:gridSpan w:val="6"/>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both"/>
              <w:textAlignment w:val="auto"/>
              <w:rPr/>
            </w:pPr>
            <w:r>
              <w:rPr>
                <w:rFonts w:cs="Times New Roman CE" w:ascii="Times New Roman CE" w:hAnsi="Times New Roman CE"/>
                <w:sz w:val="18"/>
                <w:szCs w:val="18"/>
              </w:rPr>
              <w:t>Şef de subdiviziune</w:t>
            </w:r>
          </w:p>
        </w:tc>
        <w:tc>
          <w:tcPr>
            <w:tcW w:w="1379"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ro-RO"/>
              </w:rPr>
            </w:pPr>
            <w:r>
              <w:rPr>
                <w:sz w:val="18"/>
                <w:szCs w:val="18"/>
                <w:lang w:val="ro-RO"/>
              </w:rPr>
              <w:t>9304,2</w:t>
            </w:r>
          </w:p>
        </w:tc>
        <w:tc>
          <w:tcPr>
            <w:tcW w:w="1285" w:type="dxa"/>
            <w:gridSpan w:val="6"/>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sz w:val="18"/>
                <w:szCs w:val="18"/>
              </w:rPr>
              <w:t> </w:t>
            </w:r>
          </w:p>
        </w:tc>
        <w:tc>
          <w:tcPr>
            <w:tcW w:w="1428"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sz w:val="18"/>
                <w:szCs w:val="18"/>
              </w:rPr>
              <w:t> </w:t>
            </w:r>
          </w:p>
        </w:tc>
        <w:tc>
          <w:tcPr>
            <w:tcW w:w="909"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sz w:val="18"/>
                <w:szCs w:val="18"/>
              </w:rPr>
              <w:t> </w:t>
            </w:r>
          </w:p>
        </w:tc>
        <w:tc>
          <w:tcPr>
            <w:tcW w:w="428" w:type="dxa"/>
            <w:gridSpan w:val="2"/>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571" w:type="dxa"/>
            <w:gridSpan w:val="2"/>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571" w:type="dxa"/>
            <w:gridSpan w:val="2"/>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1284" w:type="dxa"/>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r>
      <w:tr>
        <w:trPr>
          <w:trHeight w:val="253" w:hRule="atLeast"/>
        </w:trPr>
        <w:tc>
          <w:tcPr>
            <w:tcW w:w="3003" w:type="dxa"/>
            <w:gridSpan w:val="6"/>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both"/>
              <w:textAlignment w:val="auto"/>
              <w:rPr/>
            </w:pPr>
            <w:r>
              <w:rPr>
                <w:rFonts w:cs="Times New Roman CE" w:ascii="Times New Roman CE" w:hAnsi="Times New Roman CE"/>
                <w:sz w:val="18"/>
                <w:szCs w:val="18"/>
              </w:rPr>
              <w:t>Cercetători ştiinţifici principali</w:t>
            </w:r>
          </w:p>
        </w:tc>
        <w:tc>
          <w:tcPr>
            <w:tcW w:w="1379"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ro-RO"/>
              </w:rPr>
            </w:pPr>
            <w:r>
              <w:rPr>
                <w:sz w:val="20"/>
                <w:szCs w:val="20"/>
                <w:lang w:val="ro-RO"/>
              </w:rPr>
              <w:t>955</w:t>
            </w:r>
            <w:r>
              <w:rPr>
                <w:sz w:val="20"/>
                <w:szCs w:val="20"/>
              </w:rPr>
              <w:t>6,</w:t>
            </w:r>
            <w:r>
              <w:rPr>
                <w:sz w:val="20"/>
                <w:szCs w:val="20"/>
                <w:lang w:val="ro-RO"/>
              </w:rPr>
              <w:t>58</w:t>
            </w:r>
          </w:p>
        </w:tc>
        <w:tc>
          <w:tcPr>
            <w:tcW w:w="1285" w:type="dxa"/>
            <w:gridSpan w:val="6"/>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sz w:val="18"/>
                <w:szCs w:val="18"/>
              </w:rPr>
              <w:t> </w:t>
            </w:r>
          </w:p>
        </w:tc>
        <w:tc>
          <w:tcPr>
            <w:tcW w:w="1428"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ro-RO"/>
              </w:rPr>
            </w:pPr>
            <w:r>
              <w:rPr>
                <w:sz w:val="18"/>
                <w:szCs w:val="18"/>
                <w:lang w:val="ro-RO"/>
              </w:rPr>
              <w:t>2300,89</w:t>
            </w:r>
          </w:p>
        </w:tc>
        <w:tc>
          <w:tcPr>
            <w:tcW w:w="909"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428" w:type="dxa"/>
            <w:gridSpan w:val="2"/>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571" w:type="dxa"/>
            <w:gridSpan w:val="2"/>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571" w:type="dxa"/>
            <w:gridSpan w:val="2"/>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1284" w:type="dxa"/>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r>
      <w:tr>
        <w:trPr>
          <w:trHeight w:val="129" w:hRule="atLeast"/>
        </w:trPr>
        <w:tc>
          <w:tcPr>
            <w:tcW w:w="3003" w:type="dxa"/>
            <w:gridSpan w:val="6"/>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both"/>
              <w:textAlignment w:val="auto"/>
              <w:rPr/>
            </w:pPr>
            <w:r>
              <w:rPr>
                <w:rFonts w:cs="Times New Roman CE" w:ascii="Times New Roman CE" w:hAnsi="Times New Roman CE"/>
                <w:sz w:val="18"/>
                <w:szCs w:val="18"/>
              </w:rPr>
              <w:t>Cercetător i ştiinţific coordonatori</w:t>
            </w:r>
          </w:p>
        </w:tc>
        <w:tc>
          <w:tcPr>
            <w:tcW w:w="1379"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ro-RO"/>
              </w:rPr>
            </w:pPr>
            <w:r>
              <w:rPr>
                <w:sz w:val="20"/>
                <w:szCs w:val="20"/>
                <w:lang w:val="ro-RO"/>
              </w:rPr>
              <w:t>5861</w:t>
            </w:r>
            <w:r>
              <w:rPr>
                <w:sz w:val="20"/>
                <w:szCs w:val="20"/>
              </w:rPr>
              <w:t>,</w:t>
            </w:r>
            <w:r>
              <w:rPr>
                <w:sz w:val="20"/>
                <w:szCs w:val="20"/>
                <w:lang w:val="ro-RO"/>
              </w:rPr>
              <w:t>8</w:t>
            </w:r>
          </w:p>
        </w:tc>
        <w:tc>
          <w:tcPr>
            <w:tcW w:w="1285" w:type="dxa"/>
            <w:gridSpan w:val="6"/>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sz w:val="18"/>
                <w:szCs w:val="18"/>
              </w:rPr>
              <w:t>1</w:t>
            </w:r>
            <w:r>
              <w:rPr>
                <w:sz w:val="18"/>
                <w:szCs w:val="18"/>
                <w:lang w:val="ro-RO"/>
              </w:rPr>
              <w:t>616</w:t>
            </w:r>
            <w:r>
              <w:rPr>
                <w:sz w:val="18"/>
                <w:szCs w:val="18"/>
              </w:rPr>
              <w:t>,</w:t>
            </w:r>
            <w:r>
              <w:rPr>
                <w:sz w:val="18"/>
                <w:szCs w:val="18"/>
                <w:lang w:val="ro-RO"/>
              </w:rPr>
              <w:t>88</w:t>
            </w:r>
          </w:p>
        </w:tc>
        <w:tc>
          <w:tcPr>
            <w:tcW w:w="1428"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909"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428" w:type="dxa"/>
            <w:gridSpan w:val="2"/>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571" w:type="dxa"/>
            <w:gridSpan w:val="2"/>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571" w:type="dxa"/>
            <w:gridSpan w:val="2"/>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1284" w:type="dxa"/>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r>
      <w:tr>
        <w:trPr>
          <w:trHeight w:val="160" w:hRule="atLeast"/>
        </w:trPr>
        <w:tc>
          <w:tcPr>
            <w:tcW w:w="3003" w:type="dxa"/>
            <w:gridSpan w:val="6"/>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both"/>
              <w:textAlignment w:val="auto"/>
              <w:rPr/>
            </w:pPr>
            <w:r>
              <w:rPr>
                <w:rFonts w:cs="Times New Roman CE" w:ascii="Times New Roman CE" w:hAnsi="Times New Roman CE"/>
                <w:sz w:val="18"/>
                <w:szCs w:val="18"/>
              </w:rPr>
              <w:t>Cercetători ştiinţi</w:t>
            </w:r>
            <w:r>
              <w:rPr>
                <w:sz w:val="18"/>
                <w:szCs w:val="18"/>
              </w:rPr>
              <w:t>fici superiori</w:t>
            </w:r>
          </w:p>
        </w:tc>
        <w:tc>
          <w:tcPr>
            <w:tcW w:w="1379"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sz w:val="20"/>
                <w:szCs w:val="20"/>
              </w:rPr>
              <w:t>4</w:t>
            </w:r>
            <w:r>
              <w:rPr>
                <w:sz w:val="20"/>
                <w:szCs w:val="20"/>
                <w:lang w:val="ro-RO"/>
              </w:rPr>
              <w:t>985</w:t>
            </w:r>
            <w:r>
              <w:rPr>
                <w:sz w:val="20"/>
                <w:szCs w:val="20"/>
              </w:rPr>
              <w:t>,</w:t>
            </w:r>
            <w:r>
              <w:rPr>
                <w:sz w:val="20"/>
                <w:szCs w:val="20"/>
                <w:lang w:val="ro-RO"/>
              </w:rPr>
              <w:t>8</w:t>
            </w:r>
            <w:r>
              <w:rPr>
                <w:sz w:val="20"/>
                <w:szCs w:val="20"/>
              </w:rPr>
              <w:t>7</w:t>
            </w:r>
          </w:p>
        </w:tc>
        <w:tc>
          <w:tcPr>
            <w:tcW w:w="1285" w:type="dxa"/>
            <w:gridSpan w:val="6"/>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sz w:val="18"/>
                <w:szCs w:val="18"/>
              </w:rPr>
              <w:t> </w:t>
            </w:r>
          </w:p>
        </w:tc>
        <w:tc>
          <w:tcPr>
            <w:tcW w:w="1428"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sz w:val="18"/>
                <w:szCs w:val="18"/>
              </w:rPr>
              <w:t> </w:t>
            </w:r>
          </w:p>
        </w:tc>
        <w:tc>
          <w:tcPr>
            <w:tcW w:w="909"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sz w:val="18"/>
                <w:szCs w:val="18"/>
              </w:rPr>
              <w:t>7</w:t>
            </w:r>
            <w:r>
              <w:rPr>
                <w:sz w:val="18"/>
                <w:szCs w:val="18"/>
                <w:lang w:val="ro-RO"/>
              </w:rPr>
              <w:t>00</w:t>
            </w:r>
            <w:r>
              <w:rPr>
                <w:sz w:val="18"/>
                <w:szCs w:val="18"/>
              </w:rPr>
              <w:t>,00</w:t>
            </w:r>
          </w:p>
        </w:tc>
        <w:tc>
          <w:tcPr>
            <w:tcW w:w="428" w:type="dxa"/>
            <w:gridSpan w:val="2"/>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571" w:type="dxa"/>
            <w:gridSpan w:val="2"/>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571" w:type="dxa"/>
            <w:gridSpan w:val="2"/>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1284" w:type="dxa"/>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r>
      <w:tr>
        <w:trPr>
          <w:trHeight w:val="79" w:hRule="atLeast"/>
        </w:trPr>
        <w:tc>
          <w:tcPr>
            <w:tcW w:w="3003" w:type="dxa"/>
            <w:gridSpan w:val="6"/>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both"/>
              <w:textAlignment w:val="auto"/>
              <w:rPr/>
            </w:pPr>
            <w:r>
              <w:rPr>
                <w:rFonts w:cs="Times New Roman CE" w:ascii="Times New Roman CE" w:hAnsi="Times New Roman CE"/>
                <w:sz w:val="18"/>
                <w:szCs w:val="18"/>
              </w:rPr>
              <w:t>Cercetători ştiinţifici</w:t>
            </w:r>
          </w:p>
        </w:tc>
        <w:tc>
          <w:tcPr>
            <w:tcW w:w="1379"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rFonts w:ascii="Times New Roman" w:hAnsi="Times New Roman"/>
                <w:sz w:val="20"/>
                <w:szCs w:val="20"/>
              </w:rPr>
            </w:pPr>
            <w:r>
              <w:rPr>
                <w:sz w:val="20"/>
                <w:szCs w:val="20"/>
              </w:rPr>
            </w:r>
          </w:p>
        </w:tc>
        <w:tc>
          <w:tcPr>
            <w:tcW w:w="1285" w:type="dxa"/>
            <w:gridSpan w:val="6"/>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sz w:val="18"/>
                <w:szCs w:val="18"/>
              </w:rPr>
              <w:t> </w:t>
            </w:r>
          </w:p>
        </w:tc>
        <w:tc>
          <w:tcPr>
            <w:tcW w:w="1428"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rFonts w:ascii="Times New Roman" w:hAnsi="Times New Roman"/>
                <w:sz w:val="18"/>
                <w:szCs w:val="18"/>
                <w:lang w:val="ro-RO"/>
              </w:rPr>
            </w:pPr>
            <w:r>
              <w:rPr>
                <w:sz w:val="18"/>
                <w:szCs w:val="18"/>
                <w:lang w:val="ro-RO"/>
              </w:rPr>
            </w:r>
          </w:p>
        </w:tc>
        <w:tc>
          <w:tcPr>
            <w:tcW w:w="909"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428" w:type="dxa"/>
            <w:gridSpan w:val="2"/>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571" w:type="dxa"/>
            <w:gridSpan w:val="2"/>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571" w:type="dxa"/>
            <w:gridSpan w:val="2"/>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1284" w:type="dxa"/>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r>
      <w:tr>
        <w:trPr>
          <w:trHeight w:val="147" w:hRule="atLeast"/>
        </w:trPr>
        <w:tc>
          <w:tcPr>
            <w:tcW w:w="3003" w:type="dxa"/>
            <w:gridSpan w:val="6"/>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both"/>
              <w:textAlignment w:val="auto"/>
              <w:rPr/>
            </w:pPr>
            <w:r>
              <w:rPr>
                <w:rFonts w:cs="Times New Roman CE" w:ascii="Times New Roman CE" w:hAnsi="Times New Roman CE"/>
                <w:sz w:val="18"/>
                <w:szCs w:val="18"/>
              </w:rPr>
              <w:t>Cercetători ştiinţifici stagiari</w:t>
            </w:r>
          </w:p>
        </w:tc>
        <w:tc>
          <w:tcPr>
            <w:tcW w:w="1379"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sz w:val="18"/>
                <w:szCs w:val="18"/>
              </w:rPr>
              <w:t> </w:t>
            </w:r>
          </w:p>
        </w:tc>
        <w:tc>
          <w:tcPr>
            <w:tcW w:w="1285" w:type="dxa"/>
            <w:gridSpan w:val="6"/>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sz w:val="18"/>
                <w:szCs w:val="18"/>
              </w:rPr>
              <w:t> </w:t>
            </w:r>
          </w:p>
        </w:tc>
        <w:tc>
          <w:tcPr>
            <w:tcW w:w="1428"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sz w:val="18"/>
                <w:szCs w:val="18"/>
              </w:rPr>
              <w:t> </w:t>
            </w:r>
            <w:r>
              <w:rPr>
                <w:sz w:val="18"/>
                <w:szCs w:val="18"/>
                <w:lang w:val="ro-RO"/>
              </w:rPr>
              <w:t>1266,25</w:t>
            </w:r>
          </w:p>
        </w:tc>
        <w:tc>
          <w:tcPr>
            <w:tcW w:w="909"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ro-RO"/>
              </w:rPr>
            </w:pPr>
            <w:r>
              <w:rPr>
                <w:sz w:val="18"/>
                <w:szCs w:val="18"/>
                <w:lang w:val="ro-RO"/>
              </w:rPr>
              <w:t>400</w:t>
            </w:r>
          </w:p>
        </w:tc>
        <w:tc>
          <w:tcPr>
            <w:tcW w:w="428" w:type="dxa"/>
            <w:gridSpan w:val="2"/>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571" w:type="dxa"/>
            <w:gridSpan w:val="2"/>
            <w:tcBorders/>
            <w:shd w:fill="auto" w:val="clear"/>
            <w:vAlign w:val="bottom"/>
          </w:tcPr>
          <w:p>
            <w:pPr>
              <w:pStyle w:val="Normal"/>
              <w:widowControl/>
              <w:bidi w:val="0"/>
              <w:ind w:left="0" w:right="0" w:hanging="0"/>
              <w:jc w:val="left"/>
              <w:textAlignment w:val="auto"/>
              <w:rPr>
                <w:rFonts w:ascii="Times New Roman" w:hAnsi="Times New Roman"/>
                <w:sz w:val="18"/>
                <w:szCs w:val="18"/>
              </w:rPr>
            </w:pPr>
            <w:r>
              <w:rPr>
                <w:sz w:val="18"/>
                <w:szCs w:val="18"/>
              </w:rPr>
            </w:r>
          </w:p>
        </w:tc>
        <w:tc>
          <w:tcPr>
            <w:tcW w:w="571" w:type="dxa"/>
            <w:gridSpan w:val="2"/>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1284" w:type="dxa"/>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r>
      <w:tr>
        <w:trPr>
          <w:trHeight w:val="177" w:hRule="atLeast"/>
        </w:trPr>
        <w:tc>
          <w:tcPr>
            <w:tcW w:w="3003" w:type="dxa"/>
            <w:gridSpan w:val="6"/>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both"/>
              <w:textAlignment w:val="auto"/>
              <w:rPr>
                <w:lang w:val="en-US"/>
              </w:rPr>
            </w:pPr>
            <w:r>
              <w:rPr>
                <w:sz w:val="18"/>
                <w:szCs w:val="18"/>
                <w:lang w:val="en-US"/>
              </w:rPr>
              <w:t>Ingineri cu studii superioare</w:t>
            </w:r>
          </w:p>
        </w:tc>
        <w:tc>
          <w:tcPr>
            <w:tcW w:w="1379"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en-US"/>
              </w:rPr>
            </w:pPr>
            <w:r>
              <w:rPr>
                <w:sz w:val="18"/>
                <w:szCs w:val="18"/>
                <w:lang w:val="en-US"/>
              </w:rPr>
              <w:t>1079,38</w:t>
            </w:r>
          </w:p>
        </w:tc>
        <w:tc>
          <w:tcPr>
            <w:tcW w:w="1285" w:type="dxa"/>
            <w:gridSpan w:val="6"/>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rFonts w:ascii="Times New Roman" w:hAnsi="Times New Roman"/>
                <w:sz w:val="18"/>
                <w:szCs w:val="18"/>
                <w:lang w:val="en-US"/>
              </w:rPr>
            </w:pPr>
            <w:r>
              <w:rPr>
                <w:sz w:val="18"/>
                <w:szCs w:val="18"/>
                <w:lang w:val="en-US"/>
              </w:rPr>
            </w:r>
          </w:p>
        </w:tc>
        <w:tc>
          <w:tcPr>
            <w:tcW w:w="1428"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18"/>
                <w:szCs w:val="18"/>
                <w:lang w:val="en-US"/>
              </w:rPr>
              <w:t>690,85</w:t>
            </w:r>
          </w:p>
        </w:tc>
        <w:tc>
          <w:tcPr>
            <w:tcW w:w="909"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sz w:val="18"/>
                <w:szCs w:val="18"/>
                <w:lang w:val="en-US"/>
              </w:rPr>
              <w:t> </w:t>
            </w:r>
          </w:p>
        </w:tc>
        <w:tc>
          <w:tcPr>
            <w:tcW w:w="428" w:type="dxa"/>
            <w:gridSpan w:val="2"/>
            <w:tcBorders/>
            <w:shd w:fill="auto" w:val="clear"/>
            <w:vAlign w:val="bottom"/>
          </w:tcPr>
          <w:p>
            <w:pPr>
              <w:pStyle w:val="Normal"/>
              <w:widowControl/>
              <w:bidi w:val="0"/>
              <w:ind w:left="0" w:right="0" w:hanging="0"/>
              <w:jc w:val="left"/>
              <w:textAlignment w:val="auto"/>
              <w:rPr>
                <w:rFonts w:ascii="Times New Roman" w:hAnsi="Times New Roman"/>
                <w:sz w:val="18"/>
                <w:szCs w:val="18"/>
                <w:lang w:val="en-US"/>
              </w:rPr>
            </w:pPr>
            <w:r>
              <w:rPr>
                <w:sz w:val="18"/>
                <w:szCs w:val="18"/>
                <w:lang w:val="en-US"/>
              </w:rPr>
            </w:r>
          </w:p>
        </w:tc>
        <w:tc>
          <w:tcPr>
            <w:tcW w:w="571" w:type="dxa"/>
            <w:gridSpan w:val="2"/>
            <w:tcBorders/>
            <w:shd w:fill="auto" w:val="clear"/>
            <w:vAlign w:val="bottom"/>
          </w:tcPr>
          <w:p>
            <w:pPr>
              <w:pStyle w:val="Normal"/>
              <w:widowControl/>
              <w:bidi w:val="0"/>
              <w:ind w:left="0" w:right="0" w:hanging="0"/>
              <w:jc w:val="left"/>
              <w:textAlignment w:val="auto"/>
              <w:rPr>
                <w:rFonts w:ascii="Times New Roman" w:hAnsi="Times New Roman"/>
                <w:sz w:val="18"/>
                <w:szCs w:val="18"/>
                <w:lang w:val="en-US"/>
              </w:rPr>
            </w:pPr>
            <w:r>
              <w:rPr>
                <w:sz w:val="18"/>
                <w:szCs w:val="18"/>
                <w:lang w:val="en-US"/>
              </w:rPr>
            </w:r>
          </w:p>
        </w:tc>
        <w:tc>
          <w:tcPr>
            <w:tcW w:w="571" w:type="dxa"/>
            <w:gridSpan w:val="2"/>
            <w:tcBorders/>
            <w:shd w:fill="auto" w:val="clear"/>
            <w:vAlign w:val="bottom"/>
          </w:tcPr>
          <w:p>
            <w:pPr>
              <w:pStyle w:val="Normal"/>
              <w:widowControl/>
              <w:bidi w:val="0"/>
              <w:ind w:left="0" w:right="0" w:hanging="0"/>
              <w:jc w:val="left"/>
              <w:textAlignment w:val="auto"/>
              <w:rPr>
                <w:rFonts w:ascii="Arial" w:hAnsi="Arial" w:cs="Arial"/>
                <w:sz w:val="20"/>
                <w:szCs w:val="20"/>
                <w:lang w:val="en-US"/>
              </w:rPr>
            </w:pPr>
            <w:r>
              <w:rPr>
                <w:rFonts w:cs="Arial" w:ascii="Arial" w:hAnsi="Arial"/>
                <w:sz w:val="20"/>
                <w:szCs w:val="20"/>
                <w:lang w:val="en-US"/>
              </w:rPr>
            </w:r>
          </w:p>
        </w:tc>
        <w:tc>
          <w:tcPr>
            <w:tcW w:w="1284" w:type="dxa"/>
            <w:tcBorders/>
            <w:shd w:fill="auto" w:val="clear"/>
            <w:vAlign w:val="bottom"/>
          </w:tcPr>
          <w:p>
            <w:pPr>
              <w:pStyle w:val="Normal"/>
              <w:widowControl/>
              <w:bidi w:val="0"/>
              <w:ind w:left="0" w:right="0" w:hanging="0"/>
              <w:jc w:val="left"/>
              <w:textAlignment w:val="auto"/>
              <w:rPr>
                <w:rFonts w:ascii="Arial" w:hAnsi="Arial" w:cs="Arial"/>
                <w:sz w:val="20"/>
                <w:szCs w:val="20"/>
                <w:lang w:val="en-US"/>
              </w:rPr>
            </w:pPr>
            <w:r>
              <w:rPr>
                <w:rFonts w:cs="Arial" w:ascii="Arial" w:hAnsi="Arial"/>
                <w:sz w:val="20"/>
                <w:szCs w:val="20"/>
                <w:lang w:val="en-US"/>
              </w:rPr>
            </w:r>
          </w:p>
        </w:tc>
      </w:tr>
      <w:tr>
        <w:trPr>
          <w:trHeight w:val="94" w:hRule="atLeast"/>
        </w:trPr>
        <w:tc>
          <w:tcPr>
            <w:tcW w:w="2378" w:type="dxa"/>
            <w:gridSpan w:val="5"/>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rFonts w:cs="Times New Roman CE" w:ascii="Times New Roman CE" w:hAnsi="Times New Roman CE"/>
                <w:sz w:val="18"/>
                <w:szCs w:val="18"/>
                <w:lang w:val="en-US"/>
              </w:rPr>
              <w:t>Alte categorii de salariaţi</w:t>
            </w:r>
          </w:p>
        </w:tc>
        <w:tc>
          <w:tcPr>
            <w:tcW w:w="1091"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en-US"/>
              </w:rPr>
            </w:pPr>
            <w:r>
              <w:rPr>
                <w:sz w:val="18"/>
                <w:szCs w:val="18"/>
                <w:lang w:val="en-US"/>
              </w:rPr>
              <w:t>1299,06</w:t>
            </w:r>
          </w:p>
        </w:tc>
        <w:tc>
          <w:tcPr>
            <w:tcW w:w="1016"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18"/>
                <w:szCs w:val="18"/>
                <w:lang w:val="en-US"/>
              </w:rPr>
              <w:t> </w:t>
            </w:r>
          </w:p>
        </w:tc>
        <w:tc>
          <w:tcPr>
            <w:tcW w:w="1131"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18"/>
                <w:szCs w:val="18"/>
                <w:lang w:val="en-US"/>
              </w:rPr>
              <w:t> </w:t>
            </w:r>
          </w:p>
        </w:tc>
        <w:tc>
          <w:tcPr>
            <w:tcW w:w="720"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18"/>
                <w:szCs w:val="18"/>
                <w:lang w:val="en-US"/>
              </w:rPr>
              <w:t> </w:t>
            </w:r>
          </w:p>
        </w:tc>
        <w:tc>
          <w:tcPr>
            <w:tcW w:w="4522" w:type="dxa"/>
            <w:gridSpan w:val="1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sz w:val="18"/>
                <w:szCs w:val="18"/>
                <w:lang w:val="en-US"/>
              </w:rPr>
            </w:pPr>
            <w:r>
              <w:rPr>
                <w:sz w:val="18"/>
                <w:szCs w:val="18"/>
                <w:lang w:val="en-US"/>
              </w:rPr>
            </w:r>
          </w:p>
        </w:tc>
      </w:tr>
      <w:tr>
        <w:trPr>
          <w:trHeight w:val="94" w:hRule="atLeast"/>
        </w:trPr>
        <w:tc>
          <w:tcPr>
            <w:tcW w:w="77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sz w:val="18"/>
                <w:szCs w:val="18"/>
                <w:lang w:val="en-US"/>
              </w:rPr>
              <w:t>Personal auxiliar</w:t>
            </w:r>
          </w:p>
        </w:tc>
        <w:tc>
          <w:tcPr>
            <w:tcW w:w="776" w:type="dxa"/>
            <w:gridSpan w:val="2"/>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en-US"/>
              </w:rPr>
            </w:pPr>
            <w:r>
              <w:rPr>
                <w:sz w:val="18"/>
                <w:szCs w:val="18"/>
                <w:lang w:val="en-US"/>
              </w:rPr>
              <w:t>8907,16</w:t>
            </w:r>
          </w:p>
        </w:tc>
        <w:tc>
          <w:tcPr>
            <w:tcW w:w="775" w:type="dxa"/>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sz w:val="18"/>
                <w:szCs w:val="18"/>
                <w:lang w:val="en-US"/>
              </w:rPr>
            </w:pPr>
            <w:r>
              <w:rPr>
                <w:sz w:val="18"/>
                <w:szCs w:val="18"/>
                <w:lang w:val="en-US"/>
              </w:rPr>
            </w:r>
          </w:p>
        </w:tc>
        <w:tc>
          <w:tcPr>
            <w:tcW w:w="776"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18"/>
                <w:szCs w:val="18"/>
                <w:lang w:val="en-US"/>
              </w:rPr>
            </w:pPr>
            <w:r>
              <w:rPr>
                <w:sz w:val="18"/>
                <w:szCs w:val="18"/>
                <w:lang w:val="en-US"/>
              </w:rPr>
            </w:r>
          </w:p>
        </w:tc>
        <w:tc>
          <w:tcPr>
            <w:tcW w:w="7756" w:type="dxa"/>
            <w:gridSpan w:val="2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sz w:val="18"/>
                <w:szCs w:val="18"/>
                <w:lang w:val="en-US"/>
              </w:rPr>
            </w:pPr>
            <w:r>
              <w:rPr>
                <w:sz w:val="18"/>
                <w:szCs w:val="18"/>
                <w:lang w:val="en-US"/>
              </w:rPr>
            </w:r>
          </w:p>
        </w:tc>
      </w:tr>
    </w:tbl>
    <w:p>
      <w:pPr>
        <w:sectPr>
          <w:type w:val="nextPage"/>
          <w:pgSz w:w="11906" w:h="16838"/>
          <w:pgMar w:left="1560" w:right="720" w:header="0" w:top="284" w:footer="0" w:bottom="426" w:gutter="0"/>
          <w:pgNumType w:fmt="decimal"/>
          <w:formProt w:val="false"/>
          <w:textDirection w:val="lrTb"/>
          <w:docGrid w:type="default" w:linePitch="240" w:charSpace="4294961151"/>
        </w:sectPr>
      </w:pPr>
    </w:p>
    <w:p>
      <w:pPr>
        <w:pStyle w:val="Normal"/>
        <w:widowControl/>
        <w:bidi w:val="0"/>
        <w:ind w:left="0" w:right="0" w:hanging="0"/>
        <w:jc w:val="left"/>
        <w:textAlignment w:val="auto"/>
        <w:rPr>
          <w:rFonts w:ascii="Times New Roman" w:hAnsi="Times New Roman"/>
        </w:rPr>
      </w:pPr>
      <w:r>
        <w:rPr/>
      </w:r>
    </w:p>
    <w:p>
      <w:pPr>
        <w:pStyle w:val="Normal"/>
        <w:widowControl/>
        <w:bidi w:val="0"/>
        <w:ind w:left="0" w:right="0" w:hanging="0"/>
        <w:jc w:val="left"/>
        <w:textAlignment w:val="auto"/>
        <w:rPr>
          <w:rFonts w:ascii="Times New Roman" w:hAnsi="Times New Roman"/>
        </w:rPr>
      </w:pPr>
      <w:r>
        <w:rPr/>
      </w:r>
    </w:p>
    <w:tbl>
      <w:tblPr>
        <w:tblW w:w="9747" w:type="dxa"/>
        <w:jc w:val="left"/>
        <w:tblInd w:w="-109"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0" w:type="dxa"/>
          <w:left w:w="98" w:type="dxa"/>
          <w:bottom w:w="0" w:type="dxa"/>
          <w:right w:w="108" w:type="dxa"/>
        </w:tblCellMar>
      </w:tblPr>
      <w:tblGrid>
        <w:gridCol w:w="776"/>
        <w:gridCol w:w="159"/>
        <w:gridCol w:w="8103"/>
        <w:gridCol w:w="1"/>
        <w:gridCol w:w="14"/>
        <w:gridCol w:w="694"/>
      </w:tblGrid>
      <w:tr>
        <w:trPr>
          <w:trHeight w:val="300" w:hRule="atLeast"/>
        </w:trPr>
        <w:tc>
          <w:tcPr>
            <w:tcW w:w="9053" w:type="dxa"/>
            <w:gridSpan w:val="5"/>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rFonts w:cs="Times New Roman CE" w:ascii="Times New Roman CE" w:hAnsi="Times New Roman CE"/>
                <w:b/>
                <w:bCs/>
                <w:color w:val="000000"/>
                <w:sz w:val="20"/>
                <w:szCs w:val="20"/>
                <w:lang w:val="fr-FR" w:eastAsia="en-US"/>
              </w:rPr>
              <w:t>5. PERFORMANŢĂ ŞI VIZIBILITATE LA NIVEL INTERNAŢIONAL</w:t>
            </w:r>
          </w:p>
        </w:tc>
        <w:tc>
          <w:tcPr>
            <w:tcW w:w="694" w:type="dxa"/>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b/>
                <w:bCs/>
                <w:sz w:val="20"/>
                <w:szCs w:val="20"/>
                <w:lang w:val="en-US" w:eastAsia="en-US"/>
              </w:rPr>
              <w:t>2016</w:t>
            </w:r>
          </w:p>
        </w:tc>
      </w:tr>
      <w:tr>
        <w:trPr>
          <w:trHeight w:val="270" w:hRule="atLeast"/>
        </w:trPr>
        <w:tc>
          <w:tcPr>
            <w:tcW w:w="935"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 </w:t>
            </w:r>
          </w:p>
        </w:tc>
        <w:tc>
          <w:tcPr>
            <w:tcW w:w="8812" w:type="dxa"/>
            <w:gridSpan w:val="4"/>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lang w:val="en-US"/>
              </w:rPr>
            </w:pPr>
            <w:r>
              <w:rPr>
                <w:rFonts w:cs="Times New Roman CE" w:ascii="Times New Roman CE" w:hAnsi="Times New Roman CE"/>
                <w:b/>
                <w:bCs/>
                <w:sz w:val="20"/>
                <w:szCs w:val="20"/>
                <w:lang w:val="en-US" w:eastAsia="en-US"/>
              </w:rPr>
              <w:t>5.1. Publicaţii în străinătate</w:t>
            </w:r>
          </w:p>
        </w:tc>
      </w:tr>
      <w:tr>
        <w:trPr>
          <w:trHeight w:val="270" w:hRule="atLeast"/>
        </w:trPr>
        <w:tc>
          <w:tcPr>
            <w:tcW w:w="935" w:type="dxa"/>
            <w:gridSpan w:val="2"/>
            <w:vMerge w:val="restart"/>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5.1.1.</w:t>
            </w:r>
          </w:p>
        </w:tc>
        <w:tc>
          <w:tcPr>
            <w:tcW w:w="8118"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Monografii în ediţii internaţionale, incluse în una din trei sisteme de citare  Web of Science:</w:t>
            </w:r>
          </w:p>
        </w:tc>
        <w:tc>
          <w:tcPr>
            <w:tcW w:w="69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1</w:t>
            </w:r>
          </w:p>
        </w:tc>
      </w:tr>
      <w:tr>
        <w:trPr>
          <w:trHeight w:val="270" w:hRule="atLeast"/>
        </w:trPr>
        <w:tc>
          <w:tcPr>
            <w:tcW w:w="935" w:type="dxa"/>
            <w:gridSpan w:val="2"/>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c>
          <w:tcPr>
            <w:tcW w:w="8812" w:type="dxa"/>
            <w:gridSpan w:val="4"/>
            <w:tcBorders>
              <w:top w:val="single" w:sz="8" w:space="0" w:color="000001"/>
              <w:right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Science Citation Index Expanded (baza de date pentru ştiinţele naturale şi exacte)</w:t>
            </w:r>
          </w:p>
        </w:tc>
      </w:tr>
      <w:tr>
        <w:trPr>
          <w:trHeight w:val="270" w:hRule="atLeast"/>
        </w:trPr>
        <w:tc>
          <w:tcPr>
            <w:tcW w:w="935" w:type="dxa"/>
            <w:gridSpan w:val="2"/>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fr-FR" w:eastAsia="en-US"/>
              </w:rPr>
            </w:pPr>
            <w:r>
              <w:rPr>
                <w:sz w:val="20"/>
                <w:szCs w:val="20"/>
                <w:lang w:val="fr-FR" w:eastAsia="en-US"/>
              </w:rPr>
            </w:r>
          </w:p>
        </w:tc>
        <w:tc>
          <w:tcPr>
            <w:tcW w:w="8812" w:type="dxa"/>
            <w:gridSpan w:val="4"/>
            <w:tcBorders>
              <w:bottom w:val="single" w:sz="4" w:space="0" w:color="000001"/>
              <w:right w:val="single" w:sz="8" w:space="0" w:color="000001"/>
              <w:insideH w:val="single" w:sz="4" w:space="0" w:color="000001"/>
              <w:insideV w:val="single" w:sz="8" w:space="0" w:color="000001"/>
            </w:tcBorders>
            <w:shd w:fill="auto" w:val="clear"/>
            <w:vAlign w:val="bottom"/>
          </w:tcPr>
          <w:p>
            <w:pPr>
              <w:pStyle w:val="Normal"/>
              <w:widowControl/>
              <w:bidi w:val="0"/>
              <w:ind w:left="0" w:right="0" w:hanging="0"/>
              <w:jc w:val="left"/>
              <w:textAlignment w:val="auto"/>
              <w:rPr/>
            </w:pPr>
            <w:hyperlink r:id="rId117">
              <w:r>
                <w:rPr>
                  <w:webHidden/>
                  <w:rStyle w:val="Style5"/>
                  <w:sz w:val="20"/>
                  <w:szCs w:val="20"/>
                  <w:u w:val="single"/>
                  <w:lang w:val="fr-FR" w:eastAsia="en-US"/>
                </w:rPr>
                <w:t>http://science.thomsonreuters.com/cgi-bin/jrnlst/jloptions.cgi?PC=D</w:t>
              </w:r>
            </w:hyperlink>
          </w:p>
        </w:tc>
      </w:tr>
      <w:tr>
        <w:trPr>
          <w:trHeight w:val="270" w:hRule="atLeast"/>
        </w:trPr>
        <w:tc>
          <w:tcPr>
            <w:tcW w:w="935" w:type="dxa"/>
            <w:gridSpan w:val="2"/>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fr-FR" w:eastAsia="en-US"/>
              </w:rPr>
            </w:pPr>
            <w:r>
              <w:rPr>
                <w:sz w:val="20"/>
                <w:szCs w:val="20"/>
                <w:lang w:val="fr-FR" w:eastAsia="en-US"/>
              </w:rPr>
            </w:r>
          </w:p>
        </w:tc>
        <w:tc>
          <w:tcPr>
            <w:tcW w:w="8812" w:type="dxa"/>
            <w:gridSpan w:val="4"/>
            <w:tcBorders>
              <w:top w:val="single" w:sz="4" w:space="0" w:color="000001"/>
              <w:right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Social Sciences Citation Index (baza de date pentru ştiinţele sociale)</w:t>
            </w:r>
          </w:p>
        </w:tc>
      </w:tr>
      <w:tr>
        <w:trPr>
          <w:trHeight w:val="270" w:hRule="atLeast"/>
        </w:trPr>
        <w:tc>
          <w:tcPr>
            <w:tcW w:w="935" w:type="dxa"/>
            <w:gridSpan w:val="2"/>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fr-FR" w:eastAsia="en-US"/>
              </w:rPr>
            </w:pPr>
            <w:r>
              <w:rPr>
                <w:sz w:val="20"/>
                <w:szCs w:val="20"/>
                <w:lang w:val="fr-FR" w:eastAsia="en-US"/>
              </w:rPr>
            </w:r>
          </w:p>
        </w:tc>
        <w:tc>
          <w:tcPr>
            <w:tcW w:w="8812" w:type="dxa"/>
            <w:gridSpan w:val="4"/>
            <w:tcBorders>
              <w:bottom w:val="single" w:sz="4" w:space="0" w:color="000001"/>
              <w:right w:val="single" w:sz="8" w:space="0" w:color="000001"/>
              <w:insideH w:val="single" w:sz="4" w:space="0" w:color="000001"/>
              <w:insideV w:val="single" w:sz="8" w:space="0" w:color="000001"/>
            </w:tcBorders>
            <w:shd w:fill="auto" w:val="clear"/>
            <w:vAlign w:val="bottom"/>
          </w:tcPr>
          <w:p>
            <w:pPr>
              <w:pStyle w:val="Normal"/>
              <w:widowControl/>
              <w:bidi w:val="0"/>
              <w:ind w:left="0" w:right="0" w:hanging="0"/>
              <w:jc w:val="left"/>
              <w:textAlignment w:val="auto"/>
              <w:rPr/>
            </w:pPr>
            <w:hyperlink r:id="rId118">
              <w:r>
                <w:rPr>
                  <w:webHidden/>
                  <w:rStyle w:val="Style5"/>
                  <w:sz w:val="20"/>
                  <w:szCs w:val="20"/>
                  <w:u w:val="single"/>
                  <w:lang w:val="fr-FR" w:eastAsia="en-US"/>
                </w:rPr>
                <w:t>http://science.thomsonreuters.com/cgi-bin/jrnlst/jloptions.cgi?PC=SS</w:t>
              </w:r>
            </w:hyperlink>
          </w:p>
        </w:tc>
      </w:tr>
      <w:tr>
        <w:trPr>
          <w:trHeight w:val="270" w:hRule="atLeast"/>
        </w:trPr>
        <w:tc>
          <w:tcPr>
            <w:tcW w:w="935" w:type="dxa"/>
            <w:gridSpan w:val="2"/>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fr-FR" w:eastAsia="en-US"/>
              </w:rPr>
            </w:pPr>
            <w:r>
              <w:rPr>
                <w:sz w:val="20"/>
                <w:szCs w:val="20"/>
                <w:lang w:val="fr-FR" w:eastAsia="en-US"/>
              </w:rPr>
            </w:r>
          </w:p>
        </w:tc>
        <w:tc>
          <w:tcPr>
            <w:tcW w:w="8812" w:type="dxa"/>
            <w:gridSpan w:val="4"/>
            <w:tcBorders>
              <w:top w:val="single" w:sz="4" w:space="0" w:color="000001"/>
              <w:right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Arts and Humanities Citation Index (baza de date pentru ştiinţele artei şi umaniste)</w:t>
            </w:r>
          </w:p>
        </w:tc>
      </w:tr>
      <w:tr>
        <w:trPr>
          <w:trHeight w:val="270" w:hRule="atLeast"/>
        </w:trPr>
        <w:tc>
          <w:tcPr>
            <w:tcW w:w="935" w:type="dxa"/>
            <w:gridSpan w:val="2"/>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c>
          <w:tcPr>
            <w:tcW w:w="8812"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u w:val="single"/>
                <w:lang w:val="en-US" w:eastAsia="en-US"/>
              </w:rPr>
              <w:t>http://science.thomsonreuters.com/cgi-bin/jrnlst/jloptions.cgi?PC=H</w:t>
            </w:r>
          </w:p>
        </w:tc>
      </w:tr>
      <w:tr>
        <w:trPr>
          <w:trHeight w:val="270" w:hRule="atLeast"/>
        </w:trPr>
        <w:tc>
          <w:tcPr>
            <w:tcW w:w="935"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5.1.2.</w:t>
            </w:r>
          </w:p>
        </w:tc>
        <w:tc>
          <w:tcPr>
            <w:tcW w:w="8118"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Monografii în alte ediţii din străinătate </w:t>
            </w:r>
          </w:p>
        </w:tc>
        <w:tc>
          <w:tcPr>
            <w:tcW w:w="69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935"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5.1.3.</w:t>
            </w:r>
          </w:p>
        </w:tc>
        <w:tc>
          <w:tcPr>
            <w:tcW w:w="8118" w:type="dxa"/>
            <w:gridSpan w:val="3"/>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Capitole în monografii şi rapoarte la invitaţie în culegeri de lucrări la conferinţe internaţionale</w:t>
            </w:r>
          </w:p>
        </w:tc>
        <w:tc>
          <w:tcPr>
            <w:tcW w:w="69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935"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5.1.4.</w:t>
            </w:r>
          </w:p>
        </w:tc>
        <w:tc>
          <w:tcPr>
            <w:tcW w:w="8118" w:type="dxa"/>
            <w:gridSpan w:val="3"/>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Cărţi de specialitate pentru învăţământul universitar, editate în stăinătate</w:t>
            </w:r>
          </w:p>
        </w:tc>
        <w:tc>
          <w:tcPr>
            <w:tcW w:w="69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935"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5.1.5.</w:t>
            </w:r>
          </w:p>
        </w:tc>
        <w:tc>
          <w:tcPr>
            <w:tcW w:w="8118" w:type="dxa"/>
            <w:gridSpan w:val="3"/>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Articole în reviste cu factor de impact mai mare de 3</w:t>
            </w:r>
          </w:p>
        </w:tc>
        <w:tc>
          <w:tcPr>
            <w:tcW w:w="69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935"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5.1.6.</w:t>
            </w:r>
          </w:p>
        </w:tc>
        <w:tc>
          <w:tcPr>
            <w:tcW w:w="8118" w:type="dxa"/>
            <w:gridSpan w:val="3"/>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Articole în reviste cu factor de impact 1,0-2,9</w:t>
            </w:r>
          </w:p>
        </w:tc>
        <w:tc>
          <w:tcPr>
            <w:tcW w:w="69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2</w:t>
            </w:r>
          </w:p>
        </w:tc>
      </w:tr>
      <w:tr>
        <w:trPr>
          <w:trHeight w:val="270" w:hRule="atLeast"/>
        </w:trPr>
        <w:tc>
          <w:tcPr>
            <w:tcW w:w="935"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5.1.7.</w:t>
            </w:r>
          </w:p>
        </w:tc>
        <w:tc>
          <w:tcPr>
            <w:tcW w:w="8118" w:type="dxa"/>
            <w:gridSpan w:val="3"/>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Articole în reviste cu factor de impact 0,1-0.9</w:t>
            </w:r>
          </w:p>
        </w:tc>
        <w:tc>
          <w:tcPr>
            <w:tcW w:w="69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4</w:t>
            </w:r>
          </w:p>
        </w:tc>
      </w:tr>
      <w:tr>
        <w:trPr>
          <w:trHeight w:val="270" w:hRule="atLeast"/>
        </w:trPr>
        <w:tc>
          <w:tcPr>
            <w:tcW w:w="935"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5.1.8.</w:t>
            </w:r>
          </w:p>
        </w:tc>
        <w:tc>
          <w:tcPr>
            <w:tcW w:w="8118" w:type="dxa"/>
            <w:gridSpan w:val="3"/>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Articole în reviste cu factor de impact 0,01- 0,09</w:t>
            </w:r>
          </w:p>
        </w:tc>
        <w:tc>
          <w:tcPr>
            <w:tcW w:w="69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103" w:hRule="atLeast"/>
        </w:trPr>
        <w:tc>
          <w:tcPr>
            <w:tcW w:w="935"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fr-FR"/>
              </w:rPr>
            </w:pPr>
            <w:r>
              <w:rPr>
                <w:sz w:val="20"/>
                <w:szCs w:val="20"/>
                <w:lang w:val="fr-FR" w:eastAsia="en-US"/>
              </w:rPr>
              <w:t> </w:t>
            </w:r>
          </w:p>
        </w:tc>
        <w:tc>
          <w:tcPr>
            <w:tcW w:w="8118" w:type="dxa"/>
            <w:gridSpan w:val="3"/>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 xml:space="preserve">      </w:t>
            </w:r>
            <w:r>
              <w:rPr>
                <w:sz w:val="20"/>
                <w:szCs w:val="20"/>
                <w:lang w:val="fr-FR" w:eastAsia="en-US"/>
              </w:rPr>
              <w:t>Inclusiv articole numai cu autori autohtoni, publicate în reviste cu factor de impact</w:t>
            </w:r>
          </w:p>
        </w:tc>
        <w:tc>
          <w:tcPr>
            <w:tcW w:w="69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w:t>
            </w:r>
          </w:p>
        </w:tc>
      </w:tr>
      <w:tr>
        <w:trPr>
          <w:trHeight w:val="270" w:hRule="atLeast"/>
        </w:trPr>
        <w:tc>
          <w:tcPr>
            <w:tcW w:w="935"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5.1.9.</w:t>
            </w:r>
          </w:p>
        </w:tc>
        <w:tc>
          <w:tcPr>
            <w:tcW w:w="8118" w:type="dxa"/>
            <w:gridSpan w:val="3"/>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Articole în alte reviste editate în străinătate </w:t>
            </w:r>
          </w:p>
        </w:tc>
        <w:tc>
          <w:tcPr>
            <w:tcW w:w="69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r>
      <w:tr>
        <w:trPr>
          <w:trHeight w:val="270" w:hRule="atLeast"/>
        </w:trPr>
        <w:tc>
          <w:tcPr>
            <w:tcW w:w="935"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5.1.10.</w:t>
            </w:r>
          </w:p>
        </w:tc>
        <w:tc>
          <w:tcPr>
            <w:tcW w:w="8118" w:type="dxa"/>
            <w:gridSpan w:val="3"/>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 xml:space="preserve">Articole în culegeri </w:t>
            </w:r>
          </w:p>
        </w:tc>
        <w:tc>
          <w:tcPr>
            <w:tcW w:w="69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4</w:t>
            </w:r>
          </w:p>
        </w:tc>
      </w:tr>
      <w:tr>
        <w:trPr>
          <w:trHeight w:val="270" w:hRule="atLeast"/>
        </w:trPr>
        <w:tc>
          <w:tcPr>
            <w:tcW w:w="935"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5.1.11.</w:t>
            </w:r>
          </w:p>
        </w:tc>
        <w:tc>
          <w:tcPr>
            <w:tcW w:w="8118" w:type="dxa"/>
            <w:gridSpan w:val="3"/>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Publicaţii ştiinţifice</w:t>
            </w:r>
            <w:r>
              <w:rPr>
                <w:sz w:val="20"/>
                <w:szCs w:val="20"/>
                <w:lang w:val="en-US" w:eastAsia="en-US"/>
              </w:rPr>
              <w:t xml:space="preserve"> electronice</w:t>
            </w:r>
          </w:p>
        </w:tc>
        <w:tc>
          <w:tcPr>
            <w:tcW w:w="69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4</w:t>
            </w:r>
          </w:p>
        </w:tc>
      </w:tr>
      <w:tr>
        <w:trPr>
          <w:trHeight w:val="270" w:hRule="atLeast"/>
        </w:trPr>
        <w:tc>
          <w:tcPr>
            <w:tcW w:w="935"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5.1.12.</w:t>
            </w:r>
          </w:p>
        </w:tc>
        <w:tc>
          <w:tcPr>
            <w:tcW w:w="8118" w:type="dxa"/>
            <w:gridSpan w:val="3"/>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Rezumate la conferinţe ştiinţifice internaţionale</w:t>
            </w:r>
          </w:p>
        </w:tc>
        <w:tc>
          <w:tcPr>
            <w:tcW w:w="69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rFonts w:ascii="Times New Roman" w:hAnsi="Times New Roman"/>
                <w:sz w:val="20"/>
                <w:szCs w:val="20"/>
                <w:lang w:val="fr-FR" w:eastAsia="en-US"/>
              </w:rPr>
            </w:pPr>
            <w:r>
              <w:rPr>
                <w:sz w:val="20"/>
                <w:szCs w:val="20"/>
                <w:lang w:val="fr-FR" w:eastAsia="en-US"/>
              </w:rPr>
            </w:r>
          </w:p>
        </w:tc>
      </w:tr>
      <w:tr>
        <w:trPr>
          <w:trHeight w:val="270" w:hRule="atLeast"/>
        </w:trPr>
        <w:tc>
          <w:tcPr>
            <w:tcW w:w="935"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5.1.13.</w:t>
            </w:r>
          </w:p>
        </w:tc>
        <w:tc>
          <w:tcPr>
            <w:tcW w:w="8118"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Preprint-uri internaţionale</w:t>
            </w:r>
          </w:p>
        </w:tc>
        <w:tc>
          <w:tcPr>
            <w:tcW w:w="69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935"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 </w:t>
            </w:r>
          </w:p>
        </w:tc>
        <w:tc>
          <w:tcPr>
            <w:tcW w:w="8812" w:type="dxa"/>
            <w:gridSpan w:val="4"/>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lang w:val="en-US"/>
              </w:rPr>
            </w:pPr>
            <w:r>
              <w:rPr>
                <w:rFonts w:cs="Times New Roman CE" w:ascii="Times New Roman CE" w:hAnsi="Times New Roman CE"/>
                <w:b/>
                <w:bCs/>
                <w:sz w:val="20"/>
                <w:szCs w:val="20"/>
                <w:lang w:val="en-US" w:eastAsia="en-US"/>
              </w:rPr>
              <w:t>5.2. Impactul internaţional al cercetărilor şi elaborărilor</w:t>
            </w:r>
          </w:p>
        </w:tc>
      </w:tr>
      <w:tr>
        <w:trPr>
          <w:trHeight w:val="270" w:hRule="atLeast"/>
        </w:trPr>
        <w:tc>
          <w:tcPr>
            <w:tcW w:w="935"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5.2.1.</w:t>
            </w:r>
          </w:p>
        </w:tc>
        <w:tc>
          <w:tcPr>
            <w:tcW w:w="8118" w:type="dxa"/>
            <w:gridSpan w:val="3"/>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Contracte de licenţă în baza invenţiilor şi know-how </w:t>
            </w:r>
          </w:p>
        </w:tc>
        <w:tc>
          <w:tcPr>
            <w:tcW w:w="69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525" w:hRule="atLeast"/>
        </w:trPr>
        <w:tc>
          <w:tcPr>
            <w:tcW w:w="935"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5.2.2.</w:t>
            </w:r>
          </w:p>
        </w:tc>
        <w:tc>
          <w:tcPr>
            <w:tcW w:w="8118" w:type="dxa"/>
            <w:gridSpan w:val="3"/>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sz w:val="20"/>
                <w:szCs w:val="20"/>
                <w:lang w:val="fr-FR" w:eastAsia="en-US"/>
              </w:rPr>
              <w:t>Proiect</w:t>
            </w:r>
            <w:r>
              <w:rPr>
                <w:rFonts w:cs="Times New Roman CE" w:ascii="Times New Roman CE" w:hAnsi="Times New Roman CE"/>
                <w:sz w:val="20"/>
                <w:szCs w:val="20"/>
                <w:lang w:val="fr-FR" w:eastAsia="en-US"/>
              </w:rPr>
              <w:t>e de cercetare obţinute prin competiţie de la organizaţiile din străinătate, cu un volum de finanţare &gt;100 mii EU</w:t>
            </w:r>
          </w:p>
        </w:tc>
        <w:tc>
          <w:tcPr>
            <w:tcW w:w="69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525" w:hRule="atLeast"/>
        </w:trPr>
        <w:tc>
          <w:tcPr>
            <w:tcW w:w="935"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5.2.3.</w:t>
            </w:r>
          </w:p>
        </w:tc>
        <w:tc>
          <w:tcPr>
            <w:tcW w:w="8118" w:type="dxa"/>
            <w:gridSpan w:val="3"/>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Proiecte de cercetare obţinute prin competiţie de la organizaţiile din străinătate, cu un volum de finanţare &lt;100 mii EU</w:t>
            </w:r>
          </w:p>
        </w:tc>
        <w:tc>
          <w:tcPr>
            <w:tcW w:w="69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2</w:t>
            </w:r>
          </w:p>
        </w:tc>
      </w:tr>
      <w:tr>
        <w:trPr>
          <w:trHeight w:val="270" w:hRule="atLeast"/>
        </w:trPr>
        <w:tc>
          <w:tcPr>
            <w:tcW w:w="935"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5.2.4.</w:t>
            </w:r>
          </w:p>
        </w:tc>
        <w:tc>
          <w:tcPr>
            <w:tcW w:w="8118" w:type="dxa"/>
            <w:gridSpan w:val="3"/>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P</w:t>
            </w:r>
            <w:r>
              <w:rPr>
                <w:rFonts w:cs="Times New Roman CE" w:ascii="Times New Roman CE" w:hAnsi="Times New Roman CE"/>
                <w:sz w:val="20"/>
                <w:szCs w:val="20"/>
                <w:lang w:val="fr-FR" w:eastAsia="en-US"/>
              </w:rPr>
              <w:t>remii din străinătate pentru  rezultatele cercetării</w:t>
            </w:r>
          </w:p>
        </w:tc>
        <w:tc>
          <w:tcPr>
            <w:tcW w:w="69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935"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5.2.5.</w:t>
            </w:r>
          </w:p>
        </w:tc>
        <w:tc>
          <w:tcPr>
            <w:tcW w:w="8118" w:type="dxa"/>
            <w:gridSpan w:val="3"/>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Brevete obţinute în străinătate</w:t>
            </w:r>
          </w:p>
        </w:tc>
        <w:tc>
          <w:tcPr>
            <w:tcW w:w="69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935"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5.2.6.</w:t>
            </w:r>
          </w:p>
        </w:tc>
        <w:tc>
          <w:tcPr>
            <w:tcW w:w="8118" w:type="dxa"/>
            <w:gridSpan w:val="3"/>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Rapoarte (comunicări orale) la invitaţie la conferinţe internaţionale</w:t>
            </w:r>
          </w:p>
        </w:tc>
        <w:tc>
          <w:tcPr>
            <w:tcW w:w="69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1</w:t>
            </w:r>
          </w:p>
        </w:tc>
      </w:tr>
      <w:tr>
        <w:trPr>
          <w:trHeight w:val="270" w:hRule="atLeast"/>
        </w:trPr>
        <w:tc>
          <w:tcPr>
            <w:tcW w:w="935"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5.2.7.</w:t>
            </w:r>
          </w:p>
        </w:tc>
        <w:tc>
          <w:tcPr>
            <w:tcW w:w="8118" w:type="dxa"/>
            <w:gridSpan w:val="3"/>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Menţiuni ale publicaţiilor şi rezultatelor cercetării în ediţii electronice internaţionale</w:t>
            </w:r>
          </w:p>
        </w:tc>
        <w:tc>
          <w:tcPr>
            <w:tcW w:w="69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935"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5.2.8.</w:t>
            </w:r>
          </w:p>
        </w:tc>
        <w:tc>
          <w:tcPr>
            <w:tcW w:w="8118" w:type="dxa"/>
            <w:gridSpan w:val="3"/>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 xml:space="preserve">Medalii </w:t>
            </w:r>
            <w:r>
              <w:rPr>
                <w:b/>
                <w:bCs/>
                <w:sz w:val="20"/>
                <w:szCs w:val="20"/>
                <w:lang w:val="fr-FR" w:eastAsia="en-US"/>
              </w:rPr>
              <w:t>de aur</w:t>
            </w:r>
            <w:r>
              <w:rPr>
                <w:rFonts w:cs="Times New Roman CE" w:ascii="Times New Roman CE" w:hAnsi="Times New Roman CE"/>
                <w:sz w:val="20"/>
                <w:szCs w:val="20"/>
                <w:lang w:val="fr-FR" w:eastAsia="en-US"/>
              </w:rPr>
              <w:t xml:space="preserve"> obţinute la expoziţii şi saloane internaţionale </w:t>
            </w:r>
          </w:p>
        </w:tc>
        <w:tc>
          <w:tcPr>
            <w:tcW w:w="69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935"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5.2.9.</w:t>
            </w:r>
          </w:p>
        </w:tc>
        <w:tc>
          <w:tcPr>
            <w:tcW w:w="8118" w:type="dxa"/>
            <w:gridSpan w:val="3"/>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 xml:space="preserve">Medalii </w:t>
            </w:r>
            <w:r>
              <w:rPr>
                <w:b/>
                <w:bCs/>
                <w:sz w:val="20"/>
                <w:szCs w:val="20"/>
                <w:lang w:val="fr-FR" w:eastAsia="en-US"/>
              </w:rPr>
              <w:t>de argint</w:t>
            </w:r>
            <w:r>
              <w:rPr>
                <w:rFonts w:cs="Times New Roman CE" w:ascii="Times New Roman CE" w:hAnsi="Times New Roman CE"/>
                <w:sz w:val="20"/>
                <w:szCs w:val="20"/>
                <w:lang w:val="fr-FR" w:eastAsia="en-US"/>
              </w:rPr>
              <w:t xml:space="preserve"> obţinute la expoziţii şi saloane internaţionale </w:t>
            </w:r>
          </w:p>
        </w:tc>
        <w:tc>
          <w:tcPr>
            <w:tcW w:w="69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935"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5.2.10.</w:t>
            </w:r>
          </w:p>
        </w:tc>
        <w:tc>
          <w:tcPr>
            <w:tcW w:w="8118" w:type="dxa"/>
            <w:gridSpan w:val="3"/>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 xml:space="preserve">Medalii </w:t>
            </w:r>
            <w:r>
              <w:rPr>
                <w:b/>
                <w:bCs/>
                <w:sz w:val="20"/>
                <w:szCs w:val="20"/>
                <w:lang w:val="fr-FR" w:eastAsia="en-US"/>
              </w:rPr>
              <w:t>de bronz</w:t>
            </w:r>
            <w:r>
              <w:rPr>
                <w:rFonts w:cs="Times New Roman CE" w:ascii="Times New Roman CE" w:hAnsi="Times New Roman CE"/>
                <w:sz w:val="20"/>
                <w:szCs w:val="20"/>
                <w:lang w:val="fr-FR" w:eastAsia="en-US"/>
              </w:rPr>
              <w:t xml:space="preserve"> obţinute la expoziţii şi saloane internaţionale </w:t>
            </w:r>
          </w:p>
        </w:tc>
        <w:tc>
          <w:tcPr>
            <w:tcW w:w="69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935"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5.2.11.</w:t>
            </w:r>
          </w:p>
        </w:tc>
        <w:tc>
          <w:tcPr>
            <w:tcW w:w="8118" w:type="dxa"/>
            <w:gridSpan w:val="3"/>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Diplome obţinute la expoziţii internaţionale</w:t>
            </w:r>
          </w:p>
        </w:tc>
        <w:tc>
          <w:tcPr>
            <w:tcW w:w="69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935" w:type="dxa"/>
            <w:gridSpan w:val="2"/>
            <w:tcBorders>
              <w:left w:val="single" w:sz="8" w:space="0" w:color="000001"/>
              <w:bottom w:val="single" w:sz="4" w:space="0" w:color="000001"/>
              <w:right w:val="single" w:sz="8" w:space="0" w:color="000001"/>
              <w:insideH w:val="single" w:sz="4"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5.2.12.</w:t>
            </w:r>
          </w:p>
        </w:tc>
        <w:tc>
          <w:tcPr>
            <w:tcW w:w="8118" w:type="dxa"/>
            <w:gridSpan w:val="3"/>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Alte distincţii de apreciere a rezultatelor cercetării şi elaborărilor</w:t>
            </w:r>
          </w:p>
        </w:tc>
        <w:tc>
          <w:tcPr>
            <w:tcW w:w="69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935"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c>
          <w:tcPr>
            <w:tcW w:w="8812" w:type="dxa"/>
            <w:gridSpan w:val="4"/>
            <w:tcBorders>
              <w:top w:val="single" w:sz="8" w:space="0" w:color="000001"/>
              <w:left w:val="single" w:sz="4" w:space="0" w:color="000001"/>
              <w:bottom w:val="single" w:sz="8" w:space="0" w:color="000001"/>
              <w:right w:val="single" w:sz="8" w:space="0" w:color="000001"/>
              <w:insideH w:val="single" w:sz="8" w:space="0" w:color="000001"/>
              <w:insideV w:val="single" w:sz="8" w:space="0" w:color="000001"/>
            </w:tcBorders>
            <w:shd w:color="auto" w:fill="CCFFCC"/>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b/>
                <w:bCs/>
                <w:sz w:val="20"/>
                <w:szCs w:val="20"/>
                <w:lang w:val="en-US" w:eastAsia="en-US"/>
              </w:rPr>
              <w:t>5.3. Apreciere internaţională şi antrenare în expertiza internaţională</w:t>
            </w:r>
          </w:p>
        </w:tc>
      </w:tr>
      <w:tr>
        <w:trPr>
          <w:trHeight w:val="270" w:hRule="atLeast"/>
        </w:trPr>
        <w:tc>
          <w:tcPr>
            <w:tcW w:w="935" w:type="dxa"/>
            <w:gridSpan w:val="2"/>
            <w:tcBorders>
              <w:top w:val="single" w:sz="4"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5.3.1.</w:t>
            </w:r>
          </w:p>
        </w:tc>
        <w:tc>
          <w:tcPr>
            <w:tcW w:w="8118" w:type="dxa"/>
            <w:gridSpan w:val="3"/>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Membru de onoare al academiilor de ştiinţe din străinătate ales în perioada evaluată</w:t>
            </w:r>
          </w:p>
        </w:tc>
        <w:tc>
          <w:tcPr>
            <w:tcW w:w="69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197" w:hRule="atLeast"/>
        </w:trPr>
        <w:tc>
          <w:tcPr>
            <w:tcW w:w="935"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5.3.2.</w:t>
            </w:r>
          </w:p>
        </w:tc>
        <w:tc>
          <w:tcPr>
            <w:tcW w:w="8118" w:type="dxa"/>
            <w:gridSpan w:val="3"/>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Membru de onoare al societăţilor ştiinţifice din străinătate ales în perioada evaluată</w:t>
            </w:r>
          </w:p>
        </w:tc>
        <w:tc>
          <w:tcPr>
            <w:tcW w:w="69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101" w:hRule="atLeast"/>
        </w:trPr>
        <w:tc>
          <w:tcPr>
            <w:tcW w:w="935"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5.3.3.</w:t>
            </w:r>
          </w:p>
        </w:tc>
        <w:tc>
          <w:tcPr>
            <w:tcW w:w="8118" w:type="dxa"/>
            <w:gridSpan w:val="3"/>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Redactor-şef al unei reviste de specialitate cotate ISI</w:t>
            </w:r>
          </w:p>
        </w:tc>
        <w:tc>
          <w:tcPr>
            <w:tcW w:w="69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132" w:hRule="atLeast"/>
        </w:trPr>
        <w:tc>
          <w:tcPr>
            <w:tcW w:w="935"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5.3.4.</w:t>
            </w:r>
          </w:p>
        </w:tc>
        <w:tc>
          <w:tcPr>
            <w:tcW w:w="8118" w:type="dxa"/>
            <w:gridSpan w:val="3"/>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Membru al colegiului de redacţie al revis</w:t>
            </w:r>
            <w:r>
              <w:rPr>
                <w:sz w:val="20"/>
                <w:szCs w:val="20"/>
                <w:lang w:val="fr-FR" w:eastAsia="en-US"/>
              </w:rPr>
              <w:t xml:space="preserve">telor de specialitate consacrate de peste hotare </w:t>
            </w:r>
          </w:p>
        </w:tc>
        <w:tc>
          <w:tcPr>
            <w:tcW w:w="69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2</w:t>
            </w:r>
          </w:p>
        </w:tc>
      </w:tr>
      <w:tr>
        <w:trPr>
          <w:trHeight w:val="165" w:hRule="atLeast"/>
        </w:trPr>
        <w:tc>
          <w:tcPr>
            <w:tcW w:w="935"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5.3.5.</w:t>
            </w:r>
          </w:p>
        </w:tc>
        <w:tc>
          <w:tcPr>
            <w:tcW w:w="8118" w:type="dxa"/>
            <w:gridSpan w:val="3"/>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Preşedinte al Comitetului de program al manifestărilor ştiinţifici din străinătate</w:t>
            </w:r>
          </w:p>
        </w:tc>
        <w:tc>
          <w:tcPr>
            <w:tcW w:w="69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197" w:hRule="atLeast"/>
        </w:trPr>
        <w:tc>
          <w:tcPr>
            <w:tcW w:w="935"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5.3.6.</w:t>
            </w:r>
          </w:p>
        </w:tc>
        <w:tc>
          <w:tcPr>
            <w:tcW w:w="8118" w:type="dxa"/>
            <w:gridSpan w:val="3"/>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 xml:space="preserve">Copreşedinte al Comitetului de program al manifestărilor ştiinţifici din străinătate </w:t>
            </w:r>
          </w:p>
        </w:tc>
        <w:tc>
          <w:tcPr>
            <w:tcW w:w="69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87" w:hRule="atLeast"/>
        </w:trPr>
        <w:tc>
          <w:tcPr>
            <w:tcW w:w="935"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5.3.7.</w:t>
            </w:r>
          </w:p>
        </w:tc>
        <w:tc>
          <w:tcPr>
            <w:tcW w:w="8118" w:type="dxa"/>
            <w:gridSpan w:val="3"/>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sz w:val="20"/>
                <w:szCs w:val="20"/>
                <w:lang w:val="en-US" w:eastAsia="en-US"/>
              </w:rPr>
              <w:t xml:space="preserve">Expert </w:t>
            </w:r>
            <w:r>
              <w:rPr>
                <w:rFonts w:cs="Times New Roman CE" w:ascii="Times New Roman CE" w:hAnsi="Times New Roman CE"/>
                <w:sz w:val="20"/>
                <w:szCs w:val="20"/>
                <w:lang w:val="en-US" w:eastAsia="en-US"/>
              </w:rPr>
              <w:t xml:space="preserve">al proiectelor şi a altor activităţi  internaţionale </w:t>
            </w:r>
          </w:p>
        </w:tc>
        <w:tc>
          <w:tcPr>
            <w:tcW w:w="69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2</w:t>
            </w:r>
          </w:p>
        </w:tc>
      </w:tr>
      <w:tr>
        <w:trPr>
          <w:trHeight w:val="119" w:hRule="atLeast"/>
        </w:trPr>
        <w:tc>
          <w:tcPr>
            <w:tcW w:w="935"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5.3.8.</w:t>
            </w:r>
          </w:p>
        </w:tc>
        <w:tc>
          <w:tcPr>
            <w:tcW w:w="8118" w:type="dxa"/>
            <w:gridSpan w:val="3"/>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Membru în Comisiile pentru decernarea premiilor relevante din străinătate</w:t>
            </w:r>
          </w:p>
        </w:tc>
        <w:tc>
          <w:tcPr>
            <w:tcW w:w="69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165" w:hRule="atLeast"/>
        </w:trPr>
        <w:tc>
          <w:tcPr>
            <w:tcW w:w="935"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5.3.9.</w:t>
            </w:r>
          </w:p>
        </w:tc>
        <w:tc>
          <w:tcPr>
            <w:tcW w:w="8118" w:type="dxa"/>
            <w:gridSpan w:val="3"/>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Referent ştiinţific al revistei cotate ISI;</w:t>
            </w:r>
          </w:p>
        </w:tc>
        <w:tc>
          <w:tcPr>
            <w:tcW w:w="69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w:t>
            </w:r>
          </w:p>
        </w:tc>
      </w:tr>
      <w:tr>
        <w:trPr>
          <w:trHeight w:val="183" w:hRule="atLeast"/>
        </w:trPr>
        <w:tc>
          <w:tcPr>
            <w:tcW w:w="935"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5.3.10.</w:t>
            </w:r>
          </w:p>
        </w:tc>
        <w:tc>
          <w:tcPr>
            <w:tcW w:w="8118" w:type="dxa"/>
            <w:gridSpan w:val="3"/>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Referent la susţinerea în străinătate a tezei de doct</w:t>
            </w:r>
            <w:r>
              <w:rPr>
                <w:sz w:val="20"/>
                <w:szCs w:val="20"/>
                <w:lang w:val="fr-FR" w:eastAsia="en-US"/>
              </w:rPr>
              <w:t xml:space="preserve">or / doctor habilitat </w:t>
            </w:r>
          </w:p>
        </w:tc>
        <w:tc>
          <w:tcPr>
            <w:tcW w:w="69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15" w:hRule="atLeast"/>
        </w:trPr>
        <w:tc>
          <w:tcPr>
            <w:tcW w:w="935"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5.3.11.</w:t>
            </w:r>
          </w:p>
        </w:tc>
        <w:tc>
          <w:tcPr>
            <w:tcW w:w="8118" w:type="dxa"/>
            <w:gridSpan w:val="3"/>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Profesor invitat în instituţii universitare consacrate din străinătate</w:t>
            </w:r>
          </w:p>
        </w:tc>
        <w:tc>
          <w:tcPr>
            <w:tcW w:w="69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119" w:hRule="atLeast"/>
        </w:trPr>
        <w:tc>
          <w:tcPr>
            <w:tcW w:w="935"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5.3.12.</w:t>
            </w:r>
          </w:p>
        </w:tc>
        <w:tc>
          <w:tcPr>
            <w:tcW w:w="8118" w:type="dxa"/>
            <w:gridSpan w:val="3"/>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Cercetător invitat pentru activitatea ştiinţifică </w:t>
            </w:r>
          </w:p>
        </w:tc>
        <w:tc>
          <w:tcPr>
            <w:tcW w:w="69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935"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bCs/>
                <w:color w:val="000000"/>
                <w:sz w:val="20"/>
                <w:szCs w:val="20"/>
                <w:lang w:val="en-US" w:eastAsia="en-US"/>
              </w:rPr>
              <w:t>5.3.13.</w:t>
            </w:r>
          </w:p>
        </w:tc>
        <w:tc>
          <w:tcPr>
            <w:tcW w:w="8118" w:type="dxa"/>
            <w:gridSpan w:val="3"/>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bCs/>
                <w:color w:val="000000"/>
                <w:sz w:val="20"/>
                <w:szCs w:val="20"/>
                <w:lang w:val="en-US" w:eastAsia="en-US"/>
              </w:rPr>
              <w:t>Stagiar, doctorand sau postdoctorand</w:t>
            </w:r>
          </w:p>
        </w:tc>
        <w:tc>
          <w:tcPr>
            <w:tcW w:w="69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b/>
                <w:bCs/>
                <w:color w:val="000000"/>
                <w:sz w:val="20"/>
                <w:szCs w:val="20"/>
                <w:lang w:val="en-US" w:eastAsia="en-US"/>
              </w:rPr>
              <w:t> </w:t>
            </w:r>
          </w:p>
        </w:tc>
      </w:tr>
      <w:tr>
        <w:trPr>
          <w:trHeight w:val="270" w:hRule="atLeast"/>
        </w:trPr>
        <w:tc>
          <w:tcPr>
            <w:tcW w:w="9039"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6. CONTRIBUŢIE ŞTIINŢIFICĂ ŞI RECUNOAŞTERE NAŢIONALĂ </w:t>
            </w:r>
          </w:p>
        </w:tc>
        <w:tc>
          <w:tcPr>
            <w:tcW w:w="708" w:type="dxa"/>
            <w:gridSpan w:val="2"/>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b/>
                <w:sz w:val="20"/>
                <w:szCs w:val="20"/>
                <w:lang w:val="en-US" w:eastAsia="en-US"/>
              </w:rPr>
              <w:t>2016</w:t>
            </w:r>
          </w:p>
        </w:tc>
      </w:tr>
      <w:tr>
        <w:trPr>
          <w:trHeight w:val="123"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 </w:t>
            </w:r>
          </w:p>
        </w:tc>
        <w:tc>
          <w:tcPr>
            <w:tcW w:w="8971" w:type="dxa"/>
            <w:gridSpan w:val="5"/>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6.1. Publicaţii în ţară</w:t>
            </w:r>
          </w:p>
        </w:tc>
      </w:tr>
      <w:tr>
        <w:trPr>
          <w:trHeight w:val="154"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6.1.1.</w:t>
            </w:r>
          </w:p>
        </w:tc>
        <w:tc>
          <w:tcPr>
            <w:tcW w:w="8262" w:type="dxa"/>
            <w:gridSpan w:val="2"/>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Monografii</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172"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6.1.2.</w:t>
            </w:r>
          </w:p>
        </w:tc>
        <w:tc>
          <w:tcPr>
            <w:tcW w:w="8262" w:type="dxa"/>
            <w:gridSpan w:val="2"/>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 xml:space="preserve">Capitole în monografii </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 </w:t>
            </w:r>
          </w:p>
        </w:tc>
      </w:tr>
      <w:tr>
        <w:trPr>
          <w:trHeight w:val="217"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6.1.3.</w:t>
            </w:r>
          </w:p>
        </w:tc>
        <w:tc>
          <w:tcPr>
            <w:tcW w:w="8262" w:type="dxa"/>
            <w:gridSpan w:val="2"/>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Articole în reviste naţionale, categoria A</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1</w:t>
            </w:r>
          </w:p>
        </w:tc>
      </w:tr>
      <w:tr>
        <w:trPr>
          <w:trHeight w:val="108"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6.1.4.</w:t>
            </w:r>
          </w:p>
        </w:tc>
        <w:tc>
          <w:tcPr>
            <w:tcW w:w="8262" w:type="dxa"/>
            <w:gridSpan w:val="2"/>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Articole în reviste naţionale, categoria B</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fr-FR"/>
              </w:rPr>
            </w:pPr>
            <w:r>
              <w:rPr>
                <w:sz w:val="20"/>
                <w:szCs w:val="20"/>
                <w:lang w:val="fr-FR" w:eastAsia="en-US"/>
              </w:rPr>
              <w:t> </w:t>
            </w:r>
            <w:r>
              <w:rPr>
                <w:sz w:val="20"/>
                <w:szCs w:val="20"/>
                <w:lang w:val="fr-FR" w:eastAsia="en-US"/>
              </w:rPr>
              <w:t>2</w:t>
            </w:r>
          </w:p>
        </w:tc>
      </w:tr>
      <w:tr>
        <w:trPr>
          <w:trHeight w:val="139"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6.1.5.</w:t>
            </w:r>
          </w:p>
        </w:tc>
        <w:tc>
          <w:tcPr>
            <w:tcW w:w="8262" w:type="dxa"/>
            <w:gridSpan w:val="2"/>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Articole în reviste naţionale, categori</w:t>
            </w:r>
            <w:r>
              <w:rPr>
                <w:sz w:val="20"/>
                <w:szCs w:val="20"/>
                <w:lang w:val="fr-FR" w:eastAsia="en-US"/>
              </w:rPr>
              <w:t>a C</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rFonts w:ascii="Times New Roman" w:hAnsi="Times New Roman"/>
                <w:sz w:val="20"/>
                <w:szCs w:val="20"/>
                <w:lang w:val="fr-FR" w:eastAsia="en-US"/>
              </w:rPr>
            </w:pPr>
            <w:r>
              <w:rPr>
                <w:sz w:val="20"/>
                <w:szCs w:val="20"/>
                <w:lang w:val="fr-FR" w:eastAsia="en-US"/>
              </w:rPr>
            </w:r>
          </w:p>
        </w:tc>
      </w:tr>
      <w:tr>
        <w:trPr>
          <w:trHeight w:val="185"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fr-FR"/>
              </w:rPr>
            </w:pPr>
            <w:r>
              <w:rPr>
                <w:sz w:val="20"/>
                <w:szCs w:val="20"/>
                <w:lang w:val="fr-FR" w:eastAsia="en-US"/>
              </w:rPr>
              <w:t> </w:t>
            </w:r>
          </w:p>
        </w:tc>
        <w:tc>
          <w:tcPr>
            <w:tcW w:w="8262" w:type="dxa"/>
            <w:gridSpan w:val="2"/>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 xml:space="preserve">   </w:t>
            </w:r>
            <w:r>
              <w:rPr>
                <w:rFonts w:cs="Times New Roman CE" w:ascii="Times New Roman CE" w:hAnsi="Times New Roman CE"/>
                <w:sz w:val="20"/>
                <w:szCs w:val="20"/>
                <w:lang w:val="fr-FR" w:eastAsia="en-US"/>
              </w:rPr>
              <w:t>inclusiv articole în reviste naţionale (A, B, C) cu autori de peste hotare</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fr-FR"/>
              </w:rPr>
            </w:pPr>
            <w:r>
              <w:rPr>
                <w:sz w:val="20"/>
                <w:szCs w:val="20"/>
                <w:lang w:val="fr-FR" w:eastAsia="en-US"/>
              </w:rPr>
              <w:t> </w:t>
            </w:r>
          </w:p>
        </w:tc>
      </w:tr>
      <w:tr>
        <w:trPr>
          <w:trHeight w:val="62"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6.1.6.</w:t>
            </w:r>
          </w:p>
        </w:tc>
        <w:tc>
          <w:tcPr>
            <w:tcW w:w="8262" w:type="dxa"/>
            <w:gridSpan w:val="2"/>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Articole în culegeri</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 </w:t>
            </w:r>
            <w:r>
              <w:rPr>
                <w:sz w:val="20"/>
                <w:szCs w:val="20"/>
                <w:lang w:val="en-US" w:eastAsia="en-US"/>
              </w:rPr>
              <w:t>5</w:t>
            </w:r>
          </w:p>
        </w:tc>
      </w:tr>
      <w:tr>
        <w:trPr>
          <w:trHeight w:val="93"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6.1.7.</w:t>
            </w:r>
          </w:p>
        </w:tc>
        <w:tc>
          <w:tcPr>
            <w:tcW w:w="8262" w:type="dxa"/>
            <w:gridSpan w:val="2"/>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Publicaţii ştiinţifice electronice</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 </w:t>
            </w:r>
            <w:r>
              <w:rPr>
                <w:sz w:val="20"/>
                <w:szCs w:val="20"/>
                <w:lang w:val="en-US" w:eastAsia="en-US"/>
              </w:rPr>
              <w:t>4</w:t>
            </w:r>
          </w:p>
        </w:tc>
      </w:tr>
      <w:tr>
        <w:trPr>
          <w:trHeight w:val="140"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6.1.8.</w:t>
            </w:r>
          </w:p>
        </w:tc>
        <w:tc>
          <w:tcPr>
            <w:tcW w:w="8262" w:type="dxa"/>
            <w:gridSpan w:val="2"/>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Rezumate la conferinţe</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171"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6.1.9.</w:t>
            </w:r>
          </w:p>
        </w:tc>
        <w:tc>
          <w:tcPr>
            <w:tcW w:w="8262" w:type="dxa"/>
            <w:gridSpan w:val="2"/>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Preprint-uri naţionale</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60"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6.1.10.</w:t>
            </w:r>
          </w:p>
        </w:tc>
        <w:tc>
          <w:tcPr>
            <w:tcW w:w="8262" w:type="dxa"/>
            <w:gridSpan w:val="2"/>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Alte publicaţii ştiinţifice (de indicat)</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fr-FR"/>
              </w:rPr>
            </w:pPr>
            <w:r>
              <w:rPr>
                <w:sz w:val="20"/>
                <w:szCs w:val="20"/>
                <w:lang w:val="fr-FR" w:eastAsia="en-US"/>
              </w:rPr>
              <w:t> </w:t>
            </w:r>
          </w:p>
        </w:tc>
      </w:tr>
      <w:tr>
        <w:trPr>
          <w:trHeight w:val="93"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fr-FR"/>
              </w:rPr>
            </w:pPr>
            <w:r>
              <w:rPr>
                <w:sz w:val="20"/>
                <w:szCs w:val="20"/>
                <w:lang w:val="fr-FR" w:eastAsia="en-US"/>
              </w:rPr>
              <w:t> </w:t>
            </w:r>
          </w:p>
        </w:tc>
        <w:tc>
          <w:tcPr>
            <w:tcW w:w="8971" w:type="dxa"/>
            <w:gridSpan w:val="5"/>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6.2. Impactul şi relevanţa ştiinţifică</w:t>
            </w:r>
          </w:p>
        </w:tc>
      </w:tr>
      <w:tr>
        <w:trPr>
          <w:trHeight w:val="126"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6.2.1.</w:t>
            </w:r>
          </w:p>
        </w:tc>
        <w:tc>
          <w:tcPr>
            <w:tcW w:w="8262" w:type="dxa"/>
            <w:gridSpan w:val="2"/>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Premiul National, obţinut în perioada evaluată</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 </w:t>
            </w:r>
          </w:p>
        </w:tc>
      </w:tr>
      <w:tr>
        <w:trPr>
          <w:trHeight w:val="60"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6.2.2.</w:t>
            </w:r>
          </w:p>
        </w:tc>
        <w:tc>
          <w:tcPr>
            <w:tcW w:w="8262" w:type="dxa"/>
            <w:gridSpan w:val="2"/>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Premiile Savantul anului, Tinarul Savant al anului</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fr-FR"/>
              </w:rPr>
            </w:pPr>
            <w:r>
              <w:rPr>
                <w:sz w:val="20"/>
                <w:szCs w:val="20"/>
                <w:lang w:val="fr-FR" w:eastAsia="en-US"/>
              </w:rPr>
              <w:t> </w:t>
            </w:r>
          </w:p>
        </w:tc>
      </w:tr>
      <w:tr>
        <w:trPr>
          <w:trHeight w:val="203"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6.2.3.</w:t>
            </w:r>
          </w:p>
        </w:tc>
        <w:tc>
          <w:tcPr>
            <w:tcW w:w="8262" w:type="dxa"/>
            <w:gridSpan w:val="2"/>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Premiile Academiei de Ştiinţe a Moldovei, obţinute în perioada evaluată </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 </w:t>
            </w:r>
          </w:p>
        </w:tc>
      </w:tr>
      <w:tr>
        <w:trPr>
          <w:trHeight w:val="80"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6.2.4.</w:t>
            </w:r>
          </w:p>
        </w:tc>
        <w:tc>
          <w:tcPr>
            <w:tcW w:w="8262" w:type="dxa"/>
            <w:gridSpan w:val="2"/>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Alte premii naţionale obţinute în perioada evaluată</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1</w:t>
            </w:r>
          </w:p>
        </w:tc>
      </w:tr>
      <w:tr>
        <w:trPr>
          <w:trHeight w:val="111"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6.2.5.</w:t>
            </w:r>
          </w:p>
        </w:tc>
        <w:tc>
          <w:tcPr>
            <w:tcW w:w="8262" w:type="dxa"/>
            <w:gridSpan w:val="2"/>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Alte distincţii de apreciere a rezultatelor cercetărilor ştiinţifice</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 </w:t>
            </w:r>
            <w:r>
              <w:rPr>
                <w:sz w:val="20"/>
                <w:szCs w:val="20"/>
                <w:lang w:val="en-US" w:eastAsia="en-US"/>
              </w:rPr>
              <w:t>1</w:t>
            </w:r>
          </w:p>
        </w:tc>
      </w:tr>
      <w:tr>
        <w:trPr>
          <w:trHeight w:val="158"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6.2.6.</w:t>
            </w:r>
          </w:p>
        </w:tc>
        <w:tc>
          <w:tcPr>
            <w:tcW w:w="8262" w:type="dxa"/>
            <w:gridSpan w:val="2"/>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Menţiuni ale rezultatelor în presă şi ediţii electronice</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 </w:t>
            </w:r>
          </w:p>
        </w:tc>
      </w:tr>
      <w:tr>
        <w:trPr>
          <w:trHeight w:val="270"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6.2.7.</w:t>
            </w:r>
          </w:p>
        </w:tc>
        <w:tc>
          <w:tcPr>
            <w:tcW w:w="8262" w:type="dxa"/>
            <w:gridSpan w:val="2"/>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Rapoarte, comunicari şi lecţii la invitaţie la conferinţe naţionale, seminare, cursuri de perfecţionare</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5</w:t>
            </w:r>
          </w:p>
        </w:tc>
      </w:tr>
      <w:tr>
        <w:trPr>
          <w:trHeight w:val="180"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6.2.8.</w:t>
            </w:r>
          </w:p>
        </w:tc>
        <w:tc>
          <w:tcPr>
            <w:tcW w:w="8262" w:type="dxa"/>
            <w:gridSpan w:val="2"/>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Medalii de aur obţinute la expoziţii naţionale</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fr-FR"/>
              </w:rPr>
            </w:pPr>
            <w:r>
              <w:rPr>
                <w:sz w:val="20"/>
                <w:szCs w:val="20"/>
                <w:lang w:val="fr-FR" w:eastAsia="en-US"/>
              </w:rPr>
              <w:t> </w:t>
            </w:r>
          </w:p>
        </w:tc>
      </w:tr>
      <w:tr>
        <w:trPr>
          <w:trHeight w:val="69"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6.2.9.</w:t>
            </w:r>
          </w:p>
        </w:tc>
        <w:tc>
          <w:tcPr>
            <w:tcW w:w="8262" w:type="dxa"/>
            <w:gridSpan w:val="2"/>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Medalii de argint obţinute la expoziţii naţionale</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fr-FR"/>
              </w:rPr>
            </w:pPr>
            <w:r>
              <w:rPr>
                <w:sz w:val="20"/>
                <w:szCs w:val="20"/>
                <w:lang w:val="fr-FR" w:eastAsia="en-US"/>
              </w:rPr>
              <w:t> </w:t>
            </w:r>
          </w:p>
        </w:tc>
      </w:tr>
      <w:tr>
        <w:trPr>
          <w:trHeight w:val="102"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6.2.10.</w:t>
            </w:r>
          </w:p>
        </w:tc>
        <w:tc>
          <w:tcPr>
            <w:tcW w:w="8262" w:type="dxa"/>
            <w:gridSpan w:val="2"/>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Medalii de bronz obţinute la expoziţii naţionale</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fr-FR"/>
              </w:rPr>
            </w:pPr>
            <w:r>
              <w:rPr>
                <w:sz w:val="20"/>
                <w:szCs w:val="20"/>
                <w:lang w:val="fr-FR" w:eastAsia="en-US"/>
              </w:rPr>
              <w:t> </w:t>
            </w:r>
          </w:p>
        </w:tc>
      </w:tr>
      <w:tr>
        <w:trPr>
          <w:trHeight w:val="148"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6.2.11.</w:t>
            </w:r>
          </w:p>
        </w:tc>
        <w:tc>
          <w:tcPr>
            <w:tcW w:w="8262" w:type="dxa"/>
            <w:gridSpan w:val="2"/>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Diplome obţinute la expoziţii naţionale</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fr-FR"/>
              </w:rPr>
            </w:pPr>
            <w:r>
              <w:rPr>
                <w:sz w:val="20"/>
                <w:szCs w:val="20"/>
                <w:lang w:val="fr-FR" w:eastAsia="en-US"/>
              </w:rPr>
              <w:t> </w:t>
            </w:r>
          </w:p>
        </w:tc>
      </w:tr>
      <w:tr>
        <w:trPr>
          <w:trHeight w:val="60"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fr-FR"/>
              </w:rPr>
            </w:pPr>
            <w:r>
              <w:rPr>
                <w:sz w:val="20"/>
                <w:szCs w:val="20"/>
                <w:lang w:val="fr-FR" w:eastAsia="en-US"/>
              </w:rPr>
              <w:t> </w:t>
            </w:r>
          </w:p>
        </w:tc>
        <w:tc>
          <w:tcPr>
            <w:tcW w:w="8971" w:type="dxa"/>
            <w:gridSpan w:val="5"/>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6.3. Apreciere naţională şi antrenare în activităţi conexe cercetării</w:t>
            </w:r>
          </w:p>
        </w:tc>
      </w:tr>
      <w:tr>
        <w:trPr>
          <w:trHeight w:val="60"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6.3.1.</w:t>
            </w:r>
          </w:p>
        </w:tc>
        <w:tc>
          <w:tcPr>
            <w:tcW w:w="8262"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Academician A.Ş.M ales în perioada evaluată</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 </w:t>
            </w:r>
          </w:p>
        </w:tc>
      </w:tr>
      <w:tr>
        <w:trPr>
          <w:trHeight w:val="101"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6.3.2.</w:t>
            </w:r>
          </w:p>
        </w:tc>
        <w:tc>
          <w:tcPr>
            <w:tcW w:w="8262"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Membru corespondent al A.Ş.M. ales în perioada evaluată</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 </w:t>
            </w:r>
          </w:p>
        </w:tc>
      </w:tr>
      <w:tr>
        <w:trPr>
          <w:trHeight w:val="134"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6.3.3.</w:t>
            </w:r>
          </w:p>
        </w:tc>
        <w:tc>
          <w:tcPr>
            <w:tcW w:w="8262"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sz w:val="20"/>
                <w:szCs w:val="20"/>
                <w:lang w:val="en-US" w:eastAsia="en-US"/>
              </w:rPr>
              <w:t>Doc</w:t>
            </w:r>
            <w:r>
              <w:rPr>
                <w:rFonts w:cs="Times New Roman CE" w:ascii="Times New Roman CE" w:hAnsi="Times New Roman CE"/>
                <w:sz w:val="20"/>
                <w:szCs w:val="20"/>
                <w:lang w:val="en-US" w:eastAsia="en-US"/>
              </w:rPr>
              <w:t>tor Honoris Cauza conferit în perioada evaluată</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 </w:t>
            </w:r>
          </w:p>
        </w:tc>
      </w:tr>
      <w:tr>
        <w:trPr>
          <w:trHeight w:val="151"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6.3.4.</w:t>
            </w:r>
          </w:p>
        </w:tc>
        <w:tc>
          <w:tcPr>
            <w:tcW w:w="8262"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Doctor habilitat conferit în perioada evaluată</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 </w:t>
            </w:r>
          </w:p>
        </w:tc>
      </w:tr>
      <w:tr>
        <w:trPr>
          <w:trHeight w:val="198"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6.3.5.</w:t>
            </w:r>
          </w:p>
        </w:tc>
        <w:tc>
          <w:tcPr>
            <w:tcW w:w="8262"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Doctor conferit în perioada evaluată</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 </w:t>
            </w:r>
          </w:p>
        </w:tc>
      </w:tr>
      <w:tr>
        <w:trPr>
          <w:trHeight w:val="270"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6.3.6.</w:t>
            </w:r>
          </w:p>
        </w:tc>
        <w:tc>
          <w:tcPr>
            <w:tcW w:w="8262"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Profesor universitar (profesor cercetător) conferit în perioada evaluată</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 </w:t>
            </w:r>
          </w:p>
        </w:tc>
      </w:tr>
      <w:tr>
        <w:trPr>
          <w:trHeight w:val="234"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6.3.7.</w:t>
            </w:r>
          </w:p>
        </w:tc>
        <w:tc>
          <w:tcPr>
            <w:tcW w:w="8262"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Conferenţiar universitar (conferenţiar cercetător) conferit în perioada evaluată</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 </w:t>
            </w:r>
          </w:p>
        </w:tc>
      </w:tr>
      <w:tr>
        <w:trPr>
          <w:trHeight w:val="109"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6.3.8.</w:t>
            </w:r>
          </w:p>
        </w:tc>
        <w:tc>
          <w:tcPr>
            <w:tcW w:w="8262"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Redactor-şef al unei reviste de specialitate cotate CSŞDT şi CNAA </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1</w:t>
            </w:r>
          </w:p>
        </w:tc>
      </w:tr>
      <w:tr>
        <w:trPr>
          <w:trHeight w:val="142"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6.3.9.</w:t>
            </w:r>
          </w:p>
        </w:tc>
        <w:tc>
          <w:tcPr>
            <w:tcW w:w="8262"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 xml:space="preserve">Membru al colegiului de redacţie al revistelor cotate CSŞDT şi CNAA </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5</w:t>
            </w:r>
          </w:p>
        </w:tc>
      </w:tr>
      <w:tr>
        <w:trPr>
          <w:trHeight w:val="174"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6.3.10.</w:t>
            </w:r>
          </w:p>
        </w:tc>
        <w:tc>
          <w:tcPr>
            <w:tcW w:w="8262"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Conducător al Progr</w:t>
            </w:r>
            <w:r>
              <w:rPr>
                <w:sz w:val="20"/>
                <w:szCs w:val="20"/>
                <w:lang w:val="en-US" w:eastAsia="en-US"/>
              </w:rPr>
              <w:t xml:space="preserve">amelor de Stat </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pPr>
            <w:r>
              <w:rPr>
                <w:sz w:val="20"/>
                <w:szCs w:val="20"/>
                <w:lang w:val="en-US" w:eastAsia="en-US"/>
              </w:rPr>
              <w:t> </w:t>
            </w:r>
          </w:p>
        </w:tc>
      </w:tr>
      <w:tr>
        <w:trPr>
          <w:trHeight w:val="219"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6.3.11.</w:t>
            </w:r>
          </w:p>
        </w:tc>
        <w:tc>
          <w:tcPr>
            <w:tcW w:w="8262"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Conducător al proiectului de cercetări fundamentale/aplicative</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0/2</w:t>
            </w:r>
          </w:p>
        </w:tc>
      </w:tr>
      <w:tr>
        <w:trPr>
          <w:trHeight w:val="96"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6.3.12.</w:t>
            </w:r>
          </w:p>
        </w:tc>
        <w:tc>
          <w:tcPr>
            <w:tcW w:w="8262"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 xml:space="preserve">Preşedinte al Comitetului de program al manifestărilor ştiinţifici din naţionale </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fr-FR"/>
              </w:rPr>
            </w:pPr>
            <w:r>
              <w:rPr>
                <w:sz w:val="20"/>
                <w:szCs w:val="20"/>
                <w:lang w:val="fr-FR" w:eastAsia="en-US"/>
              </w:rPr>
              <w:t> </w:t>
            </w:r>
          </w:p>
        </w:tc>
      </w:tr>
      <w:tr>
        <w:trPr>
          <w:trHeight w:val="127"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6.3.13.</w:t>
            </w:r>
          </w:p>
        </w:tc>
        <w:tc>
          <w:tcPr>
            <w:tcW w:w="8262"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Membru al Comitetului de program al manifestărilor ştiinţifici din naţionale</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fr-FR"/>
              </w:rPr>
            </w:pPr>
            <w:r>
              <w:rPr>
                <w:sz w:val="20"/>
                <w:szCs w:val="20"/>
                <w:lang w:val="fr-FR" w:eastAsia="en-US"/>
              </w:rPr>
              <w:t> </w:t>
            </w:r>
          </w:p>
        </w:tc>
      </w:tr>
      <w:tr>
        <w:trPr>
          <w:trHeight w:val="174"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6.3.14.</w:t>
            </w:r>
          </w:p>
        </w:tc>
        <w:tc>
          <w:tcPr>
            <w:tcW w:w="8262"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Expert al CSŞDT sau CNAA</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5</w:t>
            </w:r>
          </w:p>
        </w:tc>
      </w:tr>
      <w:tr>
        <w:trPr>
          <w:trHeight w:val="205"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6.3.15.</w:t>
            </w:r>
          </w:p>
        </w:tc>
        <w:tc>
          <w:tcPr>
            <w:tcW w:w="8262"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Expert al altor proiecte şi activităţi la nivel naţional</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rFonts w:ascii="Times New Roman" w:hAnsi="Times New Roman"/>
                <w:sz w:val="20"/>
                <w:szCs w:val="20"/>
                <w:lang w:val="fr-FR" w:eastAsia="en-US"/>
              </w:rPr>
            </w:pPr>
            <w:r>
              <w:rPr>
                <w:sz w:val="20"/>
                <w:szCs w:val="20"/>
                <w:lang w:val="fr-FR" w:eastAsia="en-US"/>
              </w:rPr>
            </w:r>
          </w:p>
        </w:tc>
      </w:tr>
      <w:tr>
        <w:trPr>
          <w:trHeight w:val="238"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6.3.16.</w:t>
            </w:r>
          </w:p>
        </w:tc>
        <w:tc>
          <w:tcPr>
            <w:tcW w:w="8262"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Preşedinte al Comisiei de acreditare a organizaţiei</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 </w:t>
            </w:r>
          </w:p>
        </w:tc>
      </w:tr>
      <w:tr>
        <w:trPr>
          <w:trHeight w:val="113"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6.3.17.</w:t>
            </w:r>
          </w:p>
        </w:tc>
        <w:tc>
          <w:tcPr>
            <w:tcW w:w="8262" w:type="dxa"/>
            <w:gridSpan w:val="2"/>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Membru al Comisiei de acreditare a organizatiei</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 </w:t>
            </w:r>
          </w:p>
        </w:tc>
      </w:tr>
      <w:tr>
        <w:trPr>
          <w:trHeight w:val="146"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6.3.18.</w:t>
            </w:r>
          </w:p>
        </w:tc>
        <w:tc>
          <w:tcPr>
            <w:tcW w:w="8262"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sz w:val="20"/>
                <w:szCs w:val="20"/>
                <w:lang w:val="en-US" w:eastAsia="en-US"/>
              </w:rPr>
              <w:t>Membru în Comisiile pentru decernarea premiilor de Stat a Republicii Moldova</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 </w:t>
            </w:r>
          </w:p>
        </w:tc>
      </w:tr>
      <w:tr>
        <w:trPr>
          <w:trHeight w:val="192"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6.3.19.</w:t>
            </w:r>
          </w:p>
        </w:tc>
        <w:tc>
          <w:tcPr>
            <w:tcW w:w="8262"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Membru în Comisiile pentru decernarea premiilor A.Ş.M</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 </w:t>
            </w:r>
          </w:p>
        </w:tc>
      </w:tr>
      <w:tr>
        <w:trPr>
          <w:trHeight w:val="81"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6.3.20.</w:t>
            </w:r>
          </w:p>
        </w:tc>
        <w:tc>
          <w:tcPr>
            <w:tcW w:w="8262"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Preşedinte al consiliilor ştiinţifice specializate de susţinere a tezelor de doctor habilitat </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1</w:t>
            </w:r>
          </w:p>
        </w:tc>
      </w:tr>
      <w:tr>
        <w:trPr>
          <w:trHeight w:val="100"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6.3.21.</w:t>
            </w:r>
          </w:p>
        </w:tc>
        <w:tc>
          <w:tcPr>
            <w:tcW w:w="8262"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Secretar al consiliilor ştiinţifice specializate de susţinere a tezelor de doctor habilitat</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 </w:t>
            </w:r>
          </w:p>
        </w:tc>
      </w:tr>
      <w:tr>
        <w:trPr>
          <w:trHeight w:val="145"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6.3.22.</w:t>
            </w:r>
          </w:p>
        </w:tc>
        <w:tc>
          <w:tcPr>
            <w:tcW w:w="8262"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Preşedinte al consiliilor ştiinţifice specializate de susţinere a tezelor de doctor </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 </w:t>
            </w:r>
          </w:p>
        </w:tc>
      </w:tr>
      <w:tr>
        <w:trPr>
          <w:trHeight w:val="60"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6.3.23.</w:t>
            </w:r>
          </w:p>
        </w:tc>
        <w:tc>
          <w:tcPr>
            <w:tcW w:w="8262"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Secretar al consiliilor ştiinţifice specializate de susţi</w:t>
            </w:r>
            <w:r>
              <w:rPr>
                <w:sz w:val="20"/>
                <w:szCs w:val="20"/>
                <w:lang w:val="en-US" w:eastAsia="en-US"/>
              </w:rPr>
              <w:t xml:space="preserve">nere a tezelor de doctor </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pPr>
            <w:r>
              <w:rPr>
                <w:sz w:val="20"/>
                <w:szCs w:val="20"/>
                <w:lang w:val="en-US" w:eastAsia="en-US"/>
              </w:rPr>
              <w:t> </w:t>
            </w:r>
          </w:p>
        </w:tc>
      </w:tr>
      <w:tr>
        <w:trPr>
          <w:trHeight w:val="209"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6.3.24.</w:t>
            </w:r>
          </w:p>
        </w:tc>
        <w:tc>
          <w:tcPr>
            <w:tcW w:w="8262"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Membru a consiliilor ştiinţifice specializate de susţinere a tezelor de doctor habilitat/doctor </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1/1</w:t>
            </w:r>
          </w:p>
        </w:tc>
      </w:tr>
      <w:tr>
        <w:trPr>
          <w:trHeight w:val="114"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6.3.25.</w:t>
            </w:r>
          </w:p>
        </w:tc>
        <w:tc>
          <w:tcPr>
            <w:tcW w:w="8262"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 xml:space="preserve">Referent la susţinerea tezei de doctor habilitat </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fr-FR"/>
              </w:rPr>
            </w:pPr>
            <w:r>
              <w:rPr>
                <w:sz w:val="20"/>
                <w:szCs w:val="20"/>
                <w:lang w:val="fr-FR" w:eastAsia="en-US"/>
              </w:rPr>
              <w:t> </w:t>
            </w:r>
          </w:p>
        </w:tc>
      </w:tr>
      <w:tr>
        <w:trPr>
          <w:trHeight w:val="132"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6.3.26.</w:t>
            </w:r>
          </w:p>
        </w:tc>
        <w:tc>
          <w:tcPr>
            <w:tcW w:w="8262"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 xml:space="preserve">Referent la susţinerea tezei de doctor </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fr-FR"/>
              </w:rPr>
            </w:pPr>
            <w:r>
              <w:rPr>
                <w:sz w:val="20"/>
                <w:szCs w:val="20"/>
                <w:lang w:val="fr-FR" w:eastAsia="en-US"/>
              </w:rPr>
              <w:t> </w:t>
            </w:r>
            <w:r>
              <w:rPr>
                <w:sz w:val="20"/>
                <w:szCs w:val="20"/>
                <w:lang w:val="fr-FR" w:eastAsia="en-US"/>
              </w:rPr>
              <w:t>1</w:t>
            </w:r>
          </w:p>
        </w:tc>
      </w:tr>
      <w:tr>
        <w:trPr>
          <w:trHeight w:val="163"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6.3.27.</w:t>
            </w:r>
          </w:p>
        </w:tc>
        <w:tc>
          <w:tcPr>
            <w:tcW w:w="8262" w:type="dxa"/>
            <w:gridSpan w:val="2"/>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Preşedinte al Comsiei examenelor de licenţă / masterat / doctorat</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0/1/1</w:t>
            </w:r>
          </w:p>
        </w:tc>
      </w:tr>
      <w:tr>
        <w:trPr>
          <w:trHeight w:val="68"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6.3.28.</w:t>
            </w:r>
          </w:p>
        </w:tc>
        <w:tc>
          <w:tcPr>
            <w:tcW w:w="8262" w:type="dxa"/>
            <w:gridSpan w:val="2"/>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Membru al Comisiei examenelor de licenţă / masterat / doctorat</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0/1/0</w:t>
            </w:r>
          </w:p>
        </w:tc>
      </w:tr>
      <w:tr>
        <w:trPr>
          <w:trHeight w:val="241"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6.3.29.</w:t>
            </w:r>
          </w:p>
        </w:tc>
        <w:tc>
          <w:tcPr>
            <w:tcW w:w="8262"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 xml:space="preserve">Preşedinte al seminarului ştiinţific de profil </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fr-FR"/>
              </w:rPr>
            </w:pPr>
            <w:r>
              <w:rPr>
                <w:sz w:val="20"/>
                <w:szCs w:val="20"/>
                <w:lang w:val="fr-FR" w:eastAsia="en-US"/>
              </w:rPr>
              <w:t> </w:t>
            </w:r>
          </w:p>
        </w:tc>
      </w:tr>
      <w:tr>
        <w:trPr>
          <w:trHeight w:val="118"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6.3.30.</w:t>
            </w:r>
          </w:p>
        </w:tc>
        <w:tc>
          <w:tcPr>
            <w:tcW w:w="8262"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Membru al seminarului ştiinţific d</w:t>
            </w:r>
            <w:r>
              <w:rPr>
                <w:sz w:val="20"/>
                <w:szCs w:val="20"/>
                <w:lang w:val="fr-FR" w:eastAsia="en-US"/>
              </w:rPr>
              <w:t>e profil</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3</w:t>
            </w:r>
          </w:p>
        </w:tc>
      </w:tr>
      <w:tr>
        <w:trPr>
          <w:trHeight w:val="149"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6.3.31.</w:t>
            </w:r>
          </w:p>
        </w:tc>
        <w:tc>
          <w:tcPr>
            <w:tcW w:w="8262" w:type="dxa"/>
            <w:gridSpan w:val="2"/>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Secretar al seminarului ştiinţific de profil</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fr-FR"/>
              </w:rPr>
            </w:pPr>
            <w:r>
              <w:rPr>
                <w:sz w:val="20"/>
                <w:szCs w:val="20"/>
                <w:lang w:val="fr-FR" w:eastAsia="en-US"/>
              </w:rPr>
              <w:t> </w:t>
            </w:r>
          </w:p>
        </w:tc>
      </w:tr>
      <w:tr>
        <w:trPr>
          <w:trHeight w:val="182" w:hRule="atLeast"/>
        </w:trPr>
        <w:tc>
          <w:tcPr>
            <w:tcW w:w="7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6.3.32.</w:t>
            </w:r>
          </w:p>
        </w:tc>
        <w:tc>
          <w:tcPr>
            <w:tcW w:w="8262"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Recenzent la seminarul ştiinţific de profil; secţie/catedră</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 </w:t>
            </w:r>
          </w:p>
        </w:tc>
      </w:tr>
    </w:tbl>
    <w:p>
      <w:pPr>
        <w:pStyle w:val="Normal"/>
        <w:widowControl/>
        <w:bidi w:val="0"/>
        <w:ind w:left="0" w:right="0" w:hanging="0"/>
        <w:jc w:val="left"/>
        <w:textAlignment w:val="auto"/>
        <w:rPr>
          <w:lang w:val="ro-RO"/>
        </w:rPr>
      </w:pPr>
      <w:r>
        <w:rPr>
          <w:lang w:val="ro-RO"/>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fr-FR" w:eastAsia="en-US"/>
        </w:rPr>
      </w:pPr>
      <w:r>
        <w:rPr>
          <w:lang w:val="fr-FR" w:eastAsia="en-US"/>
        </w:rPr>
      </w:r>
    </w:p>
    <w:p>
      <w:pPr>
        <w:pStyle w:val="Normal"/>
        <w:widowControl/>
        <w:bidi w:val="0"/>
        <w:ind w:left="0" w:right="0" w:hanging="0"/>
        <w:jc w:val="left"/>
        <w:textAlignment w:val="auto"/>
        <w:rPr>
          <w:rFonts w:ascii="Times New Roman" w:hAnsi="Times New Roman"/>
          <w:lang w:val="fr-FR" w:eastAsia="en-US"/>
        </w:rPr>
      </w:pPr>
      <w:r>
        <w:rPr>
          <w:lang w:val="fr-FR" w:eastAsia="en-US"/>
        </w:rPr>
      </w:r>
    </w:p>
    <w:p>
      <w:pPr>
        <w:pStyle w:val="Normal"/>
        <w:widowControl/>
        <w:bidi w:val="0"/>
        <w:ind w:left="0" w:right="0" w:hanging="0"/>
        <w:jc w:val="left"/>
        <w:textAlignment w:val="auto"/>
        <w:rPr>
          <w:rFonts w:ascii="Times New Roman" w:hAnsi="Times New Roman"/>
          <w:lang w:val="fr-FR" w:eastAsia="en-US"/>
        </w:rPr>
      </w:pPr>
      <w:r>
        <w:rPr>
          <w:lang w:val="fr-FR" w:eastAsia="en-US"/>
        </w:rPr>
      </w:r>
    </w:p>
    <w:tbl>
      <w:tblPr>
        <w:tblW w:w="10031" w:type="dxa"/>
        <w:jc w:val="left"/>
        <w:tblInd w:w="-109" w:type="dxa"/>
        <w:tblBorders>
          <w:top w:val="single" w:sz="8" w:space="0" w:color="000001"/>
          <w:left w:val="single" w:sz="8" w:space="0" w:color="000001"/>
          <w:bottom w:val="single" w:sz="8" w:space="0" w:color="000001"/>
          <w:right w:val="single" w:sz="4" w:space="0" w:color="000001"/>
          <w:insideH w:val="single" w:sz="8" w:space="0" w:color="000001"/>
          <w:insideV w:val="single" w:sz="4" w:space="0" w:color="000001"/>
        </w:tblBorders>
        <w:tblCellMar>
          <w:top w:w="0" w:type="dxa"/>
          <w:left w:w="98" w:type="dxa"/>
          <w:bottom w:w="0" w:type="dxa"/>
          <w:right w:w="108" w:type="dxa"/>
        </w:tblCellMar>
      </w:tblPr>
      <w:tblGrid>
        <w:gridCol w:w="863"/>
        <w:gridCol w:w="8253"/>
        <w:gridCol w:w="63"/>
        <w:gridCol w:w="1"/>
        <w:gridCol w:w="851"/>
      </w:tblGrid>
      <w:tr>
        <w:trPr>
          <w:trHeight w:val="270" w:hRule="atLeast"/>
        </w:trPr>
        <w:tc>
          <w:tcPr>
            <w:tcW w:w="9180" w:type="dxa"/>
            <w:gridSpan w:val="4"/>
            <w:tcBorders>
              <w:top w:val="single" w:sz="8" w:space="0" w:color="000001"/>
              <w:left w:val="single" w:sz="8" w:space="0" w:color="000001"/>
              <w:bottom w:val="single" w:sz="8" w:space="0" w:color="000001"/>
              <w:right w:val="single" w:sz="4" w:space="0" w:color="000001"/>
              <w:insideH w:val="single" w:sz="8" w:space="0" w:color="000001"/>
              <w:insideV w:val="single" w:sz="4" w:space="0" w:color="000001"/>
            </w:tcBorders>
            <w:shd w:fill="auto" w:val="clear"/>
            <w:tcMar>
              <w:left w:w="98" w:type="dxa"/>
            </w:tcMar>
            <w:vAlign w:val="bottom"/>
          </w:tcPr>
          <w:p>
            <w:pPr>
              <w:pStyle w:val="Normal"/>
              <w:widowControl/>
              <w:bidi w:val="0"/>
              <w:ind w:left="0" w:right="0" w:hanging="0"/>
              <w:jc w:val="center"/>
              <w:textAlignment w:val="auto"/>
              <w:rPr>
                <w:rFonts w:ascii="Times New Roman" w:hAnsi="Times New Roman"/>
                <w:b/>
                <w:b/>
                <w:bCs/>
                <w:sz w:val="20"/>
                <w:szCs w:val="20"/>
                <w:lang w:val="fr-FR" w:eastAsia="en-US"/>
              </w:rPr>
            </w:pPr>
            <w:r>
              <w:rPr>
                <w:b/>
                <w:bCs/>
                <w:sz w:val="20"/>
                <w:szCs w:val="20"/>
                <w:lang w:val="fr-FR" w:eastAsia="en-US"/>
              </w:rPr>
            </w:r>
          </w:p>
          <w:p>
            <w:pPr>
              <w:pStyle w:val="Normal"/>
              <w:widowControl/>
              <w:bidi w:val="0"/>
              <w:ind w:left="0" w:right="0" w:hanging="0"/>
              <w:jc w:val="center"/>
              <w:textAlignment w:val="auto"/>
              <w:rPr>
                <w:lang w:val="en-US"/>
              </w:rPr>
            </w:pPr>
            <w:r>
              <w:rPr>
                <w:rFonts w:cs="Times New Roman CE" w:ascii="Times New Roman CE" w:hAnsi="Times New Roman CE"/>
                <w:b/>
                <w:bCs/>
                <w:sz w:val="20"/>
                <w:szCs w:val="20"/>
                <w:lang w:val="en-US" w:eastAsia="en-US"/>
              </w:rPr>
              <w:t>7. RELEVANŢA ECONOMICĂ</w:t>
            </w:r>
          </w:p>
        </w:tc>
        <w:tc>
          <w:tcPr>
            <w:tcW w:w="85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b/>
                <w:bCs/>
                <w:sz w:val="20"/>
                <w:szCs w:val="20"/>
                <w:lang w:val="en-US" w:eastAsia="en-US"/>
              </w:rPr>
              <w:t>2016</w:t>
            </w:r>
          </w:p>
        </w:tc>
      </w:tr>
      <w:tr>
        <w:trPr>
          <w:trHeight w:val="270" w:hRule="atLeast"/>
        </w:trPr>
        <w:tc>
          <w:tcPr>
            <w:tcW w:w="863"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c>
          <w:tcPr>
            <w:tcW w:w="9168" w:type="dxa"/>
            <w:gridSpan w:val="4"/>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lang w:val="en-US"/>
              </w:rPr>
            </w:pPr>
            <w:r>
              <w:rPr>
                <w:rFonts w:cs="Times New Roman CE" w:ascii="Times New Roman CE" w:hAnsi="Times New Roman CE"/>
                <w:b/>
                <w:bCs/>
                <w:sz w:val="20"/>
                <w:szCs w:val="20"/>
                <w:lang w:val="en-US" w:eastAsia="en-US"/>
              </w:rPr>
              <w:t>7.1. Activitatea de brevetare, licenţiere, certificare a produselor</w:t>
            </w:r>
          </w:p>
        </w:tc>
      </w:tr>
      <w:tr>
        <w:trPr>
          <w:trHeight w:val="525" w:hRule="atLeast"/>
        </w:trPr>
        <w:tc>
          <w:tcPr>
            <w:tcW w:w="863"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7.1.1.</w:t>
            </w:r>
          </w:p>
        </w:tc>
        <w:tc>
          <w:tcPr>
            <w:tcW w:w="8316"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Contracte de licenţă (cesiune) în baza brevetelor, know-how  şi soiurilor de plante omologate, rase, tipuri, linii de animale şi păsări</w:t>
            </w:r>
          </w:p>
        </w:tc>
        <w:tc>
          <w:tcPr>
            <w:tcW w:w="852" w:type="dxa"/>
            <w:gridSpan w:val="2"/>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fr-FR"/>
              </w:rPr>
            </w:pPr>
            <w:r>
              <w:rPr>
                <w:sz w:val="20"/>
                <w:szCs w:val="20"/>
                <w:lang w:val="fr-FR" w:eastAsia="en-US"/>
              </w:rPr>
              <w:t> </w:t>
            </w:r>
          </w:p>
        </w:tc>
      </w:tr>
      <w:tr>
        <w:trPr>
          <w:trHeight w:val="525" w:hRule="atLeast"/>
        </w:trPr>
        <w:tc>
          <w:tcPr>
            <w:tcW w:w="863"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7.1.2.</w:t>
            </w:r>
          </w:p>
        </w:tc>
        <w:tc>
          <w:tcPr>
            <w:tcW w:w="8316"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Brevete obţinute, adeverinţe de soi, documentaţie, tehnologii, regulamente tehnice, standarde înregistrate</w:t>
            </w:r>
          </w:p>
        </w:tc>
        <w:tc>
          <w:tcPr>
            <w:tcW w:w="852" w:type="dxa"/>
            <w:gridSpan w:val="2"/>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863"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7.1.3.</w:t>
            </w:r>
          </w:p>
        </w:tc>
        <w:tc>
          <w:tcPr>
            <w:tcW w:w="8316"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Hotărîri de acordare a brevetelor</w:t>
            </w:r>
          </w:p>
        </w:tc>
        <w:tc>
          <w:tcPr>
            <w:tcW w:w="852" w:type="dxa"/>
            <w:gridSpan w:val="2"/>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fr-FR"/>
              </w:rPr>
            </w:pPr>
            <w:r>
              <w:rPr>
                <w:sz w:val="20"/>
                <w:szCs w:val="20"/>
                <w:lang w:val="fr-FR" w:eastAsia="en-US"/>
              </w:rPr>
              <w:t> </w:t>
            </w:r>
          </w:p>
        </w:tc>
      </w:tr>
      <w:tr>
        <w:trPr>
          <w:trHeight w:val="525" w:hRule="atLeast"/>
        </w:trPr>
        <w:tc>
          <w:tcPr>
            <w:tcW w:w="863"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7.1.4.</w:t>
            </w:r>
          </w:p>
        </w:tc>
        <w:tc>
          <w:tcPr>
            <w:tcW w:w="8316"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fr-FR"/>
              </w:rPr>
            </w:pPr>
            <w:r>
              <w:rPr>
                <w:sz w:val="20"/>
                <w:szCs w:val="20"/>
                <w:lang w:val="fr-FR" w:eastAsia="en-US"/>
              </w:rPr>
              <w:t>Cereri de brevetare înaintate la AGEPI, cereri înaintate la Comisia de Stat pentru Testarea Soiurilor de Plante</w:t>
            </w:r>
          </w:p>
        </w:tc>
        <w:tc>
          <w:tcPr>
            <w:tcW w:w="852" w:type="dxa"/>
            <w:gridSpan w:val="2"/>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863" w:type="dxa"/>
            <w:tcBorders>
              <w:left w:val="single" w:sz="8" w:space="0" w:color="000001"/>
              <w:bottom w:val="single" w:sz="4" w:space="0" w:color="000001"/>
              <w:right w:val="single" w:sz="8" w:space="0" w:color="000001"/>
              <w:insideH w:val="single" w:sz="4"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7.1.5.</w:t>
            </w:r>
          </w:p>
        </w:tc>
        <w:tc>
          <w:tcPr>
            <w:tcW w:w="8316"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Brevete implementate</w:t>
            </w:r>
          </w:p>
        </w:tc>
        <w:tc>
          <w:tcPr>
            <w:tcW w:w="852" w:type="dxa"/>
            <w:gridSpan w:val="2"/>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863"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7.1.6.</w:t>
            </w:r>
          </w:p>
        </w:tc>
        <w:tc>
          <w:tcPr>
            <w:tcW w:w="8316" w:type="dxa"/>
            <w:gridSpan w:val="2"/>
            <w:tcBorders>
              <w:left w:val="single" w:sz="4" w:space="0" w:color="000001"/>
              <w:bottom w:val="single" w:sz="8" w:space="0" w:color="000001"/>
              <w:right w:val="single" w:sz="8" w:space="0" w:color="000001"/>
              <w:insideH w:val="single" w:sz="8" w:space="0" w:color="000001"/>
              <w:insideV w:val="single" w:sz="8" w:space="0" w:color="000001"/>
            </w:tcBorders>
            <w:shd w:fill="auto" w:val="clear"/>
            <w:tcMar>
              <w:left w:w="103" w:type="dxa"/>
            </w:tcM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Certificate de soi, obţinute în perioada evaluată</w:t>
            </w:r>
          </w:p>
        </w:tc>
        <w:tc>
          <w:tcPr>
            <w:tcW w:w="852" w:type="dxa"/>
            <w:gridSpan w:val="2"/>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863" w:type="dxa"/>
            <w:tcBorders>
              <w:top w:val="single" w:sz="4"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c>
          <w:tcPr>
            <w:tcW w:w="9168" w:type="dxa"/>
            <w:gridSpan w:val="4"/>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lang w:val="en-US"/>
              </w:rPr>
            </w:pPr>
            <w:r>
              <w:rPr>
                <w:rFonts w:cs="Times New Roman CE" w:ascii="Times New Roman CE" w:hAnsi="Times New Roman CE"/>
                <w:b/>
                <w:bCs/>
                <w:sz w:val="20"/>
                <w:szCs w:val="20"/>
                <w:lang w:val="en-US" w:eastAsia="en-US"/>
              </w:rPr>
              <w:t>7.2. Elaborări, transfer tehnologic</w:t>
            </w:r>
          </w:p>
        </w:tc>
      </w:tr>
      <w:tr>
        <w:trPr>
          <w:trHeight w:val="270" w:hRule="atLeast"/>
        </w:trPr>
        <w:tc>
          <w:tcPr>
            <w:tcW w:w="863"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7.2.1.</w:t>
            </w:r>
          </w:p>
        </w:tc>
        <w:tc>
          <w:tcPr>
            <w:tcW w:w="8253"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Produse, material semincer, echipamente asimilate în fabricare de serie</w:t>
            </w:r>
          </w:p>
        </w:tc>
        <w:tc>
          <w:tcPr>
            <w:tcW w:w="915" w:type="dxa"/>
            <w:gridSpan w:val="3"/>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525" w:hRule="atLeast"/>
        </w:trPr>
        <w:tc>
          <w:tcPr>
            <w:tcW w:w="863"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7.2.2.</w:t>
            </w:r>
          </w:p>
        </w:tc>
        <w:tc>
          <w:tcPr>
            <w:tcW w:w="8253"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Tehnologii, secvenţe tehnologice, produse noi şi seminţe de soiuri realizate şi valorificate la agenţi economici prin contracte cu un volum de finanţare &gt;100 mii lei</w:t>
            </w:r>
          </w:p>
        </w:tc>
        <w:tc>
          <w:tcPr>
            <w:tcW w:w="915" w:type="dxa"/>
            <w:gridSpan w:val="3"/>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fr-FR"/>
              </w:rPr>
            </w:pPr>
            <w:r>
              <w:rPr>
                <w:sz w:val="20"/>
                <w:szCs w:val="20"/>
                <w:lang w:val="fr-FR" w:eastAsia="en-US"/>
              </w:rPr>
              <w:t> </w:t>
            </w:r>
          </w:p>
        </w:tc>
      </w:tr>
      <w:tr>
        <w:trPr>
          <w:trHeight w:val="525" w:hRule="atLeast"/>
        </w:trPr>
        <w:tc>
          <w:tcPr>
            <w:tcW w:w="863"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7.2.3.</w:t>
            </w:r>
          </w:p>
        </w:tc>
        <w:tc>
          <w:tcPr>
            <w:tcW w:w="8253"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Tehnologii, secvenţe tehnologice, produse noi şi seminţe de soiuri realizate şi valorificate la agenţi economici prin contracte cu un volum de finanţare &lt;100 mii lei</w:t>
            </w:r>
          </w:p>
        </w:tc>
        <w:tc>
          <w:tcPr>
            <w:tcW w:w="915" w:type="dxa"/>
            <w:gridSpan w:val="3"/>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863"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7.2.4.</w:t>
            </w:r>
          </w:p>
        </w:tc>
        <w:tc>
          <w:tcPr>
            <w:tcW w:w="8253"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 xml:space="preserve">Produse noi valorificate la </w:t>
            </w:r>
            <w:r>
              <w:rPr>
                <w:rFonts w:cs="Times New Roman CE" w:ascii="Times New Roman CE" w:hAnsi="Times New Roman CE"/>
                <w:sz w:val="20"/>
                <w:szCs w:val="20"/>
                <w:lang w:val="fr-FR" w:eastAsia="en-US"/>
              </w:rPr>
              <w:t>agenţi economici prin colaborare sau contracte de royalty</w:t>
            </w:r>
          </w:p>
        </w:tc>
        <w:tc>
          <w:tcPr>
            <w:tcW w:w="915" w:type="dxa"/>
            <w:gridSpan w:val="3"/>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863"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7.2.5.</w:t>
            </w:r>
          </w:p>
        </w:tc>
        <w:tc>
          <w:tcPr>
            <w:tcW w:w="8253"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Softul elaborat şi implementat </w:t>
            </w:r>
          </w:p>
        </w:tc>
        <w:tc>
          <w:tcPr>
            <w:tcW w:w="915" w:type="dxa"/>
            <w:gridSpan w:val="3"/>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863"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7.2.6.</w:t>
            </w:r>
          </w:p>
        </w:tc>
        <w:tc>
          <w:tcPr>
            <w:tcW w:w="8253"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Mostre de maşini, echipamente,dispozitive funcţionale elaborate în perioada evaluată</w:t>
            </w:r>
          </w:p>
        </w:tc>
        <w:tc>
          <w:tcPr>
            <w:tcW w:w="915"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863"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7.2.7.</w:t>
            </w:r>
          </w:p>
        </w:tc>
        <w:tc>
          <w:tcPr>
            <w:tcW w:w="8253"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Atlase şi hărţi editate</w:t>
            </w:r>
          </w:p>
        </w:tc>
        <w:tc>
          <w:tcPr>
            <w:tcW w:w="915" w:type="dxa"/>
            <w:gridSpan w:val="3"/>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863"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7.2.8.</w:t>
            </w:r>
          </w:p>
        </w:tc>
        <w:tc>
          <w:tcPr>
            <w:tcW w:w="8253"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Materiale noi documentate</w:t>
            </w:r>
          </w:p>
        </w:tc>
        <w:tc>
          <w:tcPr>
            <w:tcW w:w="915" w:type="dxa"/>
            <w:gridSpan w:val="3"/>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863"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7.2.9.</w:t>
            </w:r>
          </w:p>
        </w:tc>
        <w:tc>
          <w:tcPr>
            <w:tcW w:w="8253"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Substanţe noi documentate</w:t>
            </w:r>
          </w:p>
        </w:tc>
        <w:tc>
          <w:tcPr>
            <w:tcW w:w="915" w:type="dxa"/>
            <w:gridSpan w:val="3"/>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863"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center"/>
              <w:textAlignment w:val="auto"/>
              <w:rPr>
                <w:lang w:val="en-US"/>
              </w:rPr>
            </w:pPr>
            <w:r>
              <w:rPr>
                <w:sz w:val="20"/>
                <w:szCs w:val="20"/>
                <w:lang w:val="en-US" w:eastAsia="en-US"/>
              </w:rPr>
              <w:t>7.2.10.</w:t>
            </w:r>
          </w:p>
        </w:tc>
        <w:tc>
          <w:tcPr>
            <w:tcW w:w="8253"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Tehnologii noi documentate</w:t>
            </w:r>
          </w:p>
        </w:tc>
        <w:tc>
          <w:tcPr>
            <w:tcW w:w="915" w:type="dxa"/>
            <w:gridSpan w:val="3"/>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863"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center"/>
              <w:textAlignment w:val="auto"/>
              <w:rPr>
                <w:lang w:val="en-US"/>
              </w:rPr>
            </w:pPr>
            <w:r>
              <w:rPr>
                <w:sz w:val="20"/>
                <w:szCs w:val="20"/>
                <w:lang w:val="en-US" w:eastAsia="en-US"/>
              </w:rPr>
              <w:t>7.2.11.</w:t>
            </w:r>
          </w:p>
        </w:tc>
        <w:tc>
          <w:tcPr>
            <w:tcW w:w="8253"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Metode noi documentate</w:t>
            </w:r>
          </w:p>
        </w:tc>
        <w:tc>
          <w:tcPr>
            <w:tcW w:w="915" w:type="dxa"/>
            <w:gridSpan w:val="3"/>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1</w:t>
            </w:r>
          </w:p>
        </w:tc>
      </w:tr>
      <w:tr>
        <w:trPr>
          <w:trHeight w:val="270" w:hRule="atLeast"/>
        </w:trPr>
        <w:tc>
          <w:tcPr>
            <w:tcW w:w="863"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center"/>
              <w:textAlignment w:val="auto"/>
              <w:rPr>
                <w:lang w:val="en-US"/>
              </w:rPr>
            </w:pPr>
            <w:r>
              <w:rPr>
                <w:sz w:val="20"/>
                <w:szCs w:val="20"/>
                <w:lang w:val="en-US" w:eastAsia="en-US"/>
              </w:rPr>
              <w:t>7.2.12.</w:t>
            </w:r>
          </w:p>
        </w:tc>
        <w:tc>
          <w:tcPr>
            <w:tcW w:w="8253"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Procedee noi documentate</w:t>
            </w:r>
          </w:p>
        </w:tc>
        <w:tc>
          <w:tcPr>
            <w:tcW w:w="915" w:type="dxa"/>
            <w:gridSpan w:val="3"/>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863"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center"/>
              <w:textAlignment w:val="auto"/>
              <w:rPr>
                <w:lang w:val="en-US"/>
              </w:rPr>
            </w:pPr>
            <w:r>
              <w:rPr>
                <w:sz w:val="20"/>
                <w:szCs w:val="20"/>
                <w:lang w:val="en-US" w:eastAsia="en-US"/>
              </w:rPr>
              <w:t>7.2.13.</w:t>
            </w:r>
          </w:p>
        </w:tc>
        <w:tc>
          <w:tcPr>
            <w:tcW w:w="8253"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Linii create</w:t>
            </w:r>
          </w:p>
        </w:tc>
        <w:tc>
          <w:tcPr>
            <w:tcW w:w="915" w:type="dxa"/>
            <w:gridSpan w:val="3"/>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863"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center"/>
              <w:textAlignment w:val="auto"/>
              <w:rPr>
                <w:lang w:val="en-US"/>
              </w:rPr>
            </w:pPr>
            <w:r>
              <w:rPr>
                <w:sz w:val="20"/>
                <w:szCs w:val="20"/>
                <w:lang w:val="en-US" w:eastAsia="en-US"/>
              </w:rPr>
              <w:t>7.2.14.</w:t>
            </w:r>
          </w:p>
        </w:tc>
        <w:tc>
          <w:tcPr>
            <w:tcW w:w="8253"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Hibrizi creati</w:t>
            </w:r>
          </w:p>
        </w:tc>
        <w:tc>
          <w:tcPr>
            <w:tcW w:w="915" w:type="dxa"/>
            <w:gridSpan w:val="3"/>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863"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center"/>
              <w:textAlignment w:val="auto"/>
              <w:rPr>
                <w:lang w:val="en-US"/>
              </w:rPr>
            </w:pPr>
            <w:r>
              <w:rPr>
                <w:sz w:val="20"/>
                <w:szCs w:val="20"/>
                <w:lang w:val="en-US" w:eastAsia="en-US"/>
              </w:rPr>
              <w:t>7.2.15.</w:t>
            </w:r>
          </w:p>
        </w:tc>
        <w:tc>
          <w:tcPr>
            <w:tcW w:w="8253"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Soiuri create</w:t>
            </w:r>
          </w:p>
        </w:tc>
        <w:tc>
          <w:tcPr>
            <w:tcW w:w="915" w:type="dxa"/>
            <w:gridSpan w:val="3"/>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863"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center"/>
              <w:textAlignment w:val="auto"/>
              <w:rPr>
                <w:lang w:val="en-US"/>
              </w:rPr>
            </w:pPr>
            <w:r>
              <w:rPr>
                <w:sz w:val="20"/>
                <w:szCs w:val="20"/>
                <w:lang w:val="en-US" w:eastAsia="en-US"/>
              </w:rPr>
              <w:t>7.2.16.</w:t>
            </w:r>
          </w:p>
        </w:tc>
        <w:tc>
          <w:tcPr>
            <w:tcW w:w="8253"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Rase create</w:t>
            </w:r>
          </w:p>
        </w:tc>
        <w:tc>
          <w:tcPr>
            <w:tcW w:w="915" w:type="dxa"/>
            <w:gridSpan w:val="3"/>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863"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center"/>
              <w:textAlignment w:val="auto"/>
              <w:rPr>
                <w:lang w:val="en-US"/>
              </w:rPr>
            </w:pPr>
            <w:r>
              <w:rPr>
                <w:sz w:val="20"/>
                <w:szCs w:val="20"/>
                <w:lang w:val="en-US" w:eastAsia="en-US"/>
              </w:rPr>
              <w:t>7.2.17.</w:t>
            </w:r>
          </w:p>
        </w:tc>
        <w:tc>
          <w:tcPr>
            <w:tcW w:w="8253"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Suşe create</w:t>
            </w:r>
          </w:p>
        </w:tc>
        <w:tc>
          <w:tcPr>
            <w:tcW w:w="915" w:type="dxa"/>
            <w:gridSpan w:val="3"/>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863"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center"/>
              <w:textAlignment w:val="auto"/>
              <w:rPr>
                <w:lang w:val="en-US"/>
              </w:rPr>
            </w:pPr>
            <w:r>
              <w:rPr>
                <w:sz w:val="20"/>
                <w:szCs w:val="20"/>
                <w:lang w:val="en-US" w:eastAsia="en-US"/>
              </w:rPr>
              <w:t>7.2.18.</w:t>
            </w:r>
          </w:p>
        </w:tc>
        <w:tc>
          <w:tcPr>
            <w:tcW w:w="8253"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Linii, hibrizi, soiuri, rase, suşe omologate si înscrise în registru</w:t>
            </w:r>
          </w:p>
        </w:tc>
        <w:tc>
          <w:tcPr>
            <w:tcW w:w="915" w:type="dxa"/>
            <w:gridSpan w:val="3"/>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863"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center"/>
              <w:textAlignment w:val="auto"/>
              <w:rPr>
                <w:lang w:val="en-US"/>
              </w:rPr>
            </w:pPr>
            <w:r>
              <w:rPr>
                <w:sz w:val="20"/>
                <w:szCs w:val="20"/>
                <w:lang w:val="en-US" w:eastAsia="en-US"/>
              </w:rPr>
              <w:t>7.2.19.</w:t>
            </w:r>
          </w:p>
        </w:tc>
        <w:tc>
          <w:tcPr>
            <w:tcW w:w="8253"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Alte rezultate (de indicat)</w:t>
            </w:r>
          </w:p>
        </w:tc>
        <w:tc>
          <w:tcPr>
            <w:tcW w:w="915" w:type="dxa"/>
            <w:gridSpan w:val="3"/>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863"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c>
          <w:tcPr>
            <w:tcW w:w="9168" w:type="dxa"/>
            <w:gridSpan w:val="4"/>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lang w:val="en-US"/>
              </w:rPr>
            </w:pPr>
            <w:r>
              <w:rPr>
                <w:rFonts w:cs="Times New Roman CE" w:ascii="Times New Roman CE" w:hAnsi="Times New Roman CE"/>
                <w:b/>
                <w:bCs/>
                <w:sz w:val="20"/>
                <w:szCs w:val="20"/>
                <w:lang w:val="en-US" w:eastAsia="en-US"/>
              </w:rPr>
              <w:t>7.3. Asistenţă şi servicii ştiinţifice prestate</w:t>
            </w:r>
          </w:p>
        </w:tc>
      </w:tr>
      <w:tr>
        <w:trPr>
          <w:trHeight w:val="270" w:hRule="atLeast"/>
        </w:trPr>
        <w:tc>
          <w:tcPr>
            <w:tcW w:w="863"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7.3.1.</w:t>
            </w:r>
          </w:p>
        </w:tc>
        <w:tc>
          <w:tcPr>
            <w:tcW w:w="8253"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Recomandări ştiinţifico-practice documentate</w:t>
            </w:r>
          </w:p>
        </w:tc>
        <w:tc>
          <w:tcPr>
            <w:tcW w:w="915" w:type="dxa"/>
            <w:gridSpan w:val="3"/>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863"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7.3.2.</w:t>
            </w:r>
          </w:p>
        </w:tc>
        <w:tc>
          <w:tcPr>
            <w:tcW w:w="8253"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Pre</w:t>
            </w:r>
            <w:r>
              <w:rPr>
                <w:rFonts w:cs="Times New Roman CE" w:ascii="Times New Roman CE" w:hAnsi="Times New Roman CE"/>
                <w:sz w:val="20"/>
                <w:szCs w:val="20"/>
                <w:lang w:val="en-US" w:eastAsia="en-US"/>
              </w:rPr>
              <w:t>stări de servicii în laboratoare acreditate</w:t>
            </w:r>
          </w:p>
        </w:tc>
        <w:tc>
          <w:tcPr>
            <w:tcW w:w="915" w:type="dxa"/>
            <w:gridSpan w:val="3"/>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863"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7.3.3.</w:t>
            </w:r>
          </w:p>
        </w:tc>
        <w:tc>
          <w:tcPr>
            <w:tcW w:w="8253"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Prestări de servicii în laboratoare neacreditate</w:t>
            </w:r>
          </w:p>
        </w:tc>
        <w:tc>
          <w:tcPr>
            <w:tcW w:w="915" w:type="dxa"/>
            <w:gridSpan w:val="3"/>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rFonts w:cs="Arial" w:ascii="Arial" w:hAnsi="Arial"/>
                <w:sz w:val="20"/>
                <w:szCs w:val="20"/>
                <w:lang w:val="en-US" w:eastAsia="en-US"/>
              </w:rPr>
              <w:t> </w:t>
            </w:r>
          </w:p>
        </w:tc>
      </w:tr>
    </w:tbl>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tbl>
      <w:tblPr>
        <w:tblW w:w="9828" w:type="dxa"/>
        <w:jc w:val="left"/>
        <w:tblInd w:w="-109"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0" w:type="dxa"/>
          <w:left w:w="98" w:type="dxa"/>
          <w:bottom w:w="0" w:type="dxa"/>
          <w:right w:w="108" w:type="dxa"/>
        </w:tblCellMar>
      </w:tblPr>
      <w:tblGrid>
        <w:gridCol w:w="995"/>
        <w:gridCol w:w="7861"/>
        <w:gridCol w:w="972"/>
      </w:tblGrid>
      <w:tr>
        <w:trPr>
          <w:trHeight w:val="270" w:hRule="atLeast"/>
        </w:trPr>
        <w:tc>
          <w:tcPr>
            <w:tcW w:w="8856"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rFonts w:cs="Times New Roman CE" w:ascii="Times New Roman CE" w:hAnsi="Times New Roman CE"/>
                <w:b/>
                <w:bCs/>
                <w:sz w:val="20"/>
                <w:szCs w:val="20"/>
                <w:lang w:val="en-US" w:eastAsia="en-US"/>
              </w:rPr>
              <w:t>8. RELEVANŢA SOCIALĂ</w:t>
            </w:r>
          </w:p>
        </w:tc>
        <w:tc>
          <w:tcPr>
            <w:tcW w:w="972" w:type="dxa"/>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2016</w:t>
            </w:r>
          </w:p>
        </w:tc>
      </w:tr>
      <w:tr>
        <w:trPr>
          <w:trHeight w:val="270" w:hRule="atLeast"/>
        </w:trPr>
        <w:tc>
          <w:tcPr>
            <w:tcW w:w="99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 </w:t>
            </w:r>
          </w:p>
        </w:tc>
        <w:tc>
          <w:tcPr>
            <w:tcW w:w="8833" w:type="dxa"/>
            <w:gridSpan w:val="2"/>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lang w:val="fr-FR"/>
              </w:rPr>
            </w:pPr>
            <w:r>
              <w:rPr>
                <w:rFonts w:cs="Times New Roman CE" w:ascii="Times New Roman CE" w:hAnsi="Times New Roman CE"/>
                <w:b/>
                <w:bCs/>
                <w:sz w:val="20"/>
                <w:szCs w:val="20"/>
                <w:lang w:val="fr-FR" w:eastAsia="en-US"/>
              </w:rPr>
              <w:t>8.1. Transfer de cunoştinţe şi activitate didactică</w:t>
            </w:r>
          </w:p>
        </w:tc>
      </w:tr>
      <w:tr>
        <w:trPr>
          <w:trHeight w:val="270" w:hRule="atLeast"/>
        </w:trPr>
        <w:tc>
          <w:tcPr>
            <w:tcW w:w="99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8.1.1.</w:t>
            </w:r>
          </w:p>
        </w:tc>
        <w:tc>
          <w:tcPr>
            <w:tcW w:w="786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Articole în enciclopedii</w:t>
            </w:r>
          </w:p>
        </w:tc>
        <w:tc>
          <w:tcPr>
            <w:tcW w:w="972"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99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8.1.2.</w:t>
            </w:r>
          </w:p>
        </w:tc>
        <w:tc>
          <w:tcPr>
            <w:tcW w:w="786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Dicţionare</w:t>
            </w:r>
          </w:p>
        </w:tc>
        <w:tc>
          <w:tcPr>
            <w:tcW w:w="972"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995" w:type="dxa"/>
            <w:tcBorders>
              <w:left w:val="single" w:sz="8" w:space="0" w:color="000001"/>
              <w:right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8.1.3.</w:t>
            </w:r>
          </w:p>
        </w:tc>
        <w:tc>
          <w:tcPr>
            <w:tcW w:w="786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Manuale pentru învăţământ universitar</w:t>
            </w:r>
          </w:p>
        </w:tc>
        <w:tc>
          <w:tcPr>
            <w:tcW w:w="972"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99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8.1.4.</w:t>
            </w:r>
          </w:p>
        </w:tc>
        <w:tc>
          <w:tcPr>
            <w:tcW w:w="786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Manuale pentru învăţământ preuniversitar</w:t>
            </w:r>
          </w:p>
        </w:tc>
        <w:tc>
          <w:tcPr>
            <w:tcW w:w="972"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99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8.1.5.</w:t>
            </w:r>
          </w:p>
        </w:tc>
        <w:tc>
          <w:tcPr>
            <w:tcW w:w="786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Capitole în manuale de învăţămînt universitar</w:t>
            </w:r>
          </w:p>
        </w:tc>
        <w:tc>
          <w:tcPr>
            <w:tcW w:w="972"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99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8.1.6.</w:t>
            </w:r>
          </w:p>
        </w:tc>
        <w:tc>
          <w:tcPr>
            <w:tcW w:w="786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Capitole în manuale de învăţămînt preuniversitar</w:t>
            </w:r>
          </w:p>
        </w:tc>
        <w:tc>
          <w:tcPr>
            <w:tcW w:w="972"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99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8.1.7.</w:t>
            </w:r>
          </w:p>
        </w:tc>
        <w:tc>
          <w:tcPr>
            <w:tcW w:w="786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Lucrări metodice, note de curs, compendi</w:t>
            </w:r>
            <w:r>
              <w:rPr>
                <w:sz w:val="20"/>
                <w:szCs w:val="20"/>
                <w:lang w:val="fr-FR" w:eastAsia="en-US"/>
              </w:rPr>
              <w:t>umuri</w:t>
            </w:r>
          </w:p>
        </w:tc>
        <w:tc>
          <w:tcPr>
            <w:tcW w:w="972"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99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8.1.8.</w:t>
            </w:r>
          </w:p>
        </w:tc>
        <w:tc>
          <w:tcPr>
            <w:tcW w:w="786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Cursuri elaborate în anul de referinţă</w:t>
            </w:r>
          </w:p>
        </w:tc>
        <w:tc>
          <w:tcPr>
            <w:tcW w:w="972"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3</w:t>
            </w:r>
          </w:p>
        </w:tc>
      </w:tr>
      <w:tr>
        <w:trPr>
          <w:trHeight w:val="270" w:hRule="atLeast"/>
        </w:trPr>
        <w:tc>
          <w:tcPr>
            <w:tcW w:w="99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8.1.9.</w:t>
            </w:r>
          </w:p>
        </w:tc>
        <w:tc>
          <w:tcPr>
            <w:tcW w:w="786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Cursuri ţinute în anul de referinţă</w:t>
            </w:r>
          </w:p>
        </w:tc>
        <w:tc>
          <w:tcPr>
            <w:tcW w:w="972"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16</w:t>
            </w:r>
          </w:p>
        </w:tc>
      </w:tr>
      <w:tr>
        <w:trPr>
          <w:trHeight w:val="270" w:hRule="atLeast"/>
        </w:trPr>
        <w:tc>
          <w:tcPr>
            <w:tcW w:w="99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8.1.10.</w:t>
            </w:r>
          </w:p>
        </w:tc>
        <w:tc>
          <w:tcPr>
            <w:tcW w:w="786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Conducător al persoanelor care au susţinut tezei de licenţă/de masterat</w:t>
            </w:r>
          </w:p>
        </w:tc>
        <w:tc>
          <w:tcPr>
            <w:tcW w:w="972"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3</w:t>
            </w:r>
          </w:p>
        </w:tc>
      </w:tr>
      <w:tr>
        <w:trPr>
          <w:trHeight w:val="270" w:hRule="atLeast"/>
        </w:trPr>
        <w:tc>
          <w:tcPr>
            <w:tcW w:w="99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8.1.11.</w:t>
            </w:r>
          </w:p>
        </w:tc>
        <w:tc>
          <w:tcPr>
            <w:tcW w:w="786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Conducător ştiinţific al persoanelor care au susţinut teza d</w:t>
            </w:r>
            <w:r>
              <w:rPr>
                <w:sz w:val="20"/>
                <w:szCs w:val="20"/>
                <w:lang w:val="en-US" w:eastAsia="en-US"/>
              </w:rPr>
              <w:t>e doctor</w:t>
            </w:r>
          </w:p>
        </w:tc>
        <w:tc>
          <w:tcPr>
            <w:tcW w:w="972"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99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8.1.12.</w:t>
            </w:r>
          </w:p>
        </w:tc>
        <w:tc>
          <w:tcPr>
            <w:tcW w:w="7861"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Consultant ştiinţific al persoanelor care au susţinut teza tezei de doctor</w:t>
            </w:r>
          </w:p>
        </w:tc>
        <w:tc>
          <w:tcPr>
            <w:tcW w:w="972"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99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8.1.13.</w:t>
            </w:r>
          </w:p>
        </w:tc>
        <w:tc>
          <w:tcPr>
            <w:tcW w:w="7861"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Consultant ştiinţific al persoanelor care au susţinut teza de doctor habilitat</w:t>
            </w:r>
          </w:p>
        </w:tc>
        <w:tc>
          <w:tcPr>
            <w:tcW w:w="972"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99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8.1.14.</w:t>
            </w:r>
          </w:p>
        </w:tc>
        <w:tc>
          <w:tcPr>
            <w:tcW w:w="7861" w:type="dxa"/>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Studenţi, masteranzi, care au efectut stagiere practica în c</w:t>
            </w:r>
            <w:r>
              <w:rPr>
                <w:sz w:val="20"/>
                <w:szCs w:val="20"/>
                <w:lang w:val="en-US" w:eastAsia="en-US"/>
              </w:rPr>
              <w:t>adrul subdiviziunii</w:t>
            </w:r>
          </w:p>
        </w:tc>
        <w:tc>
          <w:tcPr>
            <w:tcW w:w="97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r>
      <w:tr>
        <w:trPr>
          <w:trHeight w:val="270" w:hRule="atLeast"/>
        </w:trPr>
        <w:tc>
          <w:tcPr>
            <w:tcW w:w="99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 </w:t>
            </w:r>
          </w:p>
        </w:tc>
        <w:tc>
          <w:tcPr>
            <w:tcW w:w="8833" w:type="dxa"/>
            <w:gridSpan w:val="2"/>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lang w:val="en-US"/>
              </w:rPr>
            </w:pPr>
            <w:r>
              <w:rPr>
                <w:rFonts w:cs="Times New Roman CE" w:ascii="Times New Roman CE" w:hAnsi="Times New Roman CE"/>
                <w:b/>
                <w:bCs/>
                <w:sz w:val="20"/>
                <w:szCs w:val="20"/>
                <w:lang w:val="en-US" w:eastAsia="en-US"/>
              </w:rPr>
              <w:t>8.2. Participări în elaborarea actelor normative şi activităţi de consultanţă</w:t>
            </w:r>
          </w:p>
        </w:tc>
      </w:tr>
      <w:tr>
        <w:trPr>
          <w:trHeight w:val="270" w:hRule="atLeast"/>
        </w:trPr>
        <w:tc>
          <w:tcPr>
            <w:tcW w:w="99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8.2.1.</w:t>
            </w:r>
          </w:p>
        </w:tc>
        <w:tc>
          <w:tcPr>
            <w:tcW w:w="786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Documente de politici elaborate şi aprobate</w:t>
            </w:r>
          </w:p>
        </w:tc>
        <w:tc>
          <w:tcPr>
            <w:tcW w:w="972"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99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8.2.2.</w:t>
            </w:r>
          </w:p>
        </w:tc>
        <w:tc>
          <w:tcPr>
            <w:tcW w:w="786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Acte normative elaborate, inclusiv tratate internaţionale</w:t>
            </w:r>
          </w:p>
        </w:tc>
        <w:tc>
          <w:tcPr>
            <w:tcW w:w="972"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99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8.2.3.</w:t>
            </w:r>
          </w:p>
        </w:tc>
        <w:tc>
          <w:tcPr>
            <w:tcW w:w="786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Avize a proiectelor de l</w:t>
            </w:r>
            <w:r>
              <w:rPr>
                <w:rFonts w:cs="Times New Roman CE" w:ascii="Times New Roman CE" w:hAnsi="Times New Roman CE"/>
                <w:sz w:val="20"/>
                <w:szCs w:val="20"/>
                <w:lang w:val="fr-FR" w:eastAsia="en-US"/>
              </w:rPr>
              <w:t>egi şi alte acte normative</w:t>
            </w:r>
          </w:p>
        </w:tc>
        <w:tc>
          <w:tcPr>
            <w:tcW w:w="972"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525" w:hRule="atLeast"/>
        </w:trPr>
        <w:tc>
          <w:tcPr>
            <w:tcW w:w="99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8.2.4.</w:t>
            </w:r>
          </w:p>
        </w:tc>
        <w:tc>
          <w:tcPr>
            <w:tcW w:w="786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Recomandări metodologice elaborate şi implementate în activitatea autorităţilor publice centrale şi locale</w:t>
            </w:r>
          </w:p>
        </w:tc>
        <w:tc>
          <w:tcPr>
            <w:tcW w:w="972"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525" w:hRule="atLeast"/>
        </w:trPr>
        <w:tc>
          <w:tcPr>
            <w:tcW w:w="99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8.2.5.</w:t>
            </w:r>
          </w:p>
        </w:tc>
        <w:tc>
          <w:tcPr>
            <w:tcW w:w="786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Participării în activitatea comisiilor instituite de preşedinţie, parlament, guvern</w:t>
            </w:r>
          </w:p>
        </w:tc>
        <w:tc>
          <w:tcPr>
            <w:tcW w:w="972"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525" w:hRule="atLeast"/>
        </w:trPr>
        <w:tc>
          <w:tcPr>
            <w:tcW w:w="99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8.2.6.</w:t>
            </w:r>
          </w:p>
        </w:tc>
        <w:tc>
          <w:tcPr>
            <w:tcW w:w="786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Particip</w:t>
            </w:r>
            <w:r>
              <w:rPr>
                <w:rFonts w:cs="Times New Roman CE" w:ascii="Times New Roman CE" w:hAnsi="Times New Roman CE"/>
                <w:sz w:val="20"/>
                <w:szCs w:val="20"/>
                <w:lang w:val="fr-FR" w:eastAsia="en-US"/>
              </w:rPr>
              <w:t>ării în activitatea grupurilor de lucru instituite de ministere, departamente</w:t>
            </w:r>
          </w:p>
        </w:tc>
        <w:tc>
          <w:tcPr>
            <w:tcW w:w="972"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99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fr-FR"/>
              </w:rPr>
            </w:pPr>
            <w:r>
              <w:rPr>
                <w:sz w:val="20"/>
                <w:szCs w:val="20"/>
                <w:lang w:val="fr-FR" w:eastAsia="en-US"/>
              </w:rPr>
              <w:t> </w:t>
            </w:r>
          </w:p>
        </w:tc>
        <w:tc>
          <w:tcPr>
            <w:tcW w:w="8833" w:type="dxa"/>
            <w:gridSpan w:val="2"/>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lang w:val="en-US"/>
              </w:rPr>
            </w:pPr>
            <w:r>
              <w:rPr>
                <w:rFonts w:cs="Times New Roman CE" w:ascii="Times New Roman CE" w:hAnsi="Times New Roman CE"/>
                <w:b/>
                <w:bCs/>
                <w:sz w:val="20"/>
                <w:szCs w:val="20"/>
                <w:lang w:val="en-US" w:eastAsia="en-US"/>
              </w:rPr>
              <w:t>8.3. Diseminarea informaţiei ştiinţifice şi promovarea imaginii ştiinţei</w:t>
            </w:r>
          </w:p>
        </w:tc>
      </w:tr>
      <w:tr>
        <w:trPr>
          <w:trHeight w:val="270" w:hRule="atLeast"/>
        </w:trPr>
        <w:tc>
          <w:tcPr>
            <w:tcW w:w="99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8.3.1.</w:t>
            </w:r>
          </w:p>
        </w:tc>
        <w:tc>
          <w:tcPr>
            <w:tcW w:w="786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Manifestări ştiinţifice internaţionale organizate</w:t>
            </w:r>
          </w:p>
        </w:tc>
        <w:tc>
          <w:tcPr>
            <w:tcW w:w="972"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99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8.3.2.</w:t>
            </w:r>
          </w:p>
        </w:tc>
        <w:tc>
          <w:tcPr>
            <w:tcW w:w="786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Manifestări ştiinţifice naţional</w:t>
            </w:r>
            <w:r>
              <w:rPr>
                <w:sz w:val="20"/>
                <w:szCs w:val="20"/>
                <w:lang w:val="en-US" w:eastAsia="en-US"/>
              </w:rPr>
              <w:t>e organizate</w:t>
            </w:r>
          </w:p>
        </w:tc>
        <w:tc>
          <w:tcPr>
            <w:tcW w:w="972"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99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8.3.3.</w:t>
            </w:r>
          </w:p>
        </w:tc>
        <w:tc>
          <w:tcPr>
            <w:tcW w:w="786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 xml:space="preserve">Cărţi de popularizare a ştiinţei </w:t>
            </w:r>
          </w:p>
        </w:tc>
        <w:tc>
          <w:tcPr>
            <w:tcW w:w="972"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99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8.3.4.</w:t>
            </w:r>
          </w:p>
        </w:tc>
        <w:tc>
          <w:tcPr>
            <w:tcW w:w="786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 xml:space="preserve">Articole de popularizare a ştiinţei </w:t>
            </w:r>
          </w:p>
        </w:tc>
        <w:tc>
          <w:tcPr>
            <w:tcW w:w="972"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99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8.3.5.</w:t>
            </w:r>
          </w:p>
        </w:tc>
        <w:tc>
          <w:tcPr>
            <w:tcW w:w="786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 xml:space="preserve">Participări la emisiuni tele-radio consacrate ştiinţei </w:t>
            </w:r>
          </w:p>
        </w:tc>
        <w:tc>
          <w:tcPr>
            <w:tcW w:w="972"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99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8.3.6.</w:t>
            </w:r>
          </w:p>
        </w:tc>
        <w:tc>
          <w:tcPr>
            <w:tcW w:w="786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Seminare ştiinţifice de profil şi manifestări organizate</w:t>
            </w:r>
          </w:p>
        </w:tc>
        <w:tc>
          <w:tcPr>
            <w:tcW w:w="972"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1</w:t>
            </w:r>
          </w:p>
        </w:tc>
      </w:tr>
    </w:tbl>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2"/>
        <w:keepNext/>
        <w:widowControl/>
        <w:numPr>
          <w:ilvl w:val="0"/>
          <w:numId w:val="0"/>
        </w:numPr>
        <w:bidi w:val="0"/>
        <w:ind w:left="0" w:right="0" w:hanging="0"/>
        <w:jc w:val="left"/>
        <w:textAlignment w:val="auto"/>
        <w:outlineLvl w:val="1"/>
        <w:rPr/>
      </w:pPr>
      <w:bookmarkStart w:id="489" w:name="_Toc469652040"/>
      <w:bookmarkEnd w:id="489"/>
      <w:r>
        <w:rPr>
          <w:i/>
          <w:sz w:val="26"/>
          <w:szCs w:val="26"/>
        </w:rPr>
        <w:t>Anexa V. Forma indicatorilor de activitate a laboratorului Sisteme de Programare</w:t>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tbl>
      <w:tblPr>
        <w:tblW w:w="9781" w:type="dxa"/>
        <w:jc w:val="left"/>
        <w:tblInd w:w="-567" w:type="dxa"/>
        <w:tblBorders/>
        <w:tblCellMar>
          <w:top w:w="0" w:type="dxa"/>
          <w:left w:w="108" w:type="dxa"/>
          <w:bottom w:w="0" w:type="dxa"/>
          <w:right w:w="108" w:type="dxa"/>
        </w:tblCellMar>
      </w:tblPr>
      <w:tblGrid>
        <w:gridCol w:w="931"/>
        <w:gridCol w:w="3939"/>
        <w:gridCol w:w="4911"/>
      </w:tblGrid>
      <w:tr>
        <w:trPr>
          <w:trHeight w:val="240" w:hRule="atLeast"/>
        </w:trPr>
        <w:tc>
          <w:tcPr>
            <w:tcW w:w="9781" w:type="dxa"/>
            <w:gridSpan w:val="3"/>
            <w:tcBorders/>
            <w:shd w:fill="auto" w:val="clear"/>
            <w:vAlign w:val="bottom"/>
          </w:tcPr>
          <w:p>
            <w:pPr>
              <w:pStyle w:val="Normal"/>
              <w:widowControl/>
              <w:bidi w:val="0"/>
              <w:ind w:left="0" w:right="0" w:hanging="0"/>
              <w:jc w:val="center"/>
              <w:textAlignment w:val="auto"/>
              <w:rPr/>
            </w:pPr>
            <w:r>
              <w:rPr>
                <w:b/>
                <w:bCs/>
                <w:sz w:val="22"/>
                <w:szCs w:val="22"/>
              </w:rPr>
              <w:t>1. DATE GENERALE</w:t>
            </w:r>
          </w:p>
        </w:tc>
      </w:tr>
      <w:tr>
        <w:trPr>
          <w:trHeight w:val="255" w:hRule="atLeast"/>
        </w:trPr>
        <w:tc>
          <w:tcPr>
            <w:tcW w:w="931" w:type="dxa"/>
            <w:tcBorders/>
            <w:shd w:fill="auto" w:val="clear"/>
            <w:vAlign w:val="bottom"/>
          </w:tcPr>
          <w:p>
            <w:pPr>
              <w:pStyle w:val="Normal"/>
              <w:widowControl/>
              <w:bidi w:val="0"/>
              <w:ind w:left="0" w:right="0" w:hanging="0"/>
              <w:jc w:val="center"/>
              <w:textAlignment w:val="auto"/>
              <w:rPr>
                <w:rFonts w:ascii="Times New Roman" w:hAnsi="Times New Roman"/>
                <w:b/>
                <w:b/>
                <w:bCs/>
                <w:sz w:val="22"/>
                <w:szCs w:val="22"/>
              </w:rPr>
            </w:pPr>
            <w:r>
              <w:rPr>
                <w:b/>
                <w:bCs/>
                <w:sz w:val="22"/>
                <w:szCs w:val="22"/>
              </w:rPr>
            </w:r>
          </w:p>
        </w:tc>
        <w:tc>
          <w:tcPr>
            <w:tcW w:w="3939" w:type="dxa"/>
            <w:tcBorders/>
            <w:shd w:fill="auto" w:val="clear"/>
            <w:vAlign w:val="bottom"/>
          </w:tcPr>
          <w:p>
            <w:pPr>
              <w:pStyle w:val="Normal"/>
              <w:widowControl/>
              <w:bidi w:val="0"/>
              <w:ind w:left="0" w:right="0" w:hanging="0"/>
              <w:jc w:val="center"/>
              <w:textAlignment w:val="auto"/>
              <w:rPr>
                <w:rFonts w:ascii="Times New Roman" w:hAnsi="Times New Roman"/>
                <w:b/>
                <w:b/>
                <w:bCs/>
                <w:sz w:val="22"/>
                <w:szCs w:val="22"/>
              </w:rPr>
            </w:pPr>
            <w:r>
              <w:rPr>
                <w:b/>
                <w:bCs/>
                <w:sz w:val="22"/>
                <w:szCs w:val="22"/>
              </w:rPr>
            </w:r>
          </w:p>
        </w:tc>
        <w:tc>
          <w:tcPr>
            <w:tcW w:w="4911" w:type="dxa"/>
            <w:tcBorders/>
            <w:shd w:fill="auto" w:val="clear"/>
            <w:vAlign w:val="bottom"/>
          </w:tcPr>
          <w:p>
            <w:pPr>
              <w:pStyle w:val="Normal"/>
              <w:widowControl/>
              <w:bidi w:val="0"/>
              <w:ind w:left="0" w:right="0" w:hanging="0"/>
              <w:jc w:val="center"/>
              <w:textAlignment w:val="auto"/>
              <w:rPr>
                <w:rFonts w:ascii="Times New Roman" w:hAnsi="Times New Roman"/>
                <w:b/>
                <w:b/>
                <w:bCs/>
                <w:sz w:val="22"/>
                <w:szCs w:val="22"/>
              </w:rPr>
            </w:pPr>
            <w:r>
              <w:rPr>
                <w:b/>
                <w:bCs/>
                <w:sz w:val="22"/>
                <w:szCs w:val="22"/>
              </w:rPr>
            </w:r>
          </w:p>
        </w:tc>
      </w:tr>
      <w:tr>
        <w:trPr>
          <w:trHeight w:val="255" w:hRule="atLeast"/>
        </w:trPr>
        <w:tc>
          <w:tcPr>
            <w:tcW w:w="93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pPr>
            <w:r>
              <w:rPr>
                <w:b/>
                <w:bCs/>
                <w:sz w:val="22"/>
                <w:szCs w:val="22"/>
              </w:rPr>
              <w:t>1.1.</w:t>
            </w:r>
          </w:p>
        </w:tc>
        <w:tc>
          <w:tcPr>
            <w:tcW w:w="3939" w:type="dxa"/>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b/>
                <w:bCs/>
                <w:sz w:val="22"/>
                <w:szCs w:val="22"/>
              </w:rPr>
              <w:t>Denumirea subdiviziunii</w:t>
            </w:r>
          </w:p>
        </w:tc>
        <w:tc>
          <w:tcPr>
            <w:tcW w:w="4911" w:type="dxa"/>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sz w:val="22"/>
                <w:szCs w:val="22"/>
              </w:rPr>
              <w:t>Laboratorul ”Sisteme de programare”</w:t>
            </w:r>
          </w:p>
        </w:tc>
      </w:tr>
      <w:tr>
        <w:trPr>
          <w:trHeight w:val="255" w:hRule="atLeast"/>
        </w:trPr>
        <w:tc>
          <w:tcPr>
            <w:tcW w:w="93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pPr>
            <w:r>
              <w:rPr>
                <w:b/>
                <w:bCs/>
                <w:sz w:val="22"/>
                <w:szCs w:val="22"/>
              </w:rPr>
              <w:t>1.2.</w:t>
            </w:r>
          </w:p>
        </w:tc>
        <w:tc>
          <w:tcPr>
            <w:tcW w:w="3939"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rFonts w:cs="Times New Roman CE" w:ascii="Times New Roman CE" w:hAnsi="Times New Roman CE"/>
                <w:b/>
                <w:bCs/>
                <w:sz w:val="22"/>
                <w:szCs w:val="22"/>
              </w:rPr>
              <w:t>Organizaţia</w:t>
            </w:r>
          </w:p>
        </w:tc>
        <w:tc>
          <w:tcPr>
            <w:tcW w:w="491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2"/>
                <w:szCs w:val="22"/>
                <w:lang w:val="fr-FR"/>
              </w:rPr>
              <w:t>Institutul de Matematică şi Informatică</w:t>
            </w:r>
          </w:p>
        </w:tc>
      </w:tr>
      <w:tr>
        <w:trPr>
          <w:trHeight w:val="255" w:hRule="atLeast"/>
        </w:trPr>
        <w:tc>
          <w:tcPr>
            <w:tcW w:w="93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pPr>
            <w:r>
              <w:rPr>
                <w:b/>
                <w:bCs/>
                <w:sz w:val="22"/>
                <w:szCs w:val="22"/>
              </w:rPr>
              <w:t>1.3.</w:t>
            </w:r>
          </w:p>
        </w:tc>
        <w:tc>
          <w:tcPr>
            <w:tcW w:w="8850" w:type="dxa"/>
            <w:gridSpan w:val="2"/>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pPr>
            <w:r>
              <w:rPr>
                <w:rFonts w:cs="Times New Roman CE" w:ascii="Times New Roman CE" w:hAnsi="Times New Roman CE"/>
                <w:b/>
                <w:bCs/>
                <w:sz w:val="22"/>
                <w:szCs w:val="22"/>
              </w:rPr>
              <w:t>Conducătorul subdivizi</w:t>
            </w:r>
            <w:r>
              <w:rPr>
                <w:b/>
                <w:bCs/>
                <w:sz w:val="22"/>
                <w:szCs w:val="22"/>
              </w:rPr>
              <w:t>unii:</w:t>
            </w:r>
          </w:p>
        </w:tc>
      </w:tr>
      <w:tr>
        <w:trPr>
          <w:trHeight w:val="255" w:hRule="atLeast"/>
        </w:trPr>
        <w:tc>
          <w:tcPr>
            <w:tcW w:w="93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22"/>
                <w:szCs w:val="22"/>
              </w:rPr>
              <w:t>1.3.1.</w:t>
            </w:r>
          </w:p>
        </w:tc>
        <w:tc>
          <w:tcPr>
            <w:tcW w:w="3939"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20"/>
              <w:jc w:val="left"/>
              <w:textAlignment w:val="auto"/>
              <w:rPr/>
            </w:pPr>
            <w:r>
              <w:rPr>
                <w:sz w:val="22"/>
                <w:szCs w:val="22"/>
              </w:rPr>
              <w:t>Numele de familie</w:t>
            </w:r>
          </w:p>
        </w:tc>
        <w:tc>
          <w:tcPr>
            <w:tcW w:w="491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sz w:val="22"/>
                <w:szCs w:val="22"/>
              </w:rPr>
              <w:t>Ciubotaru</w:t>
            </w:r>
          </w:p>
        </w:tc>
      </w:tr>
      <w:tr>
        <w:trPr>
          <w:trHeight w:val="255" w:hRule="atLeast"/>
        </w:trPr>
        <w:tc>
          <w:tcPr>
            <w:tcW w:w="93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220"/>
              <w:jc w:val="left"/>
              <w:textAlignment w:val="auto"/>
              <w:rPr/>
            </w:pPr>
            <w:r>
              <w:rPr>
                <w:sz w:val="22"/>
                <w:szCs w:val="22"/>
              </w:rPr>
              <w:t>1.3.2.</w:t>
            </w:r>
          </w:p>
        </w:tc>
        <w:tc>
          <w:tcPr>
            <w:tcW w:w="3939"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20"/>
              <w:jc w:val="left"/>
              <w:textAlignment w:val="auto"/>
              <w:rPr/>
            </w:pPr>
            <w:r>
              <w:rPr>
                <w:sz w:val="22"/>
                <w:szCs w:val="22"/>
              </w:rPr>
              <w:t>Prenumele</w:t>
            </w:r>
          </w:p>
        </w:tc>
        <w:tc>
          <w:tcPr>
            <w:tcW w:w="491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sz w:val="22"/>
                <w:szCs w:val="22"/>
              </w:rPr>
              <w:t>Constantin</w:t>
            </w:r>
          </w:p>
        </w:tc>
      </w:tr>
      <w:tr>
        <w:trPr>
          <w:trHeight w:val="255" w:hRule="atLeast"/>
        </w:trPr>
        <w:tc>
          <w:tcPr>
            <w:tcW w:w="93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220"/>
              <w:jc w:val="left"/>
              <w:textAlignment w:val="auto"/>
              <w:rPr/>
            </w:pPr>
            <w:r>
              <w:rPr>
                <w:sz w:val="22"/>
                <w:szCs w:val="22"/>
              </w:rPr>
              <w:t xml:space="preserve">1.3.3. </w:t>
            </w:r>
          </w:p>
        </w:tc>
        <w:tc>
          <w:tcPr>
            <w:tcW w:w="3939"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20"/>
              <w:jc w:val="left"/>
              <w:textAlignment w:val="auto"/>
              <w:rPr/>
            </w:pPr>
            <w:r>
              <w:rPr>
                <w:rFonts w:cs="Times New Roman CE" w:ascii="Times New Roman CE" w:hAnsi="Times New Roman CE"/>
                <w:sz w:val="22"/>
                <w:szCs w:val="22"/>
              </w:rPr>
              <w:t>Gradul ştiinţific</w:t>
            </w:r>
          </w:p>
        </w:tc>
        <w:tc>
          <w:tcPr>
            <w:tcW w:w="491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rFonts w:cs="Times New Roman CE" w:ascii="Times New Roman CE" w:hAnsi="Times New Roman CE"/>
                <w:sz w:val="22"/>
                <w:szCs w:val="22"/>
              </w:rPr>
              <w:t>Doctor în stiinţă</w:t>
            </w:r>
          </w:p>
        </w:tc>
      </w:tr>
      <w:tr>
        <w:trPr>
          <w:trHeight w:val="255" w:hRule="atLeast"/>
        </w:trPr>
        <w:tc>
          <w:tcPr>
            <w:tcW w:w="93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220"/>
              <w:jc w:val="left"/>
              <w:textAlignment w:val="auto"/>
              <w:rPr/>
            </w:pPr>
            <w:r>
              <w:rPr>
                <w:sz w:val="22"/>
                <w:szCs w:val="22"/>
              </w:rPr>
              <w:t xml:space="preserve">1.3.4. </w:t>
            </w:r>
          </w:p>
        </w:tc>
        <w:tc>
          <w:tcPr>
            <w:tcW w:w="3939"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20"/>
              <w:jc w:val="left"/>
              <w:textAlignment w:val="auto"/>
              <w:rPr/>
            </w:pPr>
            <w:r>
              <w:rPr>
                <w:rFonts w:cs="Times New Roman CE" w:ascii="Times New Roman CE" w:hAnsi="Times New Roman CE"/>
                <w:sz w:val="22"/>
                <w:szCs w:val="22"/>
              </w:rPr>
              <w:t>Titlul ştiinţific/ştiinţifico-didactic</w:t>
            </w:r>
          </w:p>
        </w:tc>
        <w:tc>
          <w:tcPr>
            <w:tcW w:w="491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rFonts w:cs="Times New Roman CE" w:ascii="Times New Roman CE" w:hAnsi="Times New Roman CE"/>
                <w:sz w:val="22"/>
                <w:szCs w:val="22"/>
              </w:rPr>
              <w:t>Conferenţiar universitar</w:t>
            </w:r>
          </w:p>
        </w:tc>
      </w:tr>
      <w:tr>
        <w:trPr>
          <w:trHeight w:val="255" w:hRule="atLeast"/>
        </w:trPr>
        <w:tc>
          <w:tcPr>
            <w:tcW w:w="93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220"/>
              <w:jc w:val="left"/>
              <w:textAlignment w:val="auto"/>
              <w:rPr/>
            </w:pPr>
            <w:r>
              <w:rPr>
                <w:sz w:val="22"/>
                <w:szCs w:val="22"/>
              </w:rPr>
              <w:t>1.3.5.</w:t>
            </w:r>
          </w:p>
        </w:tc>
        <w:tc>
          <w:tcPr>
            <w:tcW w:w="3939"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20"/>
              <w:jc w:val="left"/>
              <w:textAlignment w:val="auto"/>
              <w:rPr/>
            </w:pPr>
            <w:r>
              <w:rPr>
                <w:sz w:val="22"/>
                <w:szCs w:val="22"/>
              </w:rPr>
              <w:t>Titlul academic</w:t>
            </w:r>
          </w:p>
        </w:tc>
        <w:tc>
          <w:tcPr>
            <w:tcW w:w="491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sz w:val="22"/>
                <w:szCs w:val="22"/>
              </w:rPr>
              <w:t> </w:t>
            </w:r>
          </w:p>
        </w:tc>
      </w:tr>
      <w:tr>
        <w:trPr>
          <w:trHeight w:val="255" w:hRule="atLeast"/>
        </w:trPr>
        <w:tc>
          <w:tcPr>
            <w:tcW w:w="93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pPr>
            <w:r>
              <w:rPr>
                <w:b/>
                <w:bCs/>
                <w:sz w:val="22"/>
                <w:szCs w:val="22"/>
              </w:rPr>
              <w:t>1.4.</w:t>
            </w:r>
          </w:p>
        </w:tc>
        <w:tc>
          <w:tcPr>
            <w:tcW w:w="3939"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rFonts w:cs="Times New Roman CE" w:ascii="Times New Roman CE" w:hAnsi="Times New Roman CE"/>
                <w:b/>
                <w:bCs/>
                <w:sz w:val="22"/>
                <w:szCs w:val="22"/>
              </w:rPr>
              <w:t>Anul creării</w:t>
            </w:r>
          </w:p>
        </w:tc>
        <w:tc>
          <w:tcPr>
            <w:tcW w:w="4911" w:type="dxa"/>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left"/>
              <w:textAlignment w:val="auto"/>
              <w:rPr/>
            </w:pPr>
            <w:r>
              <w:rPr>
                <w:sz w:val="22"/>
                <w:szCs w:val="22"/>
              </w:rPr>
              <w:t>1978</w:t>
            </w:r>
          </w:p>
        </w:tc>
      </w:tr>
      <w:tr>
        <w:trPr>
          <w:trHeight w:val="255" w:hRule="atLeast"/>
        </w:trPr>
        <w:tc>
          <w:tcPr>
            <w:tcW w:w="93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pPr>
            <w:r>
              <w:rPr>
                <w:b/>
                <w:bCs/>
                <w:sz w:val="22"/>
                <w:szCs w:val="22"/>
              </w:rPr>
              <w:t xml:space="preserve">1.5. </w:t>
            </w:r>
          </w:p>
        </w:tc>
        <w:tc>
          <w:tcPr>
            <w:tcW w:w="8850" w:type="dxa"/>
            <w:gridSpan w:val="2"/>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pPr>
            <w:r>
              <w:rPr>
                <w:b/>
                <w:bCs/>
                <w:sz w:val="22"/>
                <w:szCs w:val="22"/>
              </w:rPr>
              <w:t>Date de contact:</w:t>
            </w:r>
          </w:p>
        </w:tc>
      </w:tr>
      <w:tr>
        <w:trPr>
          <w:trHeight w:val="255" w:hRule="atLeast"/>
        </w:trPr>
        <w:tc>
          <w:tcPr>
            <w:tcW w:w="93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220"/>
              <w:jc w:val="left"/>
              <w:textAlignment w:val="auto"/>
              <w:rPr/>
            </w:pPr>
            <w:r>
              <w:rPr>
                <w:sz w:val="22"/>
                <w:szCs w:val="22"/>
              </w:rPr>
              <w:t>1.5.1.</w:t>
            </w:r>
          </w:p>
        </w:tc>
        <w:tc>
          <w:tcPr>
            <w:tcW w:w="3939"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20"/>
              <w:jc w:val="left"/>
              <w:textAlignment w:val="auto"/>
              <w:rPr/>
            </w:pPr>
            <w:r>
              <w:rPr>
                <w:sz w:val="22"/>
                <w:szCs w:val="22"/>
              </w:rPr>
              <w:t>Telefon</w:t>
            </w:r>
          </w:p>
        </w:tc>
        <w:tc>
          <w:tcPr>
            <w:tcW w:w="491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ro-RO"/>
              </w:rPr>
            </w:pPr>
            <w:r>
              <w:rPr>
                <w:sz w:val="22"/>
                <w:szCs w:val="22"/>
                <w:lang w:val="ro-RO"/>
              </w:rPr>
              <w:t xml:space="preserve">022 </w:t>
            </w:r>
            <w:r>
              <w:rPr>
                <w:sz w:val="22"/>
                <w:szCs w:val="22"/>
              </w:rPr>
              <w:t>73 80 73</w:t>
            </w:r>
          </w:p>
        </w:tc>
      </w:tr>
      <w:tr>
        <w:trPr>
          <w:trHeight w:val="255" w:hRule="atLeast"/>
        </w:trPr>
        <w:tc>
          <w:tcPr>
            <w:tcW w:w="93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220"/>
              <w:jc w:val="left"/>
              <w:textAlignment w:val="auto"/>
              <w:rPr/>
            </w:pPr>
            <w:r>
              <w:rPr>
                <w:sz w:val="22"/>
                <w:szCs w:val="22"/>
              </w:rPr>
              <w:t>1.5.2.</w:t>
            </w:r>
          </w:p>
        </w:tc>
        <w:tc>
          <w:tcPr>
            <w:tcW w:w="3939"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20"/>
              <w:jc w:val="left"/>
              <w:textAlignment w:val="auto"/>
              <w:rPr/>
            </w:pPr>
            <w:r>
              <w:rPr>
                <w:sz w:val="22"/>
                <w:szCs w:val="22"/>
              </w:rPr>
              <w:t>Fax</w:t>
            </w:r>
          </w:p>
        </w:tc>
        <w:tc>
          <w:tcPr>
            <w:tcW w:w="491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ro-RO"/>
              </w:rPr>
            </w:pPr>
            <w:r>
              <w:rPr>
                <w:sz w:val="22"/>
                <w:szCs w:val="22"/>
                <w:lang w:val="ro-RO"/>
              </w:rPr>
              <w:t xml:space="preserve">022 </w:t>
            </w:r>
            <w:r>
              <w:rPr>
                <w:sz w:val="22"/>
                <w:szCs w:val="22"/>
              </w:rPr>
              <w:t>73 80 27</w:t>
            </w:r>
          </w:p>
        </w:tc>
      </w:tr>
      <w:tr>
        <w:trPr>
          <w:trHeight w:val="255" w:hRule="atLeast"/>
        </w:trPr>
        <w:tc>
          <w:tcPr>
            <w:tcW w:w="93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220"/>
              <w:jc w:val="left"/>
              <w:textAlignment w:val="auto"/>
              <w:rPr/>
            </w:pPr>
            <w:r>
              <w:rPr>
                <w:sz w:val="22"/>
                <w:szCs w:val="22"/>
              </w:rPr>
              <w:t>1.5.3.</w:t>
            </w:r>
          </w:p>
        </w:tc>
        <w:tc>
          <w:tcPr>
            <w:tcW w:w="3939"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20"/>
              <w:jc w:val="left"/>
              <w:textAlignment w:val="auto"/>
              <w:rPr/>
            </w:pPr>
            <w:r>
              <w:rPr>
                <w:sz w:val="22"/>
                <w:szCs w:val="22"/>
              </w:rPr>
              <w:t xml:space="preserve">E-mail </w:t>
            </w:r>
          </w:p>
        </w:tc>
        <w:tc>
          <w:tcPr>
            <w:tcW w:w="491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sz w:val="22"/>
                <w:szCs w:val="22"/>
              </w:rPr>
              <w:t>chebotar@math.md</w:t>
            </w:r>
          </w:p>
        </w:tc>
      </w:tr>
      <w:tr>
        <w:trPr>
          <w:trHeight w:val="255" w:hRule="atLeast"/>
        </w:trPr>
        <w:tc>
          <w:tcPr>
            <w:tcW w:w="93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220"/>
              <w:jc w:val="left"/>
              <w:textAlignment w:val="auto"/>
              <w:rPr/>
            </w:pPr>
            <w:r>
              <w:rPr>
                <w:sz w:val="22"/>
                <w:szCs w:val="22"/>
              </w:rPr>
              <w:t>1.5.4.</w:t>
            </w:r>
          </w:p>
        </w:tc>
        <w:tc>
          <w:tcPr>
            <w:tcW w:w="3939"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20"/>
              <w:jc w:val="left"/>
              <w:textAlignment w:val="auto"/>
              <w:rPr/>
            </w:pPr>
            <w:r>
              <w:rPr>
                <w:sz w:val="22"/>
                <w:szCs w:val="22"/>
              </w:rPr>
              <w:t>Pagina WEB a subdiviziunii</w:t>
            </w:r>
          </w:p>
        </w:tc>
        <w:tc>
          <w:tcPr>
            <w:tcW w:w="491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sz w:val="22"/>
                <w:szCs w:val="22"/>
              </w:rPr>
              <w:t>http://www.math.md/structure</w:t>
            </w:r>
          </w:p>
        </w:tc>
      </w:tr>
      <w:tr>
        <w:trPr>
          <w:trHeight w:val="255" w:hRule="atLeast"/>
        </w:trPr>
        <w:tc>
          <w:tcPr>
            <w:tcW w:w="931" w:type="dxa"/>
            <w:tcBorders>
              <w:left w:val="single" w:sz="8" w:space="0" w:color="000001"/>
              <w:right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pPr>
            <w:r>
              <w:rPr>
                <w:b/>
                <w:bCs/>
                <w:sz w:val="22"/>
                <w:szCs w:val="22"/>
              </w:rPr>
              <w:t>1.6.</w:t>
            </w:r>
          </w:p>
        </w:tc>
        <w:tc>
          <w:tcPr>
            <w:tcW w:w="8850" w:type="dxa"/>
            <w:gridSpan w:val="2"/>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lang w:val="fr-FR"/>
              </w:rPr>
            </w:pPr>
            <w:r>
              <w:rPr>
                <w:rFonts w:cs="Times New Roman CE" w:ascii="Times New Roman CE" w:hAnsi="Times New Roman CE"/>
                <w:b/>
                <w:bCs/>
                <w:sz w:val="22"/>
                <w:szCs w:val="22"/>
                <w:lang w:val="fr-FR"/>
              </w:rPr>
              <w:t>Persoana responsabilă de completarea formularului:</w:t>
            </w:r>
          </w:p>
        </w:tc>
      </w:tr>
      <w:tr>
        <w:trPr>
          <w:trHeight w:val="255" w:hRule="atLeast"/>
        </w:trPr>
        <w:tc>
          <w:tcPr>
            <w:tcW w:w="931" w:type="dxa"/>
            <w:tcBorders>
              <w:top w:val="single" w:sz="8" w:space="0" w:color="000001"/>
              <w:left w:val="single" w:sz="8" w:space="0" w:color="000001"/>
              <w:right w:val="single" w:sz="8" w:space="0" w:color="000001"/>
              <w:insideV w:val="single" w:sz="8" w:space="0" w:color="000001"/>
            </w:tcBorders>
            <w:shd w:fill="auto" w:val="clear"/>
            <w:tcMar>
              <w:left w:w="98" w:type="dxa"/>
            </w:tcMar>
            <w:vAlign w:val="bottom"/>
          </w:tcPr>
          <w:p>
            <w:pPr>
              <w:pStyle w:val="Normal"/>
              <w:widowControl/>
              <w:bidi w:val="0"/>
              <w:ind w:left="0" w:right="0" w:firstLine="220"/>
              <w:jc w:val="left"/>
              <w:textAlignment w:val="auto"/>
              <w:rPr/>
            </w:pPr>
            <w:r>
              <w:rPr>
                <w:sz w:val="22"/>
                <w:szCs w:val="22"/>
              </w:rPr>
              <w:t>1.6.1.</w:t>
            </w:r>
          </w:p>
        </w:tc>
        <w:tc>
          <w:tcPr>
            <w:tcW w:w="3939"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20"/>
              <w:jc w:val="left"/>
              <w:textAlignment w:val="auto"/>
              <w:rPr/>
            </w:pPr>
            <w:r>
              <w:rPr>
                <w:sz w:val="22"/>
                <w:szCs w:val="22"/>
              </w:rPr>
              <w:t xml:space="preserve">Numele, prenumele </w:t>
            </w:r>
          </w:p>
        </w:tc>
        <w:tc>
          <w:tcPr>
            <w:tcW w:w="491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sz w:val="22"/>
                <w:szCs w:val="22"/>
              </w:rPr>
              <w:t>Ciubotaru Constantin</w:t>
            </w:r>
          </w:p>
        </w:tc>
      </w:tr>
      <w:tr>
        <w:trPr>
          <w:trHeight w:val="255" w:hRule="atLeast"/>
        </w:trPr>
        <w:tc>
          <w:tcPr>
            <w:tcW w:w="93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220"/>
              <w:jc w:val="left"/>
              <w:textAlignment w:val="auto"/>
              <w:rPr/>
            </w:pPr>
            <w:r>
              <w:rPr>
                <w:sz w:val="22"/>
                <w:szCs w:val="22"/>
              </w:rPr>
              <w:t>1.6.2.</w:t>
            </w:r>
          </w:p>
        </w:tc>
        <w:tc>
          <w:tcPr>
            <w:tcW w:w="3939"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20"/>
              <w:jc w:val="left"/>
              <w:textAlignment w:val="auto"/>
              <w:rPr/>
            </w:pPr>
            <w:r>
              <w:rPr>
                <w:sz w:val="22"/>
                <w:szCs w:val="22"/>
              </w:rPr>
              <w:t xml:space="preserve">Telefon </w:t>
            </w:r>
          </w:p>
        </w:tc>
        <w:tc>
          <w:tcPr>
            <w:tcW w:w="491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ro-RO"/>
              </w:rPr>
            </w:pPr>
            <w:r>
              <w:rPr>
                <w:sz w:val="22"/>
                <w:szCs w:val="22"/>
                <w:lang w:val="ro-RO"/>
              </w:rPr>
              <w:t xml:space="preserve">022 </w:t>
            </w:r>
            <w:r>
              <w:rPr>
                <w:sz w:val="22"/>
                <w:szCs w:val="22"/>
              </w:rPr>
              <w:t>73 80 73</w:t>
            </w:r>
          </w:p>
        </w:tc>
      </w:tr>
      <w:tr>
        <w:trPr>
          <w:trHeight w:val="255" w:hRule="atLeast"/>
        </w:trPr>
        <w:tc>
          <w:tcPr>
            <w:tcW w:w="93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firstLine="220"/>
              <w:jc w:val="left"/>
              <w:textAlignment w:val="auto"/>
              <w:rPr/>
            </w:pPr>
            <w:r>
              <w:rPr>
                <w:sz w:val="22"/>
                <w:szCs w:val="22"/>
              </w:rPr>
              <w:t>1.6.3.</w:t>
            </w:r>
          </w:p>
        </w:tc>
        <w:tc>
          <w:tcPr>
            <w:tcW w:w="3939"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firstLine="220"/>
              <w:jc w:val="left"/>
              <w:textAlignment w:val="auto"/>
              <w:rPr/>
            </w:pPr>
            <w:r>
              <w:rPr>
                <w:sz w:val="22"/>
                <w:szCs w:val="22"/>
              </w:rPr>
              <w:t xml:space="preserve">E-mail </w:t>
            </w:r>
          </w:p>
        </w:tc>
        <w:tc>
          <w:tcPr>
            <w:tcW w:w="491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sz w:val="22"/>
                <w:szCs w:val="22"/>
              </w:rPr>
              <w:t>chebotar@math.md</w:t>
            </w:r>
          </w:p>
        </w:tc>
      </w:tr>
    </w:tbl>
    <w:p>
      <w:pPr>
        <w:pStyle w:val="Normal"/>
        <w:widowControl/>
        <w:tabs>
          <w:tab w:val="left" w:pos="4215" w:leader="none"/>
        </w:tabs>
        <w:bidi w:val="0"/>
        <w:ind w:left="0" w:right="0" w:hanging="0"/>
        <w:jc w:val="left"/>
        <w:textAlignment w:val="auto"/>
        <w:rPr>
          <w:rFonts w:ascii="Times New Roman" w:hAnsi="Times New Roman"/>
        </w:rPr>
      </w:pPr>
      <w:r>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tbl>
      <w:tblPr>
        <w:tblW w:w="9883" w:type="dxa"/>
        <w:jc w:val="left"/>
        <w:tblInd w:w="-109" w:type="dxa"/>
        <w:tblBorders>
          <w:top w:val="single" w:sz="8" w:space="0" w:color="000001"/>
          <w:left w:val="single" w:sz="8" w:space="0" w:color="000001"/>
          <w:bottom w:val="single" w:sz="8" w:space="0" w:color="000001"/>
          <w:insideH w:val="single" w:sz="8" w:space="0" w:color="000001"/>
        </w:tblBorders>
        <w:tblCellMar>
          <w:top w:w="0" w:type="dxa"/>
          <w:left w:w="98" w:type="dxa"/>
          <w:bottom w:w="0" w:type="dxa"/>
          <w:right w:w="108" w:type="dxa"/>
        </w:tblCellMar>
      </w:tblPr>
      <w:tblGrid>
        <w:gridCol w:w="1069"/>
        <w:gridCol w:w="4500"/>
        <w:gridCol w:w="2202"/>
        <w:gridCol w:w="2111"/>
      </w:tblGrid>
      <w:tr>
        <w:trPr>
          <w:trHeight w:val="306" w:hRule="atLeast"/>
        </w:trPr>
        <w:tc>
          <w:tcPr>
            <w:tcW w:w="7771" w:type="dxa"/>
            <w:gridSpan w:val="3"/>
            <w:tcBorders>
              <w:top w:val="single" w:sz="8" w:space="0" w:color="000001"/>
              <w:left w:val="single" w:sz="8" w:space="0" w:color="000001"/>
              <w:bottom w:val="single" w:sz="8" w:space="0" w:color="000001"/>
              <w:insideH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b/>
                <w:bCs/>
                <w:lang w:val="fr-FR"/>
              </w:rPr>
              <w:t>2.1. CADRUL TEMATIC DE CERCETARE PE ANUL 2016</w:t>
            </w:r>
          </w:p>
        </w:tc>
        <w:tc>
          <w:tcPr>
            <w:tcW w:w="2111" w:type="dxa"/>
            <w:tcBorders>
              <w:top w:val="single" w:sz="8" w:space="0" w:color="000001"/>
              <w:right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lang w:val="fr-FR"/>
              </w:rPr>
              <w:t> </w:t>
            </w:r>
          </w:p>
        </w:tc>
      </w:tr>
      <w:tr>
        <w:trPr>
          <w:trHeight w:val="528" w:hRule="atLeast"/>
        </w:trPr>
        <w:tc>
          <w:tcPr>
            <w:tcW w:w="1069" w:type="dxa"/>
            <w:vMerge w:val="restart"/>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pPr>
            <w:r>
              <w:rPr>
                <w:b/>
                <w:bCs/>
              </w:rPr>
              <w:t>Nr. d/o</w:t>
            </w:r>
          </w:p>
        </w:tc>
        <w:tc>
          <w:tcPr>
            <w:tcW w:w="4500" w:type="dxa"/>
            <w:vMerge w:val="restart"/>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center"/>
              <w:textAlignment w:val="auto"/>
              <w:rPr/>
            </w:pPr>
            <w:r>
              <w:rPr>
                <w:b/>
                <w:bCs/>
              </w:rPr>
              <w:t> </w:t>
            </w:r>
          </w:p>
        </w:tc>
        <w:tc>
          <w:tcPr>
            <w:tcW w:w="4313" w:type="dxa"/>
            <w:gridSpan w:val="2"/>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pPr>
            <w:r>
              <w:rPr>
                <w:rFonts w:cs="Times New Roman CE" w:ascii="Times New Roman CE" w:hAnsi="Times New Roman CE"/>
                <w:b/>
                <w:bCs/>
              </w:rPr>
              <w:t>Numărul de proiecte</w:t>
            </w:r>
          </w:p>
        </w:tc>
      </w:tr>
      <w:tr>
        <w:trPr>
          <w:trHeight w:val="348" w:hRule="atLeast"/>
        </w:trPr>
        <w:tc>
          <w:tcPr>
            <w:tcW w:w="1069" w:type="dxa"/>
            <w:vMerge w:val="continue"/>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b/>
                <w:b/>
                <w:bCs/>
              </w:rPr>
            </w:pPr>
            <w:r>
              <w:rPr>
                <w:b/>
                <w:bCs/>
              </w:rPr>
            </w:r>
          </w:p>
        </w:tc>
        <w:tc>
          <w:tcPr>
            <w:tcW w:w="4500" w:type="dxa"/>
            <w:vMerge w:val="continue"/>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b/>
                <w:b/>
                <w:bCs/>
              </w:rPr>
            </w:pPr>
            <w:r>
              <w:rPr>
                <w:b/>
                <w:bCs/>
              </w:rPr>
            </w:r>
          </w:p>
        </w:tc>
        <w:tc>
          <w:tcPr>
            <w:tcW w:w="2202" w:type="dxa"/>
            <w:tcBorders>
              <w:bottom w:val="single" w:sz="8" w:space="0" w:color="000001"/>
              <w:insideH w:val="single" w:sz="8" w:space="0" w:color="000001"/>
            </w:tcBorders>
            <w:shd w:fill="auto" w:val="clear"/>
            <w:vAlign w:val="center"/>
          </w:tcPr>
          <w:p>
            <w:pPr>
              <w:pStyle w:val="Normal"/>
              <w:widowControl/>
              <w:bidi w:val="0"/>
              <w:ind w:left="0" w:right="0" w:hanging="0"/>
              <w:jc w:val="center"/>
              <w:textAlignment w:val="auto"/>
              <w:rPr/>
            </w:pPr>
            <w:r>
              <w:rPr>
                <w:b/>
                <w:bCs/>
              </w:rPr>
              <w:t>fundamentale</w:t>
            </w:r>
          </w:p>
        </w:tc>
        <w:tc>
          <w:tcPr>
            <w:tcW w:w="211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pPr>
            <w:r>
              <w:rPr>
                <w:b/>
                <w:bCs/>
              </w:rPr>
              <w:t>aplicative</w:t>
            </w:r>
          </w:p>
        </w:tc>
      </w:tr>
      <w:tr>
        <w:trPr>
          <w:trHeight w:val="306" w:hRule="atLeast"/>
        </w:trPr>
        <w:tc>
          <w:tcPr>
            <w:tcW w:w="106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b/>
                <w:bCs/>
              </w:rPr>
              <w:t>2.1.</w:t>
            </w:r>
          </w:p>
        </w:tc>
        <w:tc>
          <w:tcPr>
            <w:tcW w:w="4500"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b/>
                <w:bCs/>
              </w:rPr>
              <w:t xml:space="preserve">TOTAL </w:t>
            </w:r>
          </w:p>
        </w:tc>
        <w:tc>
          <w:tcPr>
            <w:tcW w:w="2202" w:type="dxa"/>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ro-RO"/>
              </w:rPr>
            </w:pPr>
            <w:r>
              <w:rPr>
                <w:b/>
                <w:bCs/>
                <w:lang w:val="ro-RO"/>
              </w:rPr>
              <w:t>1</w:t>
            </w:r>
          </w:p>
        </w:tc>
        <w:tc>
          <w:tcPr>
            <w:tcW w:w="2111" w:type="dxa"/>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b/>
                <w:bCs/>
                <w:lang w:val="en-US"/>
              </w:rPr>
              <w:t>3</w:t>
            </w:r>
          </w:p>
        </w:tc>
      </w:tr>
      <w:tr>
        <w:trPr>
          <w:trHeight w:val="306" w:hRule="atLeast"/>
        </w:trPr>
        <w:tc>
          <w:tcPr>
            <w:tcW w:w="106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b/>
                <w:bCs/>
              </w:rPr>
              <w:t>2.1.1.</w:t>
            </w:r>
          </w:p>
        </w:tc>
        <w:tc>
          <w:tcPr>
            <w:tcW w:w="4500"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rFonts w:cs="Times New Roman CE" w:ascii="Times New Roman CE" w:hAnsi="Times New Roman CE"/>
                <w:b/>
                <w:bCs/>
              </w:rPr>
              <w:t>Cercetări ştiinţifice, to</w:t>
            </w:r>
            <w:r>
              <w:rPr>
                <w:b/>
                <w:bCs/>
              </w:rPr>
              <w:t>tal</w:t>
            </w:r>
          </w:p>
        </w:tc>
        <w:tc>
          <w:tcPr>
            <w:tcW w:w="2202" w:type="dxa"/>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ro-RO"/>
              </w:rPr>
            </w:pPr>
            <w:r>
              <w:rPr>
                <w:b/>
                <w:bCs/>
                <w:lang w:val="ro-RO"/>
              </w:rPr>
              <w:t>1</w:t>
            </w:r>
          </w:p>
        </w:tc>
        <w:tc>
          <w:tcPr>
            <w:tcW w:w="2111" w:type="dxa"/>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b/>
                <w:bCs/>
                <w:lang w:val="en-US"/>
              </w:rPr>
              <w:t>2</w:t>
            </w:r>
          </w:p>
        </w:tc>
      </w:tr>
      <w:tr>
        <w:trPr>
          <w:trHeight w:val="306" w:hRule="atLeast"/>
        </w:trPr>
        <w:tc>
          <w:tcPr>
            <w:tcW w:w="106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 </w:t>
            </w:r>
          </w:p>
        </w:tc>
        <w:tc>
          <w:tcPr>
            <w:tcW w:w="4500"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 xml:space="preserve">Inclusiv </w:t>
            </w:r>
          </w:p>
        </w:tc>
        <w:tc>
          <w:tcPr>
            <w:tcW w:w="2202" w:type="dxa"/>
            <w:tcBorders>
              <w:bottom w:val="single" w:sz="8" w:space="0" w:color="000001"/>
              <w:insideH w:val="single" w:sz="8" w:space="0" w:color="000001"/>
            </w:tcBorders>
            <w:shd w:color="auto" w:fill="C0C0C0"/>
          </w:tcPr>
          <w:p>
            <w:pPr>
              <w:pStyle w:val="Normal"/>
              <w:widowControl/>
              <w:bidi w:val="0"/>
              <w:ind w:left="0" w:right="0" w:hanging="0"/>
              <w:jc w:val="center"/>
              <w:textAlignment w:val="auto"/>
              <w:rPr/>
            </w:pPr>
            <w:r>
              <w:rPr>
                <w:b/>
                <w:bCs/>
              </w:rPr>
              <w:t> </w:t>
            </w:r>
          </w:p>
        </w:tc>
        <w:tc>
          <w:tcPr>
            <w:tcW w:w="2111" w:type="dxa"/>
            <w:tcBorders>
              <w:left w:val="single" w:sz="8" w:space="0" w:color="000001"/>
              <w:bottom w:val="single" w:sz="8" w:space="0" w:color="000001"/>
              <w:right w:val="single" w:sz="8" w:space="0" w:color="000001"/>
              <w:insideH w:val="single" w:sz="8" w:space="0" w:color="000001"/>
              <w:insideV w:val="single" w:sz="8" w:space="0" w:color="000001"/>
            </w:tcBorders>
            <w:shd w:color="auto" w:fill="C0C0C0"/>
            <w:tcMar>
              <w:left w:w="98" w:type="dxa"/>
            </w:tcMar>
          </w:tcPr>
          <w:p>
            <w:pPr>
              <w:pStyle w:val="Normal"/>
              <w:widowControl/>
              <w:bidi w:val="0"/>
              <w:ind w:left="0" w:right="0" w:hanging="0"/>
              <w:jc w:val="center"/>
              <w:textAlignment w:val="auto"/>
              <w:rPr/>
            </w:pPr>
            <w:r>
              <w:rPr>
                <w:b/>
                <w:bCs/>
              </w:rPr>
              <w:t> </w:t>
            </w:r>
          </w:p>
        </w:tc>
      </w:tr>
      <w:tr>
        <w:trPr>
          <w:trHeight w:val="292" w:hRule="atLeast"/>
        </w:trPr>
        <w:tc>
          <w:tcPr>
            <w:tcW w:w="106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2.1.1.1.</w:t>
            </w:r>
          </w:p>
        </w:tc>
        <w:tc>
          <w:tcPr>
            <w:tcW w:w="4500"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rFonts w:cs="Times New Roman CE" w:ascii="Times New Roman CE" w:hAnsi="Times New Roman CE"/>
              </w:rPr>
              <w:t>Proiecte de cercetări instituţionale</w:t>
            </w:r>
          </w:p>
        </w:tc>
        <w:tc>
          <w:tcPr>
            <w:tcW w:w="2202"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 </w:t>
            </w:r>
          </w:p>
        </w:tc>
        <w:tc>
          <w:tcPr>
            <w:tcW w:w="2111"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1</w:t>
            </w:r>
          </w:p>
        </w:tc>
      </w:tr>
      <w:tr>
        <w:trPr>
          <w:trHeight w:val="292" w:hRule="atLeast"/>
        </w:trPr>
        <w:tc>
          <w:tcPr>
            <w:tcW w:w="106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2.1.1.2.</w:t>
            </w:r>
          </w:p>
        </w:tc>
        <w:tc>
          <w:tcPr>
            <w:tcW w:w="4500"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fr-FR"/>
              </w:rPr>
            </w:pPr>
            <w:r>
              <w:rPr>
                <w:lang w:val="fr-FR"/>
              </w:rPr>
              <w:t>Proiecte din cadrul programelor de stat</w:t>
            </w:r>
          </w:p>
        </w:tc>
        <w:tc>
          <w:tcPr>
            <w:tcW w:w="2202"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fr-FR"/>
              </w:rPr>
            </w:pPr>
            <w:r>
              <w:rPr>
                <w:lang w:val="fr-FR"/>
              </w:rPr>
              <w:t> </w:t>
            </w:r>
          </w:p>
        </w:tc>
        <w:tc>
          <w:tcPr>
            <w:tcW w:w="2111"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fr-FR"/>
              </w:rPr>
            </w:pPr>
            <w:r>
              <w:rPr>
                <w:lang w:val="fr-FR"/>
              </w:rPr>
              <w:t> </w:t>
            </w:r>
            <w:r>
              <w:rPr>
                <w:lang w:val="en-US"/>
              </w:rPr>
              <w:t>1</w:t>
            </w:r>
          </w:p>
        </w:tc>
      </w:tr>
      <w:tr>
        <w:trPr>
          <w:trHeight w:val="292" w:hRule="atLeast"/>
        </w:trPr>
        <w:tc>
          <w:tcPr>
            <w:tcW w:w="106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2.1.1.3.</w:t>
            </w:r>
          </w:p>
        </w:tc>
        <w:tc>
          <w:tcPr>
            <w:tcW w:w="4500"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rFonts w:cs="Times New Roman CE" w:ascii="Times New Roman CE" w:hAnsi="Times New Roman CE"/>
              </w:rPr>
              <w:t>Proiecte pentru tineri cercetători</w:t>
            </w:r>
          </w:p>
        </w:tc>
        <w:tc>
          <w:tcPr>
            <w:tcW w:w="2202"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 </w:t>
            </w:r>
          </w:p>
        </w:tc>
        <w:tc>
          <w:tcPr>
            <w:tcW w:w="2111"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 </w:t>
            </w:r>
          </w:p>
        </w:tc>
      </w:tr>
      <w:tr>
        <w:trPr>
          <w:trHeight w:val="292" w:hRule="atLeast"/>
        </w:trPr>
        <w:tc>
          <w:tcPr>
            <w:tcW w:w="106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2.1.1.4.</w:t>
            </w:r>
          </w:p>
        </w:tc>
        <w:tc>
          <w:tcPr>
            <w:tcW w:w="4500"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t>Proiecte pentru procurarea echipamentului</w:t>
            </w:r>
          </w:p>
        </w:tc>
        <w:tc>
          <w:tcPr>
            <w:tcW w:w="2202"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 </w:t>
            </w:r>
          </w:p>
        </w:tc>
        <w:tc>
          <w:tcPr>
            <w:tcW w:w="2111"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 </w:t>
            </w:r>
          </w:p>
        </w:tc>
      </w:tr>
      <w:tr>
        <w:trPr>
          <w:trHeight w:val="306" w:hRule="atLeast"/>
        </w:trPr>
        <w:tc>
          <w:tcPr>
            <w:tcW w:w="106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2.1.2.</w:t>
            </w:r>
          </w:p>
        </w:tc>
        <w:tc>
          <w:tcPr>
            <w:tcW w:w="4500"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b/>
                <w:bCs/>
              </w:rPr>
              <w:t>Proiecte/gra</w:t>
            </w:r>
            <w:r>
              <w:rPr>
                <w:rFonts w:cs="Times New Roman CE" w:ascii="Times New Roman CE" w:hAnsi="Times New Roman CE"/>
                <w:b/>
                <w:bCs/>
              </w:rPr>
              <w:t>nturi internaţionale</w:t>
            </w:r>
          </w:p>
        </w:tc>
        <w:tc>
          <w:tcPr>
            <w:tcW w:w="2202" w:type="dxa"/>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ro-RO"/>
              </w:rPr>
            </w:pPr>
            <w:r>
              <w:rPr>
                <w:b/>
                <w:bCs/>
                <w:lang w:val="ro-RO"/>
              </w:rPr>
              <w:t>1</w:t>
            </w:r>
          </w:p>
        </w:tc>
        <w:tc>
          <w:tcPr>
            <w:tcW w:w="2111" w:type="dxa"/>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b/>
                <w:bCs/>
                <w:lang w:val="en-US"/>
              </w:rPr>
              <w:t>1</w:t>
            </w:r>
          </w:p>
        </w:tc>
      </w:tr>
      <w:tr>
        <w:trPr>
          <w:trHeight w:val="292" w:hRule="atLeast"/>
        </w:trPr>
        <w:tc>
          <w:tcPr>
            <w:tcW w:w="106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2.1.2.1.</w:t>
            </w:r>
          </w:p>
        </w:tc>
        <w:tc>
          <w:tcPr>
            <w:tcW w:w="4500"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t>Bilaterale</w:t>
            </w:r>
          </w:p>
        </w:tc>
        <w:tc>
          <w:tcPr>
            <w:tcW w:w="2202"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ro-RO"/>
              </w:rPr>
            </w:pPr>
            <w:r>
              <w:rPr>
                <w:lang w:val="ro-RO"/>
              </w:rPr>
              <w:t>1</w:t>
            </w:r>
            <w:r>
              <w:rPr/>
              <w:t> </w:t>
            </w:r>
          </w:p>
        </w:tc>
        <w:tc>
          <w:tcPr>
            <w:tcW w:w="2111"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lang w:val="en-US"/>
              </w:rPr>
            </w:pPr>
            <w:r>
              <w:rPr>
                <w:lang w:val="en-US"/>
              </w:rPr>
            </w:r>
          </w:p>
        </w:tc>
      </w:tr>
      <w:tr>
        <w:trPr>
          <w:trHeight w:val="292" w:hRule="atLeast"/>
        </w:trPr>
        <w:tc>
          <w:tcPr>
            <w:tcW w:w="106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2.1.2.2.</w:t>
            </w:r>
          </w:p>
        </w:tc>
        <w:tc>
          <w:tcPr>
            <w:tcW w:w="4500"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t>PC6/PC7</w:t>
            </w:r>
          </w:p>
        </w:tc>
        <w:tc>
          <w:tcPr>
            <w:tcW w:w="2202"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 </w:t>
            </w:r>
          </w:p>
        </w:tc>
        <w:tc>
          <w:tcPr>
            <w:tcW w:w="2111"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 </w:t>
            </w:r>
          </w:p>
        </w:tc>
      </w:tr>
      <w:tr>
        <w:trPr>
          <w:trHeight w:val="292" w:hRule="atLeast"/>
        </w:trPr>
        <w:tc>
          <w:tcPr>
            <w:tcW w:w="106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2.1.2.3.</w:t>
            </w:r>
          </w:p>
        </w:tc>
        <w:tc>
          <w:tcPr>
            <w:tcW w:w="4500"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fr-FR"/>
              </w:rPr>
            </w:pPr>
            <w:r>
              <w:rPr>
                <w:lang w:val="fr-FR"/>
              </w:rPr>
              <w:t>Alte proiecte/granturi (</w:t>
            </w:r>
            <w:r>
              <w:rPr>
                <w:sz w:val="22"/>
                <w:szCs w:val="22"/>
                <w:lang w:val="fr-FR"/>
              </w:rPr>
              <w:t>NUKR.SFPP 984877</w:t>
            </w:r>
            <w:r>
              <w:rPr>
                <w:lang w:val="fr-FR"/>
              </w:rPr>
              <w:t xml:space="preserve">) </w:t>
            </w:r>
          </w:p>
        </w:tc>
        <w:tc>
          <w:tcPr>
            <w:tcW w:w="2202"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fr-FR"/>
              </w:rPr>
            </w:pPr>
            <w:r>
              <w:rPr>
                <w:lang w:val="fr-FR"/>
              </w:rPr>
              <w:t> </w:t>
            </w:r>
          </w:p>
        </w:tc>
        <w:tc>
          <w:tcPr>
            <w:tcW w:w="2111"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fr-FR"/>
              </w:rPr>
            </w:pPr>
            <w:r>
              <w:rPr>
                <w:lang w:val="fr-FR"/>
              </w:rPr>
              <w:t> </w:t>
            </w:r>
            <w:r>
              <w:rPr>
                <w:lang w:val="en-US"/>
              </w:rPr>
              <w:t>1</w:t>
            </w:r>
          </w:p>
        </w:tc>
      </w:tr>
      <w:tr>
        <w:trPr>
          <w:trHeight w:val="292" w:hRule="atLeast"/>
        </w:trPr>
        <w:tc>
          <w:tcPr>
            <w:tcW w:w="106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2.1.3.</w:t>
            </w:r>
          </w:p>
        </w:tc>
        <w:tc>
          <w:tcPr>
            <w:tcW w:w="4500"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rFonts w:cs="Times New Roman CE" w:ascii="Times New Roman CE" w:hAnsi="Times New Roman CE"/>
                <w:b/>
                <w:bCs/>
              </w:rPr>
              <w:t>Proiecte/granturi naţionale</w:t>
            </w:r>
          </w:p>
        </w:tc>
        <w:tc>
          <w:tcPr>
            <w:tcW w:w="2202"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 </w:t>
            </w:r>
          </w:p>
        </w:tc>
        <w:tc>
          <w:tcPr>
            <w:tcW w:w="2111"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 </w:t>
            </w:r>
          </w:p>
        </w:tc>
      </w:tr>
      <w:tr>
        <w:trPr>
          <w:trHeight w:val="292" w:hRule="atLeast"/>
        </w:trPr>
        <w:tc>
          <w:tcPr>
            <w:tcW w:w="106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2.1.4.</w:t>
            </w:r>
          </w:p>
        </w:tc>
        <w:tc>
          <w:tcPr>
            <w:tcW w:w="4500"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rFonts w:cs="Times New Roman CE" w:ascii="Times New Roman CE" w:hAnsi="Times New Roman CE"/>
                <w:b/>
                <w:bCs/>
              </w:rPr>
              <w:t>Contracte cu agenţi economici</w:t>
            </w:r>
          </w:p>
        </w:tc>
        <w:tc>
          <w:tcPr>
            <w:tcW w:w="2202"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 </w:t>
            </w:r>
          </w:p>
        </w:tc>
        <w:tc>
          <w:tcPr>
            <w:tcW w:w="2111"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 </w:t>
            </w:r>
          </w:p>
        </w:tc>
      </w:tr>
    </w:tbl>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tbl>
      <w:tblPr>
        <w:tblW w:w="10773" w:type="dxa"/>
        <w:jc w:val="left"/>
        <w:tblInd w:w="-710" w:type="dxa"/>
        <w:tblBorders/>
        <w:tblCellMar>
          <w:top w:w="0" w:type="dxa"/>
          <w:left w:w="108" w:type="dxa"/>
          <w:bottom w:w="0" w:type="dxa"/>
          <w:right w:w="108" w:type="dxa"/>
        </w:tblCellMar>
      </w:tblPr>
      <w:tblGrid>
        <w:gridCol w:w="661"/>
        <w:gridCol w:w="2173"/>
        <w:gridCol w:w="1"/>
        <w:gridCol w:w="283"/>
        <w:gridCol w:w="425"/>
        <w:gridCol w:w="1"/>
        <w:gridCol w:w="708"/>
        <w:gridCol w:w="1"/>
        <w:gridCol w:w="707"/>
        <w:gridCol w:w="2"/>
        <w:gridCol w:w="423"/>
        <w:gridCol w:w="142"/>
        <w:gridCol w:w="1"/>
        <w:gridCol w:w="566"/>
        <w:gridCol w:w="1"/>
        <w:gridCol w:w="565"/>
        <w:gridCol w:w="2"/>
        <w:gridCol w:w="273"/>
        <w:gridCol w:w="433"/>
        <w:gridCol w:w="1"/>
        <w:gridCol w:w="708"/>
        <w:gridCol w:w="1"/>
        <w:gridCol w:w="1"/>
        <w:gridCol w:w="707"/>
        <w:gridCol w:w="1"/>
        <w:gridCol w:w="1"/>
        <w:gridCol w:w="565"/>
        <w:gridCol w:w="1"/>
        <w:gridCol w:w="1"/>
        <w:gridCol w:w="706"/>
        <w:gridCol w:w="2"/>
        <w:gridCol w:w="1"/>
        <w:gridCol w:w="708"/>
      </w:tblGrid>
      <w:tr>
        <w:trPr>
          <w:trHeight w:val="255" w:hRule="atLeast"/>
        </w:trPr>
        <w:tc>
          <w:tcPr>
            <w:tcW w:w="10772" w:type="dxa"/>
            <w:gridSpan w:val="33"/>
            <w:tcBorders/>
            <w:shd w:fill="auto" w:val="clear"/>
            <w:vAlign w:val="bottom"/>
          </w:tcPr>
          <w:p>
            <w:pPr>
              <w:pStyle w:val="Normal"/>
              <w:widowControl/>
              <w:bidi w:val="0"/>
              <w:ind w:left="133" w:right="0" w:firstLine="301"/>
              <w:jc w:val="center"/>
              <w:textAlignment w:val="auto"/>
              <w:rPr>
                <w:lang w:val="en-US"/>
              </w:rPr>
            </w:pPr>
            <w:r>
              <w:rPr>
                <w:rFonts w:cs="Times New Roman CE" w:ascii="Times New Roman CE" w:hAnsi="Times New Roman CE"/>
                <w:b/>
                <w:bCs/>
                <w:sz w:val="20"/>
                <w:szCs w:val="20"/>
                <w:lang w:val="en-US" w:eastAsia="en-US"/>
              </w:rPr>
              <w:t>3. RESURSE UMANE ŞI RETRI</w:t>
            </w:r>
            <w:r>
              <w:rPr>
                <w:b/>
                <w:bCs/>
                <w:sz w:val="20"/>
                <w:szCs w:val="20"/>
                <w:lang w:val="en-US" w:eastAsia="en-US"/>
              </w:rPr>
              <w:t xml:space="preserve">BUIREA MUNCII </w:t>
            </w:r>
          </w:p>
        </w:tc>
      </w:tr>
      <w:tr>
        <w:trPr>
          <w:trHeight w:val="360" w:hRule="atLeast"/>
        </w:trPr>
        <w:tc>
          <w:tcPr>
            <w:tcW w:w="10772" w:type="dxa"/>
            <w:gridSpan w:val="33"/>
            <w:tcBorders>
              <w:bottom w:val="single" w:sz="8" w:space="0" w:color="000001"/>
              <w:insideH w:val="single" w:sz="8" w:space="0" w:color="000001"/>
            </w:tcBorders>
            <w:shd w:fill="auto" w:val="clear"/>
            <w:vAlign w:val="bottom"/>
          </w:tcPr>
          <w:p>
            <w:pPr>
              <w:pStyle w:val="Normal"/>
              <w:widowControl/>
              <w:bidi w:val="0"/>
              <w:ind w:left="0" w:right="0" w:hanging="0"/>
              <w:jc w:val="center"/>
              <w:textAlignment w:val="auto"/>
              <w:rPr>
                <w:lang w:val="fr-FR"/>
              </w:rPr>
            </w:pPr>
            <w:r>
              <w:rPr>
                <w:rFonts w:cs="Times New Roman CE" w:ascii="Times New Roman CE" w:hAnsi="Times New Roman CE"/>
                <w:b/>
                <w:bCs/>
                <w:sz w:val="20"/>
                <w:szCs w:val="20"/>
                <w:lang w:val="fr-FR" w:eastAsia="en-US"/>
              </w:rPr>
              <w:t>3.1. Resurse umane şi structura personalului după ocupaţie, v</w:t>
            </w:r>
            <w:r>
              <w:rPr>
                <w:b/>
                <w:bCs/>
                <w:sz w:val="20"/>
                <w:szCs w:val="20"/>
                <w:lang w:val="fr-FR" w:eastAsia="en-US"/>
              </w:rPr>
              <w:t>â</w:t>
            </w:r>
            <w:r>
              <w:rPr>
                <w:rFonts w:cs="Times New Roman CE" w:ascii="Times New Roman CE" w:hAnsi="Times New Roman CE"/>
                <w:b/>
                <w:bCs/>
                <w:sz w:val="20"/>
                <w:szCs w:val="20"/>
                <w:lang w:val="fr-FR" w:eastAsia="en-US"/>
              </w:rPr>
              <w:t>rstă şi gen</w:t>
            </w:r>
            <w:r>
              <w:rPr>
                <w:b/>
                <w:bCs/>
                <w:sz w:val="20"/>
                <w:szCs w:val="20"/>
                <w:lang w:val="fr-FR" w:eastAsia="en-US"/>
              </w:rPr>
              <w:t xml:space="preserve"> 2016</w:t>
            </w:r>
          </w:p>
        </w:tc>
      </w:tr>
      <w:tr>
        <w:trPr>
          <w:trHeight w:val="270" w:hRule="atLeast"/>
        </w:trPr>
        <w:tc>
          <w:tcPr>
            <w:tcW w:w="2835" w:type="dxa"/>
            <w:gridSpan w:val="3"/>
            <w:vMerge w:val="restart"/>
            <w:tcBorders>
              <w:top w:val="single" w:sz="8" w:space="0" w:color="000001"/>
              <w:left w:val="single" w:sz="8" w:space="0" w:color="000001"/>
              <w:bottom w:val="single" w:sz="8" w:space="0" w:color="000001"/>
              <w:insideH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color w:val="000000"/>
                <w:sz w:val="20"/>
                <w:szCs w:val="20"/>
                <w:lang w:val="en-US" w:eastAsia="en-US"/>
              </w:rPr>
              <w:t>Categorii de personal</w:t>
            </w:r>
          </w:p>
        </w:tc>
        <w:tc>
          <w:tcPr>
            <w:tcW w:w="709" w:type="dxa"/>
            <w:gridSpan w:val="3"/>
            <w:vMerge w:val="restart"/>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extDirection w:val="btLr"/>
            <w:vAlign w:val="center"/>
          </w:tcPr>
          <w:p>
            <w:pPr>
              <w:pStyle w:val="Normal"/>
              <w:widowControl/>
              <w:bidi w:val="0"/>
              <w:ind w:left="0" w:right="0" w:hanging="0"/>
              <w:jc w:val="center"/>
              <w:textAlignment w:val="auto"/>
              <w:rPr>
                <w:lang w:val="en-US"/>
              </w:rPr>
            </w:pPr>
            <w:r>
              <w:rPr>
                <w:sz w:val="20"/>
                <w:szCs w:val="20"/>
                <w:lang w:val="en-US" w:eastAsia="en-US"/>
              </w:rPr>
              <w:t>Unitati conform statelor de personal</w:t>
            </w:r>
          </w:p>
        </w:tc>
        <w:tc>
          <w:tcPr>
            <w:tcW w:w="7228" w:type="dxa"/>
            <w:gridSpan w:val="27"/>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Persoane fizice</w:t>
            </w:r>
          </w:p>
        </w:tc>
      </w:tr>
      <w:tr>
        <w:trPr>
          <w:trHeight w:val="285" w:hRule="atLeast"/>
        </w:trPr>
        <w:tc>
          <w:tcPr>
            <w:tcW w:w="2835" w:type="dxa"/>
            <w:gridSpan w:val="3"/>
            <w:vMerge w:val="continue"/>
            <w:tcBorders>
              <w:top w:val="single" w:sz="8" w:space="0" w:color="000001"/>
              <w:left w:val="single" w:sz="8" w:space="0" w:color="000001"/>
              <w:bottom w:val="single" w:sz="8" w:space="0" w:color="000001"/>
              <w:insideH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color w:val="000000"/>
                <w:sz w:val="20"/>
                <w:szCs w:val="20"/>
                <w:lang w:val="en-US" w:eastAsia="en-US"/>
              </w:rPr>
            </w:pPr>
            <w:r>
              <w:rPr>
                <w:color w:val="000000"/>
                <w:sz w:val="20"/>
                <w:szCs w:val="20"/>
                <w:lang w:val="en-US" w:eastAsia="en-US"/>
              </w:rPr>
            </w:r>
          </w:p>
        </w:tc>
        <w:tc>
          <w:tcPr>
            <w:tcW w:w="709" w:type="dxa"/>
            <w:gridSpan w:val="3"/>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c>
          <w:tcPr>
            <w:tcW w:w="709" w:type="dxa"/>
            <w:gridSpan w:val="2"/>
            <w:vMerge w:val="restart"/>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extDirection w:val="btLr"/>
            <w:vAlign w:val="center"/>
          </w:tcPr>
          <w:p>
            <w:pPr>
              <w:pStyle w:val="Normal"/>
              <w:widowControl/>
              <w:bidi w:val="0"/>
              <w:ind w:left="0" w:right="0" w:hanging="0"/>
              <w:jc w:val="center"/>
              <w:textAlignment w:val="auto"/>
              <w:rPr>
                <w:lang w:val="en-US"/>
              </w:rPr>
            </w:pPr>
            <w:r>
              <w:rPr>
                <w:rFonts w:cs="Times New Roman CE" w:ascii="Times New Roman CE" w:hAnsi="Times New Roman CE"/>
                <w:sz w:val="20"/>
                <w:szCs w:val="20"/>
                <w:lang w:val="en-US" w:eastAsia="en-US"/>
              </w:rPr>
              <w:t>De bază</w:t>
            </w:r>
          </w:p>
        </w:tc>
        <w:tc>
          <w:tcPr>
            <w:tcW w:w="3826" w:type="dxa"/>
            <w:gridSpan w:val="15"/>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inclusiv</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extDirection w:val="btLr"/>
            <w:vAlign w:val="center"/>
          </w:tcPr>
          <w:p>
            <w:pPr>
              <w:pStyle w:val="Normal"/>
              <w:widowControl/>
              <w:bidi w:val="0"/>
              <w:ind w:left="0" w:right="0" w:hanging="0"/>
              <w:jc w:val="center"/>
              <w:textAlignment w:val="auto"/>
              <w:rPr>
                <w:lang w:val="en-US"/>
              </w:rPr>
            </w:pPr>
            <w:r>
              <w:rPr>
                <w:sz w:val="20"/>
                <w:szCs w:val="20"/>
                <w:lang w:val="en-US" w:eastAsia="en-US"/>
              </w:rPr>
              <w:t>Cumul intern</w:t>
            </w:r>
          </w:p>
        </w:tc>
        <w:tc>
          <w:tcPr>
            <w:tcW w:w="567"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extDirection w:val="btLr"/>
            <w:vAlign w:val="center"/>
          </w:tcPr>
          <w:p>
            <w:pPr>
              <w:pStyle w:val="Normal"/>
              <w:widowControl/>
              <w:bidi w:val="0"/>
              <w:ind w:left="0" w:right="0" w:hanging="0"/>
              <w:jc w:val="center"/>
              <w:textAlignment w:val="auto"/>
              <w:rPr>
                <w:lang w:val="en-US"/>
              </w:rPr>
            </w:pPr>
            <w:r>
              <w:rPr>
                <w:sz w:val="20"/>
                <w:szCs w:val="20"/>
                <w:lang w:val="en-US" w:eastAsia="en-US"/>
              </w:rPr>
              <w:t>Cumul extern</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extDirection w:val="btLr"/>
            <w:vAlign w:val="center"/>
          </w:tcPr>
          <w:p>
            <w:pPr>
              <w:pStyle w:val="Normal"/>
              <w:widowControl/>
              <w:bidi w:val="0"/>
              <w:ind w:left="0" w:right="0" w:hanging="0"/>
              <w:jc w:val="center"/>
              <w:textAlignment w:val="auto"/>
              <w:rPr>
                <w:lang w:val="en-US"/>
              </w:rPr>
            </w:pPr>
            <w:r>
              <w:rPr>
                <w:rFonts w:cs="Times New Roman CE" w:ascii="Times New Roman CE" w:hAnsi="Times New Roman CE"/>
                <w:sz w:val="20"/>
                <w:szCs w:val="20"/>
                <w:lang w:val="en-US" w:eastAsia="en-US"/>
              </w:rPr>
              <w:t>Acord de muncă (netitulari)</w:t>
            </w:r>
          </w:p>
        </w:tc>
        <w:tc>
          <w:tcPr>
            <w:tcW w:w="7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extDirection w:val="btLr"/>
            <w:vAlign w:val="center"/>
          </w:tcPr>
          <w:p>
            <w:pPr>
              <w:pStyle w:val="Normal"/>
              <w:widowControl/>
              <w:bidi w:val="0"/>
              <w:ind w:left="0" w:right="0" w:hanging="0"/>
              <w:jc w:val="center"/>
              <w:textAlignment w:val="auto"/>
              <w:rPr>
                <w:lang w:val="fr-FR"/>
              </w:rPr>
            </w:pPr>
            <w:r>
              <w:rPr>
                <w:rFonts w:cs="Times New Roman CE" w:ascii="Times New Roman CE" w:hAnsi="Times New Roman CE"/>
                <w:sz w:val="20"/>
                <w:szCs w:val="20"/>
                <w:lang w:val="fr-FR" w:eastAsia="en-US"/>
              </w:rPr>
              <w:t>Total (fară cumul intern şi acord de muncă)</w:t>
            </w:r>
          </w:p>
        </w:tc>
      </w:tr>
      <w:tr>
        <w:trPr>
          <w:trHeight w:val="1157" w:hRule="atLeast"/>
        </w:trPr>
        <w:tc>
          <w:tcPr>
            <w:tcW w:w="2834" w:type="dxa"/>
            <w:gridSpan w:val="2"/>
            <w:vMerge w:val="continue"/>
            <w:tcBorders>
              <w:top w:val="single" w:sz="8" w:space="0" w:color="000001"/>
              <w:left w:val="single" w:sz="8" w:space="0" w:color="000001"/>
              <w:bottom w:val="single" w:sz="8" w:space="0" w:color="000001"/>
              <w:insideH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color w:val="000000"/>
                <w:sz w:val="20"/>
                <w:szCs w:val="20"/>
                <w:lang w:val="fr-FR" w:eastAsia="en-US"/>
              </w:rPr>
            </w:pPr>
            <w:r>
              <w:rPr>
                <w:color w:val="000000"/>
                <w:sz w:val="20"/>
                <w:szCs w:val="20"/>
                <w:lang w:val="fr-FR" w:eastAsia="en-US"/>
              </w:rPr>
            </w:r>
          </w:p>
        </w:tc>
        <w:tc>
          <w:tcPr>
            <w:tcW w:w="709" w:type="dxa"/>
            <w:gridSpan w:val="3"/>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fr-FR" w:eastAsia="en-US"/>
              </w:rPr>
            </w:pPr>
            <w:r>
              <w:rPr>
                <w:sz w:val="20"/>
                <w:szCs w:val="20"/>
                <w:lang w:val="fr-FR" w:eastAsia="en-US"/>
              </w:rPr>
            </w:r>
          </w:p>
        </w:tc>
        <w:tc>
          <w:tcPr>
            <w:tcW w:w="709" w:type="dxa"/>
            <w:gridSpan w:val="2"/>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fr-FR" w:eastAsia="en-US"/>
              </w:rPr>
            </w:pPr>
            <w:r>
              <w:rPr>
                <w:sz w:val="20"/>
                <w:szCs w:val="20"/>
                <w:lang w:val="fr-FR" w:eastAsia="en-US"/>
              </w:rPr>
            </w:r>
          </w:p>
        </w:tc>
        <w:tc>
          <w:tcPr>
            <w:tcW w:w="708"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rFonts w:cs="Times New Roman CE" w:ascii="Times New Roman CE" w:hAnsi="Times New Roman CE"/>
                <w:sz w:val="20"/>
                <w:szCs w:val="20"/>
                <w:lang w:val="en-US" w:eastAsia="en-US"/>
              </w:rPr>
              <w:t>Pînă la 25</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20"/>
                <w:szCs w:val="20"/>
                <w:lang w:val="en-US" w:eastAsia="en-US"/>
              </w:rPr>
              <w:t>25-34</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20"/>
                <w:szCs w:val="20"/>
                <w:lang w:val="en-US" w:eastAsia="en-US"/>
              </w:rPr>
              <w:t>35-44</w:t>
            </w:r>
          </w:p>
        </w:tc>
        <w:tc>
          <w:tcPr>
            <w:tcW w:w="566"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20"/>
                <w:szCs w:val="20"/>
                <w:lang w:val="en-US" w:eastAsia="en-US"/>
              </w:rPr>
              <w:t>45-54</w:t>
            </w:r>
          </w:p>
        </w:tc>
        <w:tc>
          <w:tcPr>
            <w:tcW w:w="708" w:type="dxa"/>
            <w:gridSpan w:val="3"/>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sz w:val="20"/>
                <w:szCs w:val="20"/>
                <w:lang w:val="en-US" w:eastAsia="en-US"/>
              </w:rPr>
              <w:t>55-64</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lang w:val="en-US"/>
              </w:rPr>
            </w:pPr>
            <w:r>
              <w:rPr>
                <w:rFonts w:cs="Times New Roman CE" w:ascii="Times New Roman CE" w:hAnsi="Times New Roman CE"/>
                <w:sz w:val="20"/>
                <w:szCs w:val="20"/>
                <w:lang w:val="en-US" w:eastAsia="en-US"/>
              </w:rPr>
              <w:t>65 şi peste</w:t>
            </w:r>
          </w:p>
        </w:tc>
        <w:tc>
          <w:tcPr>
            <w:tcW w:w="709"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c>
          <w:tcPr>
            <w:tcW w:w="567"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c>
          <w:tcPr>
            <w:tcW w:w="708"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c>
          <w:tcPr>
            <w:tcW w:w="711"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124" w:hRule="atLeast"/>
        </w:trPr>
        <w:tc>
          <w:tcPr>
            <w:tcW w:w="2834"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lang w:val="en-US"/>
              </w:rPr>
            </w:pPr>
            <w:r>
              <w:rPr>
                <w:color w:val="000000"/>
                <w:sz w:val="20"/>
                <w:szCs w:val="20"/>
                <w:lang w:val="en-US" w:eastAsia="en-US"/>
              </w:rPr>
              <w:t>Conducatori</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1</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20"/>
                <w:szCs w:val="20"/>
              </w:rPr>
              <w:t>1</w:t>
            </w:r>
          </w:p>
        </w:tc>
        <w:tc>
          <w:tcPr>
            <w:tcW w:w="708"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20"/>
                <w:szCs w:val="20"/>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20"/>
                <w:szCs w:val="20"/>
              </w:rPr>
              <w:t> </w:t>
            </w:r>
          </w:p>
        </w:tc>
        <w:tc>
          <w:tcPr>
            <w:tcW w:w="566"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20"/>
                <w:szCs w:val="20"/>
              </w:rPr>
              <w:t> </w:t>
            </w:r>
          </w:p>
        </w:tc>
        <w:tc>
          <w:tcPr>
            <w:tcW w:w="708" w:type="dxa"/>
            <w:gridSpan w:val="3"/>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20"/>
                <w:szCs w:val="20"/>
                <w:lang w:val="en-US"/>
              </w:rPr>
              <w:t>1</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20"/>
                <w:szCs w:val="20"/>
              </w:rPr>
              <w:t> </w:t>
            </w:r>
          </w:p>
        </w:tc>
        <w:tc>
          <w:tcPr>
            <w:tcW w:w="708" w:type="dxa"/>
            <w:gridSpan w:val="3"/>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20"/>
                <w:szCs w:val="20"/>
              </w:rPr>
              <w:t> </w:t>
            </w:r>
          </w:p>
        </w:tc>
        <w:tc>
          <w:tcPr>
            <w:tcW w:w="711" w:type="dxa"/>
            <w:gridSpan w:val="3"/>
            <w:tcBorders>
              <w:bottom w:val="single" w:sz="8" w:space="0" w:color="000001"/>
              <w:right w:val="single" w:sz="8" w:space="0" w:color="000001"/>
              <w:insideH w:val="single" w:sz="8" w:space="0" w:color="000001"/>
              <w:insideV w:val="single" w:sz="8" w:space="0" w:color="000001"/>
            </w:tcBorders>
            <w:shd w:color="auto" w:fill="CCFFCC"/>
            <w:vAlign w:val="center"/>
          </w:tcPr>
          <w:p>
            <w:pPr>
              <w:pStyle w:val="Normal"/>
              <w:widowControl/>
              <w:bidi w:val="0"/>
              <w:ind w:left="0" w:right="0" w:hanging="0"/>
              <w:jc w:val="center"/>
              <w:textAlignment w:val="auto"/>
              <w:rPr>
                <w:lang w:val="ro-RO"/>
              </w:rPr>
            </w:pPr>
            <w:r>
              <w:rPr>
                <w:sz w:val="20"/>
                <w:szCs w:val="20"/>
                <w:lang w:val="ro-RO"/>
              </w:rPr>
              <w:t>1</w:t>
            </w:r>
            <w:r>
              <w:rPr>
                <w:sz w:val="20"/>
                <w:szCs w:val="20"/>
              </w:rPr>
              <w:t> </w:t>
            </w:r>
          </w:p>
        </w:tc>
      </w:tr>
      <w:tr>
        <w:trPr>
          <w:trHeight w:val="128" w:hRule="atLeast"/>
        </w:trPr>
        <w:tc>
          <w:tcPr>
            <w:tcW w:w="661" w:type="dxa"/>
            <w:tcBorders>
              <w:left w:val="single" w:sz="8" w:space="0" w:color="000001"/>
              <w:bottom w:val="single" w:sz="8" w:space="0" w:color="000001"/>
              <w:insideH w:val="single" w:sz="8" w:space="0" w:color="000001"/>
            </w:tcBorders>
            <w:shd w:fill="auto" w:val="clear"/>
            <w:tcMar>
              <w:left w:w="98" w:type="dxa"/>
            </w:tcMar>
            <w:vAlign w:val="center"/>
          </w:tcPr>
          <w:p>
            <w:pPr>
              <w:pStyle w:val="Normal"/>
              <w:widowControl/>
              <w:bidi w:val="0"/>
              <w:ind w:left="0" w:right="0" w:hanging="0"/>
              <w:jc w:val="left"/>
              <w:textAlignment w:val="auto"/>
              <w:rPr>
                <w:lang w:val="en-US"/>
              </w:rPr>
            </w:pPr>
            <w:r>
              <w:rPr>
                <w:color w:val="000000"/>
                <w:sz w:val="20"/>
                <w:szCs w:val="20"/>
                <w:lang w:val="en-US" w:eastAsia="en-US"/>
              </w:rPr>
              <w:t> </w:t>
            </w:r>
          </w:p>
        </w:tc>
        <w:tc>
          <w:tcPr>
            <w:tcW w:w="2174"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lang w:val="en-US"/>
              </w:rPr>
            </w:pPr>
            <w:r>
              <w:rPr>
                <w:color w:val="000000"/>
                <w:sz w:val="20"/>
                <w:szCs w:val="20"/>
                <w:lang w:val="en-US" w:eastAsia="en-US"/>
              </w:rPr>
              <w:t>Femei</w:t>
            </w:r>
          </w:p>
        </w:tc>
        <w:tc>
          <w:tcPr>
            <w:tcW w:w="709" w:type="dxa"/>
            <w:gridSpan w:val="3"/>
            <w:tcBorders>
              <w:bottom w:val="single" w:sz="8" w:space="0" w:color="000001"/>
              <w:right w:val="single" w:sz="8" w:space="0" w:color="000001"/>
              <w:insideH w:val="single" w:sz="8" w:space="0" w:color="000001"/>
              <w:insideV w:val="single" w:sz="8" w:space="0" w:color="000001"/>
            </w:tcBorders>
            <w:shd w:color="auto" w:fill="C0C0C0"/>
            <w:textDirection w:val="btLr"/>
            <w:vAlign w:val="center"/>
          </w:tcPr>
          <w:p>
            <w:pPr>
              <w:pStyle w:val="Normal"/>
              <w:widowControl/>
              <w:bidi w:val="0"/>
              <w:ind w:left="0" w:right="0" w:hanging="0"/>
              <w:jc w:val="left"/>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20"/>
                <w:szCs w:val="20"/>
              </w:rPr>
              <w:t>0</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20"/>
                <w:szCs w:val="20"/>
              </w:rPr>
              <w:t> </w:t>
            </w:r>
          </w:p>
        </w:tc>
        <w:tc>
          <w:tcPr>
            <w:tcW w:w="566" w:type="dxa"/>
            <w:gridSpan w:val="3"/>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20"/>
                <w:szCs w:val="20"/>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20"/>
                <w:szCs w:val="20"/>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20"/>
                <w:szCs w:val="20"/>
              </w:rPr>
              <w:t> </w:t>
            </w:r>
          </w:p>
        </w:tc>
        <w:tc>
          <w:tcPr>
            <w:tcW w:w="707" w:type="dxa"/>
            <w:gridSpan w:val="3"/>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20"/>
                <w:szCs w:val="20"/>
              </w:rPr>
              <w:t>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20"/>
                <w:szCs w:val="20"/>
              </w:rPr>
              <w:t> </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20"/>
                <w:szCs w:val="20"/>
              </w:rPr>
              <w:t>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20"/>
                <w:szCs w:val="20"/>
                <w:lang w:val="en-US" w:eastAsia="en-US"/>
              </w:rPr>
              <w:t>0</w:t>
            </w:r>
          </w:p>
        </w:tc>
      </w:tr>
      <w:tr>
        <w:trPr>
          <w:trHeight w:val="132" w:hRule="atLeast"/>
        </w:trPr>
        <w:tc>
          <w:tcPr>
            <w:tcW w:w="2834"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Cercetători</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en-US"/>
              </w:rPr>
            </w:pPr>
            <w:r>
              <w:rPr>
                <w:sz w:val="20"/>
                <w:szCs w:val="20"/>
                <w:lang w:val="en-US" w:eastAsia="en-US"/>
              </w:rPr>
              <w:t>11,5</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sz w:val="20"/>
                <w:szCs w:val="20"/>
              </w:rPr>
              <w:t>1</w:t>
            </w:r>
            <w:r>
              <w:rPr>
                <w:sz w:val="20"/>
                <w:szCs w:val="20"/>
                <w:lang w:val="en-US"/>
              </w:rPr>
              <w:t>1</w:t>
            </w:r>
          </w:p>
        </w:tc>
        <w:tc>
          <w:tcPr>
            <w:tcW w:w="708"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r>
              <w:rPr>
                <w:sz w:val="20"/>
                <w:szCs w:val="20"/>
                <w:lang w:val="en-US"/>
              </w:rPr>
              <w:t>3</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566"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2</w:t>
            </w:r>
          </w:p>
        </w:tc>
        <w:tc>
          <w:tcPr>
            <w:tcW w:w="708"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2</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rPr>
              <w:t>4</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rPr>
              <w:t>1</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1</w:t>
            </w:r>
          </w:p>
        </w:tc>
        <w:tc>
          <w:tcPr>
            <w:tcW w:w="708"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rPr>
              <w:t>0</w:t>
            </w:r>
          </w:p>
        </w:tc>
        <w:tc>
          <w:tcPr>
            <w:tcW w:w="711"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20"/>
                <w:szCs w:val="20"/>
                <w:lang w:val="en-US"/>
              </w:rPr>
              <w:t>12</w:t>
            </w:r>
            <w:r>
              <w:rPr>
                <w:sz w:val="20"/>
                <w:szCs w:val="20"/>
              </w:rPr>
              <w:t> </w:t>
            </w:r>
          </w:p>
        </w:tc>
      </w:tr>
      <w:tr>
        <w:trPr>
          <w:trHeight w:val="209" w:hRule="atLeast"/>
        </w:trPr>
        <w:tc>
          <w:tcPr>
            <w:tcW w:w="66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lang w:val="en-US"/>
              </w:rPr>
            </w:pPr>
            <w:r>
              <w:rPr>
                <w:sz w:val="20"/>
                <w:szCs w:val="20"/>
                <w:lang w:val="en-US" w:eastAsia="en-US"/>
              </w:rPr>
              <w:t> </w:t>
            </w:r>
          </w:p>
        </w:tc>
        <w:tc>
          <w:tcPr>
            <w:tcW w:w="2174"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0"/>
              <w:jc w:val="left"/>
              <w:textAlignment w:val="auto"/>
              <w:rPr>
                <w:lang w:val="en-US"/>
              </w:rPr>
            </w:pPr>
            <w:r>
              <w:rPr>
                <w:sz w:val="20"/>
                <w:szCs w:val="20"/>
                <w:lang w:val="en-US" w:eastAsia="en-US"/>
              </w:rPr>
              <w:t>Femei</w:t>
            </w:r>
          </w:p>
        </w:tc>
        <w:tc>
          <w:tcPr>
            <w:tcW w:w="709" w:type="dxa"/>
            <w:gridSpan w:val="3"/>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hanging="0"/>
              <w:jc w:val="center"/>
              <w:textAlignment w:val="auto"/>
              <w:rPr>
                <w:lang w:val="en-US"/>
              </w:rPr>
            </w:pPr>
            <w:r>
              <w:rPr>
                <w:sz w:val="20"/>
                <w:szCs w:val="20"/>
                <w:lang w:val="en-US"/>
              </w:rPr>
              <w:t>8</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rPr>
              <w:t>8</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6"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rPr>
              <w:t>3</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2</w:t>
            </w:r>
          </w:p>
        </w:tc>
        <w:tc>
          <w:tcPr>
            <w:tcW w:w="70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rPr>
              <w:t>1</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2</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1</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20"/>
                <w:szCs w:val="20"/>
                <w:lang w:val="en-US" w:eastAsia="en-US"/>
              </w:rPr>
              <w:t>8</w:t>
            </w:r>
          </w:p>
        </w:tc>
      </w:tr>
      <w:tr>
        <w:trPr>
          <w:trHeight w:val="254" w:hRule="atLeast"/>
        </w:trPr>
        <w:tc>
          <w:tcPr>
            <w:tcW w:w="2834"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right"/>
              <w:textAlignment w:val="auto"/>
              <w:rPr>
                <w:lang w:val="en-US"/>
              </w:rPr>
            </w:pPr>
            <w:r>
              <w:rPr>
                <w:i/>
                <w:iCs/>
                <w:sz w:val="20"/>
                <w:szCs w:val="20"/>
                <w:lang w:val="en-US" w:eastAsia="en-US"/>
              </w:rPr>
              <w:t>din ei</w:t>
            </w:r>
            <w:r>
              <w:rPr>
                <w:sz w:val="20"/>
                <w:szCs w:val="20"/>
                <w:lang w:val="en-US" w:eastAsia="en-US"/>
              </w:rPr>
              <w:t>:</w:t>
            </w:r>
          </w:p>
        </w:tc>
        <w:tc>
          <w:tcPr>
            <w:tcW w:w="709" w:type="dxa"/>
            <w:gridSpan w:val="3"/>
            <w:tcBorders>
              <w:bottom w:val="single" w:sz="8" w:space="0" w:color="000001"/>
              <w:insideH w:val="single" w:sz="8" w:space="0" w:color="000001"/>
            </w:tcBorders>
            <w:shd w:color="auto" w:fill="C0C0C0"/>
          </w:tcPr>
          <w:p>
            <w:pPr>
              <w:pStyle w:val="Normal"/>
              <w:widowControl/>
              <w:bidi w:val="0"/>
              <w:ind w:left="0" w:right="0" w:firstLine="200"/>
              <w:jc w:val="right"/>
              <w:textAlignment w:val="auto"/>
              <w:rPr>
                <w:lang w:val="en-US"/>
              </w:rPr>
            </w:pPr>
            <w:r>
              <w:rPr>
                <w:i/>
                <w:iCs/>
                <w:sz w:val="20"/>
                <w:szCs w:val="20"/>
                <w:lang w:val="en-US" w:eastAsia="en-US"/>
              </w:rPr>
              <w:t> </w:t>
            </w:r>
          </w:p>
        </w:tc>
        <w:tc>
          <w:tcPr>
            <w:tcW w:w="709" w:type="dxa"/>
            <w:gridSpan w:val="2"/>
            <w:tcBorders>
              <w:bottom w:val="single" w:sz="8" w:space="0" w:color="000001"/>
              <w:insideH w:val="single" w:sz="8" w:space="0" w:color="000001"/>
            </w:tcBorders>
            <w:shd w:color="auto" w:fill="C0C0C0"/>
          </w:tcPr>
          <w:p>
            <w:pPr>
              <w:pStyle w:val="Normal"/>
              <w:widowControl/>
              <w:bidi w:val="0"/>
              <w:ind w:left="0" w:right="0" w:hanging="0"/>
              <w:jc w:val="center"/>
              <w:textAlignment w:val="auto"/>
              <w:rPr/>
            </w:pPr>
            <w:r>
              <w:rPr>
                <w:i/>
                <w:iCs/>
                <w:sz w:val="20"/>
                <w:szCs w:val="20"/>
              </w:rPr>
              <w:t> </w:t>
            </w:r>
          </w:p>
        </w:tc>
        <w:tc>
          <w:tcPr>
            <w:tcW w:w="708" w:type="dxa"/>
            <w:gridSpan w:val="2"/>
            <w:tcBorders>
              <w:bottom w:val="single" w:sz="8" w:space="0" w:color="000001"/>
              <w:insideH w:val="single" w:sz="8" w:space="0" w:color="000001"/>
            </w:tcBorders>
            <w:shd w:color="auto" w:fill="C0C0C0"/>
          </w:tcPr>
          <w:p>
            <w:pPr>
              <w:pStyle w:val="Normal"/>
              <w:widowControl/>
              <w:bidi w:val="0"/>
              <w:ind w:left="0" w:right="0" w:firstLine="200"/>
              <w:jc w:val="right"/>
              <w:textAlignment w:val="auto"/>
              <w:rPr/>
            </w:pPr>
            <w:r>
              <w:rPr>
                <w:i/>
                <w:iCs/>
                <w:sz w:val="20"/>
                <w:szCs w:val="20"/>
              </w:rPr>
              <w:t> </w:t>
            </w:r>
          </w:p>
        </w:tc>
        <w:tc>
          <w:tcPr>
            <w:tcW w:w="567" w:type="dxa"/>
            <w:gridSpan w:val="3"/>
            <w:tcBorders>
              <w:bottom w:val="single" w:sz="8" w:space="0" w:color="000001"/>
              <w:insideH w:val="single" w:sz="8" w:space="0" w:color="000001"/>
            </w:tcBorders>
            <w:shd w:color="auto" w:fill="C0C0C0"/>
          </w:tcPr>
          <w:p>
            <w:pPr>
              <w:pStyle w:val="Normal"/>
              <w:widowControl/>
              <w:bidi w:val="0"/>
              <w:ind w:left="0" w:right="0" w:firstLine="200"/>
              <w:jc w:val="right"/>
              <w:textAlignment w:val="auto"/>
              <w:rPr/>
            </w:pPr>
            <w:r>
              <w:rPr>
                <w:i/>
                <w:iCs/>
                <w:sz w:val="20"/>
                <w:szCs w:val="20"/>
              </w:rPr>
              <w:t> </w:t>
            </w:r>
          </w:p>
        </w:tc>
        <w:tc>
          <w:tcPr>
            <w:tcW w:w="567" w:type="dxa"/>
            <w:gridSpan w:val="2"/>
            <w:tcBorders>
              <w:bottom w:val="single" w:sz="8" w:space="0" w:color="000001"/>
              <w:insideH w:val="single" w:sz="8" w:space="0" w:color="000001"/>
            </w:tcBorders>
            <w:shd w:color="auto" w:fill="C0C0C0"/>
          </w:tcPr>
          <w:p>
            <w:pPr>
              <w:pStyle w:val="Normal"/>
              <w:widowControl/>
              <w:bidi w:val="0"/>
              <w:ind w:left="0" w:right="0" w:firstLine="200"/>
              <w:jc w:val="right"/>
              <w:textAlignment w:val="auto"/>
              <w:rPr/>
            </w:pPr>
            <w:r>
              <w:rPr>
                <w:i/>
                <w:iCs/>
                <w:sz w:val="20"/>
                <w:szCs w:val="20"/>
              </w:rPr>
              <w:t> </w:t>
            </w:r>
          </w:p>
        </w:tc>
        <w:tc>
          <w:tcPr>
            <w:tcW w:w="566" w:type="dxa"/>
            <w:gridSpan w:val="2"/>
            <w:tcBorders>
              <w:bottom w:val="single" w:sz="8" w:space="0" w:color="000001"/>
              <w:insideH w:val="single" w:sz="8" w:space="0" w:color="000001"/>
            </w:tcBorders>
            <w:shd w:color="auto" w:fill="C0C0C0"/>
          </w:tcPr>
          <w:p>
            <w:pPr>
              <w:pStyle w:val="Normal"/>
              <w:widowControl/>
              <w:bidi w:val="0"/>
              <w:ind w:left="0" w:right="0" w:firstLine="200"/>
              <w:jc w:val="right"/>
              <w:textAlignment w:val="auto"/>
              <w:rPr/>
            </w:pPr>
            <w:r>
              <w:rPr>
                <w:i/>
                <w:iCs/>
                <w:sz w:val="20"/>
                <w:szCs w:val="20"/>
              </w:rPr>
              <w:t> </w:t>
            </w:r>
          </w:p>
        </w:tc>
        <w:tc>
          <w:tcPr>
            <w:tcW w:w="708" w:type="dxa"/>
            <w:gridSpan w:val="3"/>
            <w:tcBorders>
              <w:bottom w:val="single" w:sz="8" w:space="0" w:color="000001"/>
              <w:insideH w:val="single" w:sz="8" w:space="0" w:color="000001"/>
            </w:tcBorders>
            <w:shd w:color="auto" w:fill="C0C0C0"/>
          </w:tcPr>
          <w:p>
            <w:pPr>
              <w:pStyle w:val="Normal"/>
              <w:widowControl/>
              <w:bidi w:val="0"/>
              <w:ind w:left="0" w:right="0" w:firstLine="200"/>
              <w:jc w:val="right"/>
              <w:textAlignment w:val="auto"/>
              <w:rPr/>
            </w:pPr>
            <w:r>
              <w:rPr>
                <w:i/>
                <w:iCs/>
                <w:sz w:val="20"/>
                <w:szCs w:val="20"/>
              </w:rPr>
              <w:t> </w:t>
            </w:r>
          </w:p>
        </w:tc>
        <w:tc>
          <w:tcPr>
            <w:tcW w:w="709" w:type="dxa"/>
            <w:gridSpan w:val="2"/>
            <w:tcBorders>
              <w:bottom w:val="single" w:sz="8" w:space="0" w:color="000001"/>
              <w:insideH w:val="single" w:sz="8" w:space="0" w:color="000001"/>
            </w:tcBorders>
            <w:shd w:color="auto" w:fill="C0C0C0"/>
          </w:tcPr>
          <w:p>
            <w:pPr>
              <w:pStyle w:val="Normal"/>
              <w:widowControl/>
              <w:bidi w:val="0"/>
              <w:ind w:left="0" w:right="0" w:firstLine="200"/>
              <w:jc w:val="right"/>
              <w:textAlignment w:val="auto"/>
              <w:rPr/>
            </w:pPr>
            <w:r>
              <w:rPr>
                <w:i/>
                <w:iCs/>
                <w:sz w:val="20"/>
                <w:szCs w:val="20"/>
              </w:rPr>
              <w:t> </w:t>
            </w:r>
          </w:p>
        </w:tc>
        <w:tc>
          <w:tcPr>
            <w:tcW w:w="709" w:type="dxa"/>
            <w:gridSpan w:val="3"/>
            <w:tcBorders>
              <w:bottom w:val="single" w:sz="8" w:space="0" w:color="000001"/>
              <w:insideH w:val="single" w:sz="8" w:space="0" w:color="000001"/>
            </w:tcBorders>
            <w:shd w:color="auto" w:fill="C0C0C0"/>
          </w:tcPr>
          <w:p>
            <w:pPr>
              <w:pStyle w:val="Normal"/>
              <w:widowControl/>
              <w:bidi w:val="0"/>
              <w:ind w:left="0" w:right="0" w:firstLine="200"/>
              <w:jc w:val="right"/>
              <w:textAlignment w:val="auto"/>
              <w:rPr/>
            </w:pPr>
            <w:r>
              <w:rPr>
                <w:i/>
                <w:iCs/>
                <w:sz w:val="20"/>
                <w:szCs w:val="20"/>
              </w:rPr>
              <w:t> </w:t>
            </w:r>
          </w:p>
        </w:tc>
        <w:tc>
          <w:tcPr>
            <w:tcW w:w="567" w:type="dxa"/>
            <w:gridSpan w:val="3"/>
            <w:tcBorders>
              <w:bottom w:val="single" w:sz="8" w:space="0" w:color="000001"/>
              <w:insideH w:val="single" w:sz="8" w:space="0" w:color="000001"/>
            </w:tcBorders>
            <w:shd w:color="auto" w:fill="C0C0C0"/>
          </w:tcPr>
          <w:p>
            <w:pPr>
              <w:pStyle w:val="Normal"/>
              <w:widowControl/>
              <w:bidi w:val="0"/>
              <w:ind w:left="0" w:right="0" w:firstLine="200"/>
              <w:jc w:val="right"/>
              <w:textAlignment w:val="auto"/>
              <w:rPr/>
            </w:pPr>
            <w:r>
              <w:rPr>
                <w:i/>
                <w:iCs/>
                <w:sz w:val="20"/>
                <w:szCs w:val="20"/>
              </w:rPr>
              <w:t> </w:t>
            </w:r>
          </w:p>
        </w:tc>
        <w:tc>
          <w:tcPr>
            <w:tcW w:w="708" w:type="dxa"/>
            <w:gridSpan w:val="3"/>
            <w:tcBorders>
              <w:bottom w:val="single" w:sz="8" w:space="0" w:color="000001"/>
              <w:insideH w:val="single" w:sz="8" w:space="0" w:color="000001"/>
            </w:tcBorders>
            <w:shd w:color="auto" w:fill="C0C0C0"/>
          </w:tcPr>
          <w:p>
            <w:pPr>
              <w:pStyle w:val="Normal"/>
              <w:widowControl/>
              <w:bidi w:val="0"/>
              <w:ind w:left="0" w:right="0" w:firstLine="200"/>
              <w:jc w:val="right"/>
              <w:textAlignment w:val="auto"/>
              <w:rPr/>
            </w:pPr>
            <w:r>
              <w:rPr>
                <w:i/>
                <w:iCs/>
                <w:sz w:val="20"/>
                <w:szCs w:val="20"/>
              </w:rPr>
              <w:t> </w:t>
            </w:r>
          </w:p>
        </w:tc>
        <w:tc>
          <w:tcPr>
            <w:tcW w:w="711" w:type="dxa"/>
            <w:gridSpan w:val="3"/>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right"/>
              <w:textAlignment w:val="auto"/>
              <w:rPr/>
            </w:pPr>
            <w:r>
              <w:rPr>
                <w:i/>
                <w:iCs/>
                <w:sz w:val="20"/>
                <w:szCs w:val="20"/>
              </w:rPr>
              <w:t> </w:t>
            </w:r>
          </w:p>
        </w:tc>
      </w:tr>
      <w:tr>
        <w:trPr>
          <w:trHeight w:val="189" w:hRule="atLeast"/>
        </w:trPr>
        <w:tc>
          <w:tcPr>
            <w:tcW w:w="2834"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Doctori habilitaţi</w:t>
            </w:r>
          </w:p>
        </w:tc>
        <w:tc>
          <w:tcPr>
            <w:tcW w:w="709" w:type="dxa"/>
            <w:gridSpan w:val="3"/>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lang w:val="en-US"/>
              </w:rPr>
            </w:pPr>
            <w:r>
              <w:rPr>
                <w:sz w:val="20"/>
                <w:szCs w:val="20"/>
                <w:lang w:val="en-US" w:eastAsia="en-US"/>
              </w:rPr>
              <w:t>1,5</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20"/>
                <w:szCs w:val="20"/>
                <w:lang w:val="en-US"/>
              </w:rPr>
              <w:t>1</w:t>
            </w:r>
          </w:p>
        </w:tc>
        <w:tc>
          <w:tcPr>
            <w:tcW w:w="708"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r>
              <w:rPr>
                <w:sz w:val="20"/>
                <w:szCs w:val="20"/>
                <w:lang w:val="en-US"/>
              </w:rPr>
              <w:t>1</w:t>
            </w:r>
          </w:p>
        </w:tc>
        <w:tc>
          <w:tcPr>
            <w:tcW w:w="566"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708"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1</w:t>
            </w:r>
          </w:p>
        </w:tc>
        <w:tc>
          <w:tcPr>
            <w:tcW w:w="708"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11"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20"/>
                <w:szCs w:val="20"/>
                <w:lang w:val="en-US"/>
              </w:rPr>
              <w:t>1</w:t>
            </w:r>
            <w:r>
              <w:rPr>
                <w:sz w:val="20"/>
                <w:szCs w:val="20"/>
              </w:rPr>
              <w:t> </w:t>
            </w:r>
          </w:p>
        </w:tc>
      </w:tr>
      <w:tr>
        <w:trPr>
          <w:trHeight w:val="164" w:hRule="atLeast"/>
        </w:trPr>
        <w:tc>
          <w:tcPr>
            <w:tcW w:w="66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lang w:val="en-US"/>
              </w:rPr>
            </w:pPr>
            <w:r>
              <w:rPr>
                <w:sz w:val="20"/>
                <w:szCs w:val="20"/>
                <w:lang w:val="en-US" w:eastAsia="en-US"/>
              </w:rPr>
              <w:t> </w:t>
            </w:r>
          </w:p>
        </w:tc>
        <w:tc>
          <w:tcPr>
            <w:tcW w:w="2174"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0"/>
              <w:jc w:val="left"/>
              <w:textAlignment w:val="auto"/>
              <w:rPr>
                <w:lang w:val="en-US"/>
              </w:rPr>
            </w:pPr>
            <w:r>
              <w:rPr>
                <w:sz w:val="20"/>
                <w:szCs w:val="20"/>
                <w:lang w:val="en-US" w:eastAsia="en-US"/>
              </w:rPr>
              <w:t>Femei</w:t>
            </w:r>
          </w:p>
        </w:tc>
        <w:tc>
          <w:tcPr>
            <w:tcW w:w="709" w:type="dxa"/>
            <w:gridSpan w:val="3"/>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hanging="0"/>
              <w:jc w:val="center"/>
              <w:textAlignment w:val="auto"/>
              <w:rPr>
                <w:lang w:val="ro-RO"/>
              </w:rPr>
            </w:pPr>
            <w:r>
              <w:rPr>
                <w:sz w:val="20"/>
                <w:szCs w:val="20"/>
                <w:lang w:val="ro-RO"/>
              </w:rPr>
              <w:t xml:space="preserve">   </w:t>
            </w:r>
            <w:r>
              <w:rPr>
                <w:sz w:val="20"/>
                <w:szCs w:val="20"/>
                <w:lang w:val="ro-RO"/>
              </w:rPr>
              <w:t>0,5</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20"/>
                <w:szCs w:val="20"/>
              </w:rPr>
              <w:t>0</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6"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1</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20"/>
                <w:szCs w:val="20"/>
                <w:lang w:val="en-US" w:eastAsia="en-US"/>
              </w:rPr>
              <w:t>0</w:t>
            </w:r>
          </w:p>
        </w:tc>
      </w:tr>
      <w:tr>
        <w:trPr>
          <w:trHeight w:val="169" w:hRule="atLeast"/>
        </w:trPr>
        <w:tc>
          <w:tcPr>
            <w:tcW w:w="2834"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Doctori în ştiinţe</w:t>
            </w:r>
          </w:p>
        </w:tc>
        <w:tc>
          <w:tcPr>
            <w:tcW w:w="709" w:type="dxa"/>
            <w:gridSpan w:val="3"/>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lang w:val="en-US"/>
              </w:rPr>
            </w:pPr>
            <w:r>
              <w:rPr>
                <w:sz w:val="20"/>
                <w:szCs w:val="20"/>
                <w:lang w:val="en-US" w:eastAsia="en-US"/>
              </w:rPr>
              <w:t>4,5</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20"/>
                <w:szCs w:val="20"/>
                <w:lang w:val="en-US"/>
              </w:rPr>
              <w:t>5</w:t>
            </w:r>
          </w:p>
        </w:tc>
        <w:tc>
          <w:tcPr>
            <w:tcW w:w="708"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6"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r>
              <w:rPr>
                <w:sz w:val="20"/>
                <w:szCs w:val="20"/>
                <w:lang w:val="ro-RO"/>
              </w:rPr>
              <w:t>1</w:t>
            </w:r>
          </w:p>
        </w:tc>
        <w:tc>
          <w:tcPr>
            <w:tcW w:w="708"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1</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rPr>
              <w:t>3</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r>
              <w:rPr>
                <w:sz w:val="20"/>
                <w:szCs w:val="20"/>
                <w:lang w:val="en-US"/>
              </w:rPr>
              <w:t>1</w:t>
            </w:r>
          </w:p>
        </w:tc>
        <w:tc>
          <w:tcPr>
            <w:tcW w:w="708"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rPr>
              <w:t>0</w:t>
            </w:r>
          </w:p>
        </w:tc>
        <w:tc>
          <w:tcPr>
            <w:tcW w:w="711"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20"/>
                <w:szCs w:val="20"/>
                <w:lang w:val="en-US"/>
              </w:rPr>
              <w:t>6</w:t>
            </w:r>
            <w:r>
              <w:rPr>
                <w:sz w:val="20"/>
                <w:szCs w:val="20"/>
              </w:rPr>
              <w:t> </w:t>
            </w:r>
          </w:p>
        </w:tc>
      </w:tr>
      <w:tr>
        <w:trPr>
          <w:trHeight w:val="130" w:hRule="atLeast"/>
        </w:trPr>
        <w:tc>
          <w:tcPr>
            <w:tcW w:w="66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lang w:val="en-US"/>
              </w:rPr>
            </w:pPr>
            <w:r>
              <w:rPr>
                <w:sz w:val="20"/>
                <w:szCs w:val="20"/>
                <w:lang w:val="en-US" w:eastAsia="en-US"/>
              </w:rPr>
              <w:t> </w:t>
            </w:r>
          </w:p>
        </w:tc>
        <w:tc>
          <w:tcPr>
            <w:tcW w:w="2174"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0"/>
              <w:jc w:val="left"/>
              <w:textAlignment w:val="auto"/>
              <w:rPr>
                <w:lang w:val="en-US"/>
              </w:rPr>
            </w:pPr>
            <w:r>
              <w:rPr>
                <w:sz w:val="20"/>
                <w:szCs w:val="20"/>
                <w:lang w:val="en-US" w:eastAsia="en-US"/>
              </w:rPr>
              <w:t>Femei</w:t>
            </w:r>
          </w:p>
        </w:tc>
        <w:tc>
          <w:tcPr>
            <w:tcW w:w="709" w:type="dxa"/>
            <w:gridSpan w:val="3"/>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hanging="0"/>
              <w:jc w:val="center"/>
              <w:textAlignment w:val="auto"/>
              <w:rPr>
                <w:lang w:val="en-US"/>
              </w:rPr>
            </w:pPr>
            <w:r>
              <w:rPr>
                <w:sz w:val="20"/>
                <w:szCs w:val="20"/>
                <w:lang w:val="en-US"/>
              </w:rPr>
              <w:t>2</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rPr>
              <w:t>2</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6"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1</w:t>
            </w:r>
          </w:p>
        </w:tc>
        <w:tc>
          <w:tcPr>
            <w:tcW w:w="70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1</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20"/>
                <w:szCs w:val="20"/>
                <w:lang w:val="en-US" w:eastAsia="en-US"/>
              </w:rPr>
              <w:t>2</w:t>
            </w:r>
          </w:p>
        </w:tc>
      </w:tr>
      <w:tr>
        <w:trPr>
          <w:trHeight w:val="107" w:hRule="atLeast"/>
        </w:trPr>
        <w:tc>
          <w:tcPr>
            <w:tcW w:w="2834"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sz w:val="20"/>
                <w:szCs w:val="20"/>
                <w:lang w:val="en-US" w:eastAsia="en-US"/>
              </w:rPr>
              <w:t xml:space="preserve">Postdoctoranzi </w:t>
            </w:r>
          </w:p>
        </w:tc>
        <w:tc>
          <w:tcPr>
            <w:tcW w:w="709" w:type="dxa"/>
            <w:gridSpan w:val="3"/>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lang w:val="en-US"/>
              </w:rPr>
            </w:pPr>
            <w:r>
              <w:rPr>
                <w:sz w:val="20"/>
                <w:szCs w:val="20"/>
                <w:lang w:val="en-US" w:eastAsia="en-US"/>
              </w:rPr>
              <w:t> </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sz w:val="20"/>
                <w:szCs w:val="20"/>
              </w:rPr>
              <w:t> </w:t>
            </w:r>
          </w:p>
        </w:tc>
        <w:tc>
          <w:tcPr>
            <w:tcW w:w="708"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6"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8"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8"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11"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sz w:val="20"/>
                <w:szCs w:val="20"/>
              </w:rPr>
              <w:t> </w:t>
            </w:r>
          </w:p>
        </w:tc>
      </w:tr>
      <w:tr>
        <w:trPr>
          <w:trHeight w:val="210" w:hRule="atLeast"/>
        </w:trPr>
        <w:tc>
          <w:tcPr>
            <w:tcW w:w="66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lang w:val="en-US"/>
              </w:rPr>
            </w:pPr>
            <w:r>
              <w:rPr>
                <w:sz w:val="20"/>
                <w:szCs w:val="20"/>
                <w:lang w:val="en-US" w:eastAsia="en-US"/>
              </w:rPr>
              <w:t> </w:t>
            </w:r>
          </w:p>
        </w:tc>
        <w:tc>
          <w:tcPr>
            <w:tcW w:w="2174"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0"/>
              <w:jc w:val="left"/>
              <w:textAlignment w:val="auto"/>
              <w:rPr>
                <w:lang w:val="en-US"/>
              </w:rPr>
            </w:pPr>
            <w:r>
              <w:rPr>
                <w:sz w:val="20"/>
                <w:szCs w:val="20"/>
                <w:lang w:val="en-US" w:eastAsia="en-US"/>
              </w:rPr>
              <w:t>Femei</w:t>
            </w:r>
          </w:p>
        </w:tc>
        <w:tc>
          <w:tcPr>
            <w:tcW w:w="709" w:type="dxa"/>
            <w:gridSpan w:val="3"/>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20"/>
                <w:szCs w:val="20"/>
              </w:rPr>
              <w:t>0</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6"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20"/>
                <w:szCs w:val="20"/>
                <w:lang w:val="en-US" w:eastAsia="en-US"/>
              </w:rPr>
              <w:t>0</w:t>
            </w:r>
          </w:p>
        </w:tc>
      </w:tr>
      <w:tr>
        <w:trPr>
          <w:trHeight w:val="130" w:hRule="atLeast"/>
        </w:trPr>
        <w:tc>
          <w:tcPr>
            <w:tcW w:w="2834"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sz w:val="20"/>
                <w:szCs w:val="20"/>
                <w:lang w:val="en-US" w:eastAsia="en-US"/>
              </w:rPr>
              <w:t xml:space="preserve">Doctoranzi </w:t>
            </w:r>
          </w:p>
        </w:tc>
        <w:tc>
          <w:tcPr>
            <w:tcW w:w="709" w:type="dxa"/>
            <w:gridSpan w:val="3"/>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lang w:val="en-US"/>
              </w:rPr>
            </w:pPr>
            <w:r>
              <w:rPr>
                <w:sz w:val="20"/>
                <w:szCs w:val="20"/>
                <w:lang w:val="en-US" w:eastAsia="en-US"/>
              </w:rPr>
              <w:t> </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sz w:val="20"/>
                <w:szCs w:val="20"/>
              </w:rPr>
              <w:t> </w:t>
            </w:r>
          </w:p>
        </w:tc>
        <w:tc>
          <w:tcPr>
            <w:tcW w:w="708"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6"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8"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8"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11"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sz w:val="20"/>
                <w:szCs w:val="20"/>
              </w:rPr>
              <w:t> </w:t>
            </w:r>
          </w:p>
        </w:tc>
      </w:tr>
      <w:tr>
        <w:trPr>
          <w:trHeight w:val="221" w:hRule="atLeast"/>
        </w:trPr>
        <w:tc>
          <w:tcPr>
            <w:tcW w:w="66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lang w:val="en-US"/>
              </w:rPr>
            </w:pPr>
            <w:r>
              <w:rPr>
                <w:sz w:val="20"/>
                <w:szCs w:val="20"/>
                <w:lang w:val="en-US" w:eastAsia="en-US"/>
              </w:rPr>
              <w:t> </w:t>
            </w:r>
          </w:p>
        </w:tc>
        <w:tc>
          <w:tcPr>
            <w:tcW w:w="2174"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0"/>
              <w:jc w:val="left"/>
              <w:textAlignment w:val="auto"/>
              <w:rPr>
                <w:lang w:val="en-US"/>
              </w:rPr>
            </w:pPr>
            <w:r>
              <w:rPr>
                <w:sz w:val="20"/>
                <w:szCs w:val="20"/>
                <w:lang w:val="en-US" w:eastAsia="en-US"/>
              </w:rPr>
              <w:t>Femei</w:t>
            </w:r>
          </w:p>
        </w:tc>
        <w:tc>
          <w:tcPr>
            <w:tcW w:w="709" w:type="dxa"/>
            <w:gridSpan w:val="3"/>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20"/>
                <w:szCs w:val="20"/>
              </w:rPr>
              <w:t>0</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6"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20"/>
                <w:szCs w:val="20"/>
                <w:lang w:val="en-US" w:eastAsia="en-US"/>
              </w:rPr>
              <w:t>0</w:t>
            </w:r>
          </w:p>
        </w:tc>
      </w:tr>
      <w:tr>
        <w:trPr>
          <w:trHeight w:val="154" w:hRule="atLeast"/>
        </w:trPr>
        <w:tc>
          <w:tcPr>
            <w:tcW w:w="2834"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sz w:val="20"/>
                <w:szCs w:val="20"/>
                <w:lang w:val="en-US" w:eastAsia="en-US"/>
              </w:rPr>
              <w:t xml:space="preserve">Masteranzi </w:t>
            </w:r>
          </w:p>
        </w:tc>
        <w:tc>
          <w:tcPr>
            <w:tcW w:w="709" w:type="dxa"/>
            <w:gridSpan w:val="3"/>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lang w:val="en-US"/>
              </w:rPr>
            </w:pPr>
            <w:r>
              <w:rPr>
                <w:sz w:val="20"/>
                <w:szCs w:val="20"/>
                <w:lang w:val="en-US" w:eastAsia="en-US"/>
              </w:rPr>
              <w:t> </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sz w:val="20"/>
                <w:szCs w:val="20"/>
              </w:rPr>
              <w:t> </w:t>
            </w:r>
          </w:p>
        </w:tc>
        <w:tc>
          <w:tcPr>
            <w:tcW w:w="708"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6"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8"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8"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11"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sz w:val="20"/>
                <w:szCs w:val="20"/>
              </w:rPr>
              <w:t> </w:t>
            </w:r>
          </w:p>
        </w:tc>
      </w:tr>
      <w:tr>
        <w:trPr>
          <w:trHeight w:val="245" w:hRule="atLeast"/>
        </w:trPr>
        <w:tc>
          <w:tcPr>
            <w:tcW w:w="66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lang w:val="en-US"/>
              </w:rPr>
            </w:pPr>
            <w:r>
              <w:rPr>
                <w:sz w:val="20"/>
                <w:szCs w:val="20"/>
                <w:lang w:val="en-US" w:eastAsia="en-US"/>
              </w:rPr>
              <w:t> </w:t>
            </w:r>
          </w:p>
        </w:tc>
        <w:tc>
          <w:tcPr>
            <w:tcW w:w="2174"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0"/>
              <w:jc w:val="left"/>
              <w:textAlignment w:val="auto"/>
              <w:rPr>
                <w:lang w:val="en-US"/>
              </w:rPr>
            </w:pPr>
            <w:r>
              <w:rPr>
                <w:sz w:val="20"/>
                <w:szCs w:val="20"/>
                <w:lang w:val="en-US" w:eastAsia="en-US"/>
              </w:rPr>
              <w:t>Femei</w:t>
            </w:r>
          </w:p>
        </w:tc>
        <w:tc>
          <w:tcPr>
            <w:tcW w:w="709" w:type="dxa"/>
            <w:gridSpan w:val="3"/>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20"/>
                <w:szCs w:val="20"/>
              </w:rPr>
              <w:t>0</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6"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20"/>
                <w:szCs w:val="20"/>
                <w:lang w:val="en-US" w:eastAsia="en-US"/>
              </w:rPr>
              <w:t>0</w:t>
            </w:r>
          </w:p>
        </w:tc>
      </w:tr>
      <w:tr>
        <w:trPr>
          <w:trHeight w:val="315" w:hRule="atLeast"/>
        </w:trPr>
        <w:tc>
          <w:tcPr>
            <w:tcW w:w="2834"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 xml:space="preserve">Ingineri şi spec. cu </w:t>
            </w:r>
            <w:r>
              <w:rPr>
                <w:color w:val="000000"/>
                <w:sz w:val="20"/>
                <w:szCs w:val="20"/>
                <w:lang w:val="fr-FR" w:eastAsia="en-US"/>
              </w:rPr>
              <w:t>studii super.</w:t>
            </w:r>
            <w:r>
              <w:rPr>
                <w:sz w:val="20"/>
                <w:szCs w:val="20"/>
                <w:lang w:val="fr-FR" w:eastAsia="en-US"/>
              </w:rPr>
              <w:t xml:space="preserve">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sz w:val="20"/>
                <w:szCs w:val="20"/>
                <w:lang w:val="en-US" w:eastAsia="en-US"/>
              </w:rPr>
              <w:t>4</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20"/>
                <w:szCs w:val="20"/>
                <w:lang w:val="en-US"/>
              </w:rPr>
              <w:t>3</w:t>
            </w:r>
          </w:p>
        </w:tc>
        <w:tc>
          <w:tcPr>
            <w:tcW w:w="708"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rPr>
              <w:t>1</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r>
              <w:rPr>
                <w:sz w:val="20"/>
                <w:szCs w:val="20"/>
                <w:lang w:val="en-US"/>
              </w:rPr>
              <w:t>1</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566"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8"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r>
              <w:rPr>
                <w:sz w:val="20"/>
                <w:szCs w:val="20"/>
                <w:lang w:val="en-US"/>
              </w:rPr>
              <w:t>1</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r>
              <w:rPr>
                <w:sz w:val="20"/>
                <w:szCs w:val="20"/>
                <w:lang w:val="en-US"/>
              </w:rPr>
              <w:t>4</w:t>
            </w:r>
          </w:p>
        </w:tc>
        <w:tc>
          <w:tcPr>
            <w:tcW w:w="708"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711"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20"/>
                <w:szCs w:val="20"/>
                <w:lang w:val="en-US"/>
              </w:rPr>
              <w:t>7</w:t>
            </w:r>
          </w:p>
        </w:tc>
      </w:tr>
      <w:tr>
        <w:trPr>
          <w:trHeight w:val="128" w:hRule="atLeast"/>
        </w:trPr>
        <w:tc>
          <w:tcPr>
            <w:tcW w:w="66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lang w:val="en-US"/>
              </w:rPr>
            </w:pPr>
            <w:r>
              <w:rPr>
                <w:sz w:val="20"/>
                <w:szCs w:val="20"/>
                <w:lang w:val="en-US" w:eastAsia="en-US"/>
              </w:rPr>
              <w:t> </w:t>
            </w:r>
          </w:p>
        </w:tc>
        <w:tc>
          <w:tcPr>
            <w:tcW w:w="2174"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0"/>
              <w:jc w:val="left"/>
              <w:textAlignment w:val="auto"/>
              <w:rPr>
                <w:lang w:val="en-US"/>
              </w:rPr>
            </w:pPr>
            <w:r>
              <w:rPr>
                <w:sz w:val="20"/>
                <w:szCs w:val="20"/>
                <w:lang w:val="en-US" w:eastAsia="en-US"/>
              </w:rPr>
              <w:t>Femei</w:t>
            </w:r>
          </w:p>
        </w:tc>
        <w:tc>
          <w:tcPr>
            <w:tcW w:w="709" w:type="dxa"/>
            <w:gridSpan w:val="3"/>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hanging="0"/>
              <w:jc w:val="center"/>
              <w:textAlignment w:val="auto"/>
              <w:rPr/>
            </w:pPr>
            <w:r>
              <w:rPr>
                <w:sz w:val="20"/>
                <w:szCs w:val="20"/>
              </w:rPr>
              <w:t>1</w:t>
            </w:r>
            <w:r>
              <w:rPr>
                <w:sz w:val="20"/>
                <w:szCs w:val="20"/>
                <w:lang w:val="en-US"/>
              </w:rPr>
              <w:t>,5</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20"/>
                <w:szCs w:val="20"/>
              </w:rPr>
              <w:t>1</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6"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1</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20"/>
                <w:szCs w:val="20"/>
                <w:lang w:val="en-US" w:eastAsia="en-US"/>
              </w:rPr>
              <w:t>1</w:t>
            </w:r>
          </w:p>
        </w:tc>
      </w:tr>
      <w:tr>
        <w:trPr>
          <w:trHeight w:val="204" w:hRule="atLeast"/>
        </w:trPr>
        <w:tc>
          <w:tcPr>
            <w:tcW w:w="2834"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Tehnicieni, laboranţi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0"/>
              <w:jc w:val="left"/>
              <w:textAlignment w:val="auto"/>
              <w:rPr>
                <w:lang w:val="en-US"/>
              </w:rPr>
            </w:pPr>
            <w:r>
              <w:rPr>
                <w:sz w:val="20"/>
                <w:szCs w:val="20"/>
                <w:lang w:val="en-US" w:eastAsia="en-US"/>
              </w:rPr>
              <w:t> </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sz w:val="20"/>
                <w:szCs w:val="20"/>
              </w:rPr>
              <w:t> </w:t>
            </w:r>
          </w:p>
        </w:tc>
        <w:tc>
          <w:tcPr>
            <w:tcW w:w="708"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6"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8"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8"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11"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sz w:val="20"/>
                <w:szCs w:val="20"/>
              </w:rPr>
              <w:t> </w:t>
            </w:r>
          </w:p>
        </w:tc>
      </w:tr>
      <w:tr>
        <w:trPr>
          <w:trHeight w:val="138" w:hRule="atLeast"/>
        </w:trPr>
        <w:tc>
          <w:tcPr>
            <w:tcW w:w="66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lang w:val="en-US"/>
              </w:rPr>
            </w:pPr>
            <w:r>
              <w:rPr>
                <w:sz w:val="20"/>
                <w:szCs w:val="20"/>
                <w:lang w:val="en-US" w:eastAsia="en-US"/>
              </w:rPr>
              <w:t> </w:t>
            </w:r>
          </w:p>
        </w:tc>
        <w:tc>
          <w:tcPr>
            <w:tcW w:w="2174"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0"/>
              <w:jc w:val="left"/>
              <w:textAlignment w:val="auto"/>
              <w:rPr>
                <w:lang w:val="en-US"/>
              </w:rPr>
            </w:pPr>
            <w:r>
              <w:rPr>
                <w:sz w:val="20"/>
                <w:szCs w:val="20"/>
                <w:lang w:val="en-US" w:eastAsia="en-US"/>
              </w:rPr>
              <w:t>Femei</w:t>
            </w:r>
          </w:p>
        </w:tc>
        <w:tc>
          <w:tcPr>
            <w:tcW w:w="709" w:type="dxa"/>
            <w:gridSpan w:val="3"/>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20"/>
                <w:szCs w:val="20"/>
              </w:rPr>
              <w:t>0</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6"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20"/>
                <w:szCs w:val="20"/>
                <w:lang w:val="en-US" w:eastAsia="en-US"/>
              </w:rPr>
              <w:t>0</w:t>
            </w:r>
          </w:p>
        </w:tc>
      </w:tr>
      <w:tr>
        <w:trPr>
          <w:trHeight w:val="228" w:hRule="atLeast"/>
        </w:trPr>
        <w:tc>
          <w:tcPr>
            <w:tcW w:w="2834"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Alte categorii de salariaţi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rFonts w:ascii="Times New Roman" w:hAnsi="Times New Roman"/>
                <w:sz w:val="20"/>
                <w:szCs w:val="20"/>
                <w:lang w:val="en-US"/>
              </w:rPr>
            </w:pPr>
            <w:r>
              <w:rPr>
                <w:sz w:val="20"/>
                <w:szCs w:val="20"/>
                <w:lang w:val="en-US"/>
              </w:rPr>
            </w:r>
          </w:p>
        </w:tc>
        <w:tc>
          <w:tcPr>
            <w:tcW w:w="708"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lang w:val="en-US"/>
              </w:rPr>
            </w:pPr>
            <w:r>
              <w:rPr>
                <w:sz w:val="20"/>
                <w:szCs w:val="20"/>
                <w:lang w:val="en-US"/>
              </w:rPr>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566"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708"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708"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711"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rFonts w:ascii="Times New Roman" w:hAnsi="Times New Roman"/>
                <w:sz w:val="20"/>
                <w:szCs w:val="20"/>
              </w:rPr>
            </w:pPr>
            <w:r>
              <w:rPr>
                <w:sz w:val="20"/>
                <w:szCs w:val="20"/>
              </w:rPr>
            </w:r>
          </w:p>
        </w:tc>
      </w:tr>
      <w:tr>
        <w:trPr>
          <w:trHeight w:val="177" w:hRule="atLeast"/>
        </w:trPr>
        <w:tc>
          <w:tcPr>
            <w:tcW w:w="66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lang w:val="en-US"/>
              </w:rPr>
            </w:pPr>
            <w:r>
              <w:rPr>
                <w:sz w:val="20"/>
                <w:szCs w:val="20"/>
                <w:lang w:val="en-US" w:eastAsia="en-US"/>
              </w:rPr>
              <w:t> </w:t>
            </w:r>
          </w:p>
        </w:tc>
        <w:tc>
          <w:tcPr>
            <w:tcW w:w="2174"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0"/>
              <w:jc w:val="left"/>
              <w:textAlignment w:val="auto"/>
              <w:rPr>
                <w:lang w:val="en-US"/>
              </w:rPr>
            </w:pPr>
            <w:r>
              <w:rPr>
                <w:sz w:val="20"/>
                <w:szCs w:val="20"/>
                <w:lang w:val="en-US" w:eastAsia="en-US"/>
              </w:rPr>
              <w:t>Femei</w:t>
            </w:r>
          </w:p>
        </w:tc>
        <w:tc>
          <w:tcPr>
            <w:tcW w:w="709" w:type="dxa"/>
            <w:gridSpan w:val="3"/>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hanging="0"/>
              <w:jc w:val="center"/>
              <w:textAlignment w:val="auto"/>
              <w:rPr>
                <w:rFonts w:ascii="Times New Roman" w:hAnsi="Times New Roman"/>
                <w:sz w:val="20"/>
                <w:szCs w:val="20"/>
                <w:lang w:val="en-US"/>
              </w:rPr>
            </w:pPr>
            <w:r>
              <w:rPr>
                <w:sz w:val="20"/>
                <w:szCs w:val="20"/>
                <w:lang w:val="en-US"/>
              </w:rPr>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rFonts w:ascii="Times New Roman" w:hAnsi="Times New Roman"/>
                <w:sz w:val="20"/>
                <w:szCs w:val="20"/>
                <w:lang w:val="en-US"/>
              </w:rPr>
            </w:pPr>
            <w:r>
              <w:rPr>
                <w:sz w:val="20"/>
                <w:szCs w:val="20"/>
                <w:lang w:val="en-US"/>
              </w:rPr>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566"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70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r>
      <w:tr>
        <w:trPr>
          <w:trHeight w:val="182" w:hRule="atLeast"/>
        </w:trPr>
        <w:tc>
          <w:tcPr>
            <w:tcW w:w="2834"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1"/>
              <w:jc w:val="left"/>
              <w:textAlignment w:val="auto"/>
              <w:rPr>
                <w:lang w:val="en-US"/>
              </w:rPr>
            </w:pPr>
            <w:r>
              <w:rPr>
                <w:b/>
                <w:bCs/>
                <w:sz w:val="20"/>
                <w:szCs w:val="20"/>
                <w:lang w:val="en-US" w:eastAsia="en-US"/>
              </w:rPr>
              <w:t>Total</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bCs/>
                <w:sz w:val="20"/>
                <w:szCs w:val="20"/>
                <w:lang w:val="en-US" w:eastAsia="en-US"/>
              </w:rPr>
              <w:t>16,0</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ro-RO"/>
              </w:rPr>
            </w:pPr>
            <w:r>
              <w:rPr>
                <w:bCs/>
                <w:sz w:val="20"/>
                <w:szCs w:val="20"/>
                <w:lang w:val="ro-RO"/>
              </w:rPr>
              <w:t>14</w:t>
            </w:r>
          </w:p>
        </w:tc>
        <w:tc>
          <w:tcPr>
            <w:tcW w:w="708"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rPr>
              <w:t>1</w:t>
            </w:r>
          </w:p>
        </w:tc>
        <w:tc>
          <w:tcPr>
            <w:tcW w:w="567"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ro-RO"/>
              </w:rPr>
            </w:pPr>
            <w:r>
              <w:rPr>
                <w:sz w:val="20"/>
                <w:szCs w:val="20"/>
                <w:lang w:val="ro-RO"/>
              </w:rPr>
              <w:t>4</w:t>
            </w:r>
          </w:p>
        </w:tc>
        <w:tc>
          <w:tcPr>
            <w:tcW w:w="567"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rPr>
              <w:t>0</w:t>
            </w:r>
          </w:p>
        </w:tc>
        <w:tc>
          <w:tcPr>
            <w:tcW w:w="566"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rPr>
              <w:t>2</w:t>
            </w:r>
          </w:p>
        </w:tc>
        <w:tc>
          <w:tcPr>
            <w:tcW w:w="708"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rPr>
              <w:t>2</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rPr>
              <w:t>5</w:t>
            </w:r>
          </w:p>
        </w:tc>
        <w:tc>
          <w:tcPr>
            <w:tcW w:w="709"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rPr>
              <w:t>1</w:t>
            </w:r>
          </w:p>
        </w:tc>
        <w:tc>
          <w:tcPr>
            <w:tcW w:w="567"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rPr>
              <w:t>5</w:t>
            </w:r>
          </w:p>
        </w:tc>
        <w:tc>
          <w:tcPr>
            <w:tcW w:w="708"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rPr>
              <w:t>0</w:t>
            </w:r>
          </w:p>
        </w:tc>
        <w:tc>
          <w:tcPr>
            <w:tcW w:w="711"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rPr>
              <w:t>20</w:t>
            </w:r>
          </w:p>
        </w:tc>
      </w:tr>
      <w:tr>
        <w:trPr>
          <w:trHeight w:val="244" w:hRule="atLeast"/>
        </w:trPr>
        <w:tc>
          <w:tcPr>
            <w:tcW w:w="66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lang w:val="en-US"/>
              </w:rPr>
            </w:pPr>
            <w:r>
              <w:rPr>
                <w:sz w:val="20"/>
                <w:szCs w:val="20"/>
                <w:lang w:val="en-US" w:eastAsia="en-US"/>
              </w:rPr>
              <w:t> </w:t>
            </w:r>
          </w:p>
        </w:tc>
        <w:tc>
          <w:tcPr>
            <w:tcW w:w="2174"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1"/>
              <w:jc w:val="left"/>
              <w:textAlignment w:val="auto"/>
              <w:rPr>
                <w:lang w:val="en-US"/>
              </w:rPr>
            </w:pPr>
            <w:r>
              <w:rPr>
                <w:b/>
                <w:bCs/>
                <w:sz w:val="20"/>
                <w:szCs w:val="20"/>
                <w:lang w:val="en-US" w:eastAsia="en-US"/>
              </w:rPr>
              <w:t>Total femei</w:t>
            </w:r>
          </w:p>
        </w:tc>
        <w:tc>
          <w:tcPr>
            <w:tcW w:w="709" w:type="dxa"/>
            <w:gridSpan w:val="3"/>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hanging="0"/>
              <w:jc w:val="center"/>
              <w:textAlignment w:val="auto"/>
              <w:rPr>
                <w:lang w:val="en-US"/>
              </w:rPr>
            </w:pPr>
            <w:r>
              <w:rPr>
                <w:sz w:val="20"/>
                <w:szCs w:val="20"/>
                <w:lang w:val="en-US"/>
              </w:rPr>
              <w:t>9,5</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rPr>
              <w:t>9</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20"/>
                <w:szCs w:val="20"/>
              </w:rPr>
              <w:t>0</w:t>
            </w:r>
          </w:p>
        </w:tc>
        <w:tc>
          <w:tcPr>
            <w:tcW w:w="566"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20"/>
                <w:szCs w:val="20"/>
              </w:rPr>
              <w:t>3</w:t>
            </w:r>
          </w:p>
        </w:tc>
        <w:tc>
          <w:tcPr>
            <w:tcW w:w="567"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rPr>
              <w:t>0</w:t>
            </w:r>
          </w:p>
        </w:tc>
        <w:tc>
          <w:tcPr>
            <w:tcW w:w="567"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rPr>
              <w:t>2</w:t>
            </w:r>
          </w:p>
        </w:tc>
        <w:tc>
          <w:tcPr>
            <w:tcW w:w="707"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rPr>
              <w:t>1</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rPr>
              <w:t>3</w:t>
            </w:r>
          </w:p>
        </w:tc>
        <w:tc>
          <w:tcPr>
            <w:tcW w:w="709"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20"/>
                <w:szCs w:val="20"/>
              </w:rPr>
              <w:t>1</w:t>
            </w:r>
          </w:p>
        </w:tc>
        <w:tc>
          <w:tcPr>
            <w:tcW w:w="567"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20"/>
                <w:szCs w:val="20"/>
              </w:rPr>
              <w:t>0</w:t>
            </w:r>
          </w:p>
        </w:tc>
        <w:tc>
          <w:tcPr>
            <w:tcW w:w="709"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20"/>
                <w:szCs w:val="20"/>
              </w:rPr>
              <w:t>0</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en-US"/>
              </w:rPr>
            </w:pPr>
            <w:r>
              <w:rPr>
                <w:sz w:val="20"/>
                <w:szCs w:val="20"/>
                <w:lang w:val="en-US" w:eastAsia="en-US"/>
              </w:rPr>
              <w:t>9</w:t>
            </w:r>
          </w:p>
        </w:tc>
      </w:tr>
      <w:tr>
        <w:trPr>
          <w:trHeight w:val="193" w:hRule="atLeast"/>
        </w:trPr>
        <w:tc>
          <w:tcPr>
            <w:tcW w:w="2834"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sz w:val="20"/>
                <w:szCs w:val="20"/>
                <w:lang w:val="en-US" w:eastAsia="en-US"/>
              </w:rPr>
              <w:t>Din ei membrii academiei</w:t>
            </w:r>
          </w:p>
        </w:tc>
        <w:tc>
          <w:tcPr>
            <w:tcW w:w="709" w:type="dxa"/>
            <w:gridSpan w:val="3"/>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lang w:val="en-US"/>
              </w:rPr>
            </w:pPr>
            <w:r>
              <w:rPr>
                <w:sz w:val="20"/>
                <w:szCs w:val="20"/>
                <w:lang w:val="en-US" w:eastAsia="en-US"/>
              </w:rPr>
              <w:t> </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sz w:val="20"/>
                <w:szCs w:val="20"/>
              </w:rPr>
              <w:t> </w:t>
            </w:r>
          </w:p>
        </w:tc>
        <w:tc>
          <w:tcPr>
            <w:tcW w:w="708"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0</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6"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8"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8"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11"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sz w:val="20"/>
                <w:szCs w:val="20"/>
              </w:rPr>
              <w:t> </w:t>
            </w:r>
            <w:r>
              <w:rPr>
                <w:sz w:val="20"/>
                <w:szCs w:val="20"/>
                <w:lang w:val="en-US"/>
              </w:rPr>
              <w:t>0</w:t>
            </w:r>
          </w:p>
        </w:tc>
      </w:tr>
      <w:tr>
        <w:trPr>
          <w:trHeight w:val="168" w:hRule="atLeast"/>
        </w:trPr>
        <w:tc>
          <w:tcPr>
            <w:tcW w:w="66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lang w:val="en-US"/>
              </w:rPr>
            </w:pPr>
            <w:r>
              <w:rPr>
                <w:sz w:val="20"/>
                <w:szCs w:val="20"/>
                <w:lang w:val="en-US" w:eastAsia="en-US"/>
              </w:rPr>
              <w:t> </w:t>
            </w:r>
          </w:p>
        </w:tc>
        <w:tc>
          <w:tcPr>
            <w:tcW w:w="2174"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0"/>
              <w:jc w:val="left"/>
              <w:textAlignment w:val="auto"/>
              <w:rPr>
                <w:lang w:val="en-US"/>
              </w:rPr>
            </w:pPr>
            <w:r>
              <w:rPr>
                <w:sz w:val="20"/>
                <w:szCs w:val="20"/>
                <w:lang w:val="en-US" w:eastAsia="en-US"/>
              </w:rPr>
              <w:t>Femei</w:t>
            </w:r>
          </w:p>
        </w:tc>
        <w:tc>
          <w:tcPr>
            <w:tcW w:w="709" w:type="dxa"/>
            <w:gridSpan w:val="3"/>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20"/>
                <w:szCs w:val="20"/>
              </w:rPr>
              <w:t>0</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6"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en-US"/>
              </w:rPr>
            </w:pPr>
            <w:r>
              <w:rPr>
                <w:sz w:val="20"/>
                <w:szCs w:val="20"/>
                <w:lang w:val="en-US" w:eastAsia="en-US"/>
              </w:rPr>
              <w:t>0</w:t>
            </w:r>
          </w:p>
        </w:tc>
      </w:tr>
      <w:tr>
        <w:trPr>
          <w:trHeight w:val="300" w:hRule="atLeast"/>
        </w:trPr>
        <w:tc>
          <w:tcPr>
            <w:tcW w:w="661" w:type="dxa"/>
            <w:tcBorders/>
            <w:shd w:fill="auto" w:val="clear"/>
          </w:tcPr>
          <w:p>
            <w:pPr>
              <w:pStyle w:val="Normal"/>
              <w:widowControl/>
              <w:bidi w:val="0"/>
              <w:ind w:left="0" w:right="0" w:firstLine="20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2174" w:type="dxa"/>
            <w:gridSpan w:val="2"/>
            <w:tcBorders/>
            <w:shd w:fill="auto" w:val="clear"/>
          </w:tcPr>
          <w:p>
            <w:pPr>
              <w:pStyle w:val="Normal"/>
              <w:widowControl/>
              <w:bidi w:val="0"/>
              <w:ind w:left="0" w:right="0" w:firstLine="201"/>
              <w:jc w:val="left"/>
              <w:textAlignment w:val="auto"/>
              <w:rPr>
                <w:rFonts w:ascii="Arial" w:hAnsi="Arial" w:cs="Arial"/>
                <w:b/>
                <w:b/>
                <w:bCs/>
                <w:sz w:val="20"/>
                <w:szCs w:val="20"/>
                <w:lang w:val="en-US" w:eastAsia="en-US"/>
              </w:rPr>
            </w:pPr>
            <w:r>
              <w:rPr>
                <w:rFonts w:cs="Arial" w:ascii="Arial" w:hAnsi="Arial"/>
                <w:b/>
                <w:bCs/>
                <w:sz w:val="20"/>
                <w:szCs w:val="20"/>
                <w:lang w:val="en-US" w:eastAsia="en-US"/>
              </w:rPr>
            </w:r>
          </w:p>
        </w:tc>
        <w:tc>
          <w:tcPr>
            <w:tcW w:w="709" w:type="dxa"/>
            <w:gridSpan w:val="3"/>
            <w:tcBorders/>
            <w:shd w:fill="auto" w:val="clear"/>
          </w:tcPr>
          <w:p>
            <w:pPr>
              <w:pStyle w:val="Normal"/>
              <w:widowControl/>
              <w:bidi w:val="0"/>
              <w:ind w:left="0" w:right="0" w:firstLine="240"/>
              <w:jc w:val="left"/>
              <w:textAlignment w:val="auto"/>
              <w:rPr>
                <w:rFonts w:ascii="Arial" w:hAnsi="Arial" w:cs="Arial"/>
                <w:lang w:val="en-US" w:eastAsia="en-US"/>
              </w:rPr>
            </w:pPr>
            <w:r>
              <w:rPr>
                <w:rFonts w:cs="Arial" w:ascii="Arial" w:hAnsi="Arial"/>
                <w:lang w:val="en-US" w:eastAsia="en-US"/>
              </w:rPr>
            </w:r>
          </w:p>
        </w:tc>
        <w:tc>
          <w:tcPr>
            <w:tcW w:w="709" w:type="dxa"/>
            <w:gridSpan w:val="2"/>
            <w:tcBorders/>
            <w:shd w:fill="auto" w:val="clear"/>
            <w:vAlign w:val="bottom"/>
          </w:tcPr>
          <w:p>
            <w:pPr>
              <w:pStyle w:val="Normal"/>
              <w:widowControl/>
              <w:bidi w:val="0"/>
              <w:ind w:left="0" w:right="0" w:hanging="0"/>
              <w:jc w:val="center"/>
              <w:textAlignment w:val="auto"/>
              <w:rPr>
                <w:rFonts w:ascii="Arial" w:hAnsi="Arial" w:cs="Arial"/>
                <w:sz w:val="20"/>
                <w:szCs w:val="20"/>
                <w:lang w:val="en-US" w:eastAsia="en-US"/>
              </w:rPr>
            </w:pPr>
            <w:r>
              <w:rPr>
                <w:rFonts w:cs="Arial" w:ascii="Arial" w:hAnsi="Arial"/>
                <w:sz w:val="20"/>
                <w:szCs w:val="20"/>
                <w:lang w:val="en-US" w:eastAsia="en-US"/>
              </w:rPr>
            </w:r>
          </w:p>
        </w:tc>
        <w:tc>
          <w:tcPr>
            <w:tcW w:w="709" w:type="dxa"/>
            <w:gridSpan w:val="2"/>
            <w:tcBorders/>
            <w:shd w:fill="auto" w:val="clear"/>
            <w:vAlign w:val="bottom"/>
          </w:tcPr>
          <w:p>
            <w:pPr>
              <w:pStyle w:val="Normal"/>
              <w:widowControl/>
              <w:bidi w:val="0"/>
              <w:ind w:left="0" w:right="0" w:hanging="0"/>
              <w:jc w:val="center"/>
              <w:textAlignment w:val="auto"/>
              <w:rPr>
                <w:rFonts w:ascii="Arial" w:hAnsi="Arial" w:cs="Arial"/>
                <w:sz w:val="20"/>
                <w:szCs w:val="20"/>
                <w:lang w:val="en-US" w:eastAsia="en-US"/>
              </w:rPr>
            </w:pPr>
            <w:r>
              <w:rPr>
                <w:rFonts w:cs="Arial" w:ascii="Arial" w:hAnsi="Arial"/>
                <w:sz w:val="20"/>
                <w:szCs w:val="20"/>
                <w:lang w:val="en-US" w:eastAsia="en-US"/>
              </w:rPr>
            </w:r>
          </w:p>
        </w:tc>
        <w:tc>
          <w:tcPr>
            <w:tcW w:w="566" w:type="dxa"/>
            <w:gridSpan w:val="3"/>
            <w:tcBorders/>
            <w:shd w:fill="auto" w:val="clear"/>
            <w:vAlign w:val="bottom"/>
          </w:tcPr>
          <w:p>
            <w:pPr>
              <w:pStyle w:val="Normal"/>
              <w:widowControl/>
              <w:bidi w:val="0"/>
              <w:ind w:left="0" w:right="0" w:hanging="0"/>
              <w:jc w:val="center"/>
              <w:textAlignment w:val="auto"/>
              <w:rPr>
                <w:rFonts w:ascii="Arial" w:hAnsi="Arial" w:cs="Arial"/>
                <w:sz w:val="20"/>
                <w:szCs w:val="20"/>
                <w:lang w:val="en-US" w:eastAsia="en-US"/>
              </w:rPr>
            </w:pPr>
            <w:r>
              <w:rPr>
                <w:rFonts w:cs="Arial" w:ascii="Arial" w:hAnsi="Arial"/>
                <w:sz w:val="20"/>
                <w:szCs w:val="20"/>
                <w:lang w:val="en-US" w:eastAsia="en-US"/>
              </w:rPr>
            </w:r>
          </w:p>
        </w:tc>
        <w:tc>
          <w:tcPr>
            <w:tcW w:w="567" w:type="dxa"/>
            <w:gridSpan w:val="2"/>
            <w:tcBorders/>
            <w:shd w:fill="auto" w:val="clear"/>
            <w:vAlign w:val="bottom"/>
          </w:tcPr>
          <w:p>
            <w:pPr>
              <w:pStyle w:val="Normal"/>
              <w:widowControl/>
              <w:bidi w:val="0"/>
              <w:ind w:left="0" w:right="0" w:hanging="0"/>
              <w:jc w:val="center"/>
              <w:textAlignment w:val="auto"/>
              <w:rPr>
                <w:rFonts w:ascii="Arial" w:hAnsi="Arial" w:cs="Arial"/>
                <w:sz w:val="20"/>
                <w:szCs w:val="20"/>
                <w:lang w:val="en-US" w:eastAsia="en-US"/>
              </w:rPr>
            </w:pPr>
            <w:r>
              <w:rPr>
                <w:rFonts w:cs="Arial" w:ascii="Arial" w:hAnsi="Arial"/>
                <w:sz w:val="20"/>
                <w:szCs w:val="20"/>
                <w:lang w:val="en-US" w:eastAsia="en-US"/>
              </w:rPr>
            </w:r>
          </w:p>
        </w:tc>
        <w:tc>
          <w:tcPr>
            <w:tcW w:w="567" w:type="dxa"/>
            <w:gridSpan w:val="2"/>
            <w:tcBorders/>
            <w:shd w:fill="auto" w:val="clear"/>
            <w:vAlign w:val="bottom"/>
          </w:tcPr>
          <w:p>
            <w:pPr>
              <w:pStyle w:val="Normal"/>
              <w:widowControl/>
              <w:bidi w:val="0"/>
              <w:ind w:left="0" w:right="0" w:hanging="0"/>
              <w:jc w:val="center"/>
              <w:textAlignment w:val="auto"/>
              <w:rPr>
                <w:rFonts w:ascii="Arial" w:hAnsi="Arial" w:cs="Arial"/>
                <w:sz w:val="20"/>
                <w:szCs w:val="20"/>
                <w:lang w:val="en-US" w:eastAsia="en-US"/>
              </w:rPr>
            </w:pPr>
            <w:r>
              <w:rPr>
                <w:rFonts w:cs="Arial" w:ascii="Arial" w:hAnsi="Arial"/>
                <w:sz w:val="20"/>
                <w:szCs w:val="20"/>
                <w:lang w:val="en-US" w:eastAsia="en-US"/>
              </w:rPr>
            </w:r>
          </w:p>
        </w:tc>
        <w:tc>
          <w:tcPr>
            <w:tcW w:w="707" w:type="dxa"/>
            <w:gridSpan w:val="3"/>
            <w:tcBorders/>
            <w:shd w:fill="auto" w:val="clear"/>
            <w:vAlign w:val="bottom"/>
          </w:tcPr>
          <w:p>
            <w:pPr>
              <w:pStyle w:val="Normal"/>
              <w:widowControl/>
              <w:bidi w:val="0"/>
              <w:ind w:left="0" w:right="0" w:hanging="0"/>
              <w:jc w:val="center"/>
              <w:textAlignment w:val="auto"/>
              <w:rPr>
                <w:rFonts w:ascii="Arial" w:hAnsi="Arial" w:cs="Arial"/>
                <w:sz w:val="20"/>
                <w:szCs w:val="20"/>
                <w:lang w:val="en-US" w:eastAsia="en-US"/>
              </w:rPr>
            </w:pPr>
            <w:r>
              <w:rPr>
                <w:rFonts w:cs="Arial" w:ascii="Arial" w:hAnsi="Arial"/>
                <w:sz w:val="20"/>
                <w:szCs w:val="20"/>
                <w:lang w:val="en-US" w:eastAsia="en-US"/>
              </w:rPr>
            </w:r>
          </w:p>
        </w:tc>
        <w:tc>
          <w:tcPr>
            <w:tcW w:w="709" w:type="dxa"/>
            <w:gridSpan w:val="2"/>
            <w:tcBorders/>
            <w:shd w:fill="auto" w:val="clear"/>
            <w:vAlign w:val="bottom"/>
          </w:tcPr>
          <w:p>
            <w:pPr>
              <w:pStyle w:val="Normal"/>
              <w:widowControl/>
              <w:bidi w:val="0"/>
              <w:ind w:left="0" w:right="0" w:hanging="0"/>
              <w:jc w:val="center"/>
              <w:textAlignment w:val="auto"/>
              <w:rPr>
                <w:rFonts w:ascii="Arial" w:hAnsi="Arial" w:cs="Arial"/>
                <w:sz w:val="20"/>
                <w:szCs w:val="20"/>
                <w:lang w:val="en-US" w:eastAsia="en-US"/>
              </w:rPr>
            </w:pPr>
            <w:r>
              <w:rPr>
                <w:rFonts w:cs="Arial" w:ascii="Arial" w:hAnsi="Arial"/>
                <w:sz w:val="20"/>
                <w:szCs w:val="20"/>
                <w:lang w:val="en-US" w:eastAsia="en-US"/>
              </w:rPr>
            </w:r>
          </w:p>
        </w:tc>
        <w:tc>
          <w:tcPr>
            <w:tcW w:w="709" w:type="dxa"/>
            <w:gridSpan w:val="3"/>
            <w:tcBorders/>
            <w:shd w:fill="auto" w:val="clear"/>
            <w:vAlign w:val="bottom"/>
          </w:tcPr>
          <w:p>
            <w:pPr>
              <w:pStyle w:val="Normal"/>
              <w:widowControl/>
              <w:bidi w:val="0"/>
              <w:ind w:left="0" w:right="0" w:hanging="0"/>
              <w:jc w:val="center"/>
              <w:textAlignment w:val="auto"/>
              <w:rPr>
                <w:rFonts w:ascii="Arial" w:hAnsi="Arial" w:cs="Arial"/>
                <w:sz w:val="20"/>
                <w:szCs w:val="20"/>
                <w:lang w:val="en-US" w:eastAsia="en-US"/>
              </w:rPr>
            </w:pPr>
            <w:r>
              <w:rPr>
                <w:rFonts w:cs="Arial" w:ascii="Arial" w:hAnsi="Arial"/>
                <w:sz w:val="20"/>
                <w:szCs w:val="20"/>
                <w:lang w:val="en-US" w:eastAsia="en-US"/>
              </w:rPr>
            </w:r>
          </w:p>
        </w:tc>
        <w:tc>
          <w:tcPr>
            <w:tcW w:w="567" w:type="dxa"/>
            <w:gridSpan w:val="3"/>
            <w:tcBorders/>
            <w:shd w:fill="auto" w:val="clear"/>
            <w:vAlign w:val="bottom"/>
          </w:tcPr>
          <w:p>
            <w:pPr>
              <w:pStyle w:val="Normal"/>
              <w:widowControl/>
              <w:bidi w:val="0"/>
              <w:ind w:left="0" w:right="0" w:hanging="0"/>
              <w:jc w:val="center"/>
              <w:textAlignment w:val="auto"/>
              <w:rPr>
                <w:rFonts w:ascii="Arial" w:hAnsi="Arial" w:cs="Arial"/>
                <w:sz w:val="20"/>
                <w:szCs w:val="20"/>
                <w:lang w:val="en-US" w:eastAsia="en-US"/>
              </w:rPr>
            </w:pPr>
            <w:r>
              <w:rPr>
                <w:rFonts w:cs="Arial" w:ascii="Arial" w:hAnsi="Arial"/>
                <w:sz w:val="20"/>
                <w:szCs w:val="20"/>
                <w:lang w:val="en-US" w:eastAsia="en-US"/>
              </w:rPr>
            </w:r>
          </w:p>
        </w:tc>
        <w:tc>
          <w:tcPr>
            <w:tcW w:w="709" w:type="dxa"/>
            <w:gridSpan w:val="3"/>
            <w:tcBorders/>
            <w:shd w:fill="auto" w:val="clear"/>
            <w:vAlign w:val="bottom"/>
          </w:tcPr>
          <w:p>
            <w:pPr>
              <w:pStyle w:val="Normal"/>
              <w:widowControl/>
              <w:bidi w:val="0"/>
              <w:ind w:left="0" w:right="0" w:hanging="0"/>
              <w:jc w:val="center"/>
              <w:textAlignment w:val="auto"/>
              <w:rPr>
                <w:rFonts w:ascii="Arial" w:hAnsi="Arial" w:cs="Arial"/>
                <w:sz w:val="20"/>
                <w:szCs w:val="20"/>
                <w:lang w:val="en-US" w:eastAsia="en-US"/>
              </w:rPr>
            </w:pPr>
            <w:r>
              <w:rPr>
                <w:rFonts w:cs="Arial" w:ascii="Arial" w:hAnsi="Arial"/>
                <w:sz w:val="20"/>
                <w:szCs w:val="20"/>
                <w:lang w:val="en-US" w:eastAsia="en-US"/>
              </w:rPr>
            </w:r>
          </w:p>
        </w:tc>
        <w:tc>
          <w:tcPr>
            <w:tcW w:w="709" w:type="dxa"/>
            <w:gridSpan w:val="2"/>
            <w:tcBorders/>
            <w:shd w:fill="auto" w:val="clear"/>
            <w:vAlign w:val="bottom"/>
          </w:tcPr>
          <w:p>
            <w:pPr>
              <w:pStyle w:val="Normal"/>
              <w:widowControl/>
              <w:bidi w:val="0"/>
              <w:ind w:left="0" w:right="0" w:hanging="0"/>
              <w:jc w:val="center"/>
              <w:textAlignment w:val="auto"/>
              <w:rPr>
                <w:rFonts w:ascii="Arial" w:hAnsi="Arial" w:cs="Arial"/>
                <w:sz w:val="20"/>
                <w:szCs w:val="20"/>
                <w:lang w:val="en-US" w:eastAsia="en-US"/>
              </w:rPr>
            </w:pPr>
            <w:r>
              <w:rPr>
                <w:rFonts w:cs="Arial" w:ascii="Arial" w:hAnsi="Arial"/>
                <w:sz w:val="20"/>
                <w:szCs w:val="20"/>
                <w:lang w:val="en-US" w:eastAsia="en-US"/>
              </w:rPr>
            </w:r>
          </w:p>
        </w:tc>
      </w:tr>
      <w:tr>
        <w:trPr>
          <w:trHeight w:val="270" w:hRule="atLeast"/>
        </w:trPr>
        <w:tc>
          <w:tcPr>
            <w:tcW w:w="8079" w:type="dxa"/>
            <w:gridSpan w:val="23"/>
            <w:tcBorders>
              <w:bottom w:val="single" w:sz="8" w:space="0" w:color="000001"/>
              <w:insideH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3.2. Retribuirea muncii colaboratorilor 2016</w:t>
            </w:r>
          </w:p>
        </w:tc>
        <w:tc>
          <w:tcPr>
            <w:tcW w:w="709" w:type="dxa"/>
            <w:gridSpan w:val="3"/>
            <w:tcBorders/>
            <w:shd w:fill="auto" w:val="clear"/>
            <w:vAlign w:val="bottom"/>
          </w:tcPr>
          <w:p>
            <w:pPr>
              <w:pStyle w:val="Normal"/>
              <w:widowControl/>
              <w:bidi w:val="0"/>
              <w:ind w:left="0" w:right="0" w:hanging="0"/>
              <w:jc w:val="center"/>
              <w:textAlignment w:val="auto"/>
              <w:rPr>
                <w:rFonts w:ascii="Arial" w:hAnsi="Arial" w:cs="Arial"/>
                <w:b/>
                <w:b/>
                <w:bCs/>
                <w:sz w:val="20"/>
                <w:szCs w:val="20"/>
                <w:lang w:val="en-US" w:eastAsia="en-US"/>
              </w:rPr>
            </w:pPr>
            <w:r>
              <w:rPr>
                <w:rFonts w:cs="Arial" w:ascii="Arial" w:hAnsi="Arial"/>
                <w:b/>
                <w:bCs/>
                <w:sz w:val="20"/>
                <w:szCs w:val="20"/>
                <w:lang w:val="en-US" w:eastAsia="en-US"/>
              </w:rPr>
            </w:r>
          </w:p>
        </w:tc>
        <w:tc>
          <w:tcPr>
            <w:tcW w:w="567"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709"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708" w:type="dxa"/>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r>
      <w:tr>
        <w:trPr>
          <w:trHeight w:val="344" w:hRule="atLeast"/>
        </w:trPr>
        <w:tc>
          <w:tcPr>
            <w:tcW w:w="3118" w:type="dxa"/>
            <w:gridSpan w:val="4"/>
            <w:vMerge w:val="restart"/>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Categorii de personal</w:t>
            </w:r>
          </w:p>
        </w:tc>
        <w:tc>
          <w:tcPr>
            <w:tcW w:w="4961" w:type="dxa"/>
            <w:gridSpan w:val="19"/>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rFonts w:cs="Times New Roman CE" w:ascii="Times New Roman CE" w:hAnsi="Times New Roman CE"/>
                <w:b/>
                <w:bCs/>
                <w:sz w:val="20"/>
                <w:szCs w:val="20"/>
                <w:lang w:val="en-US" w:eastAsia="en-US"/>
              </w:rPr>
              <w:t xml:space="preserve">Salariul mediu lunar calculat </w:t>
            </w:r>
            <w:r>
              <w:rPr/>
              <w:br/>
            </w:r>
            <w:r>
              <w:rPr>
                <w:rFonts w:cs="Times New Roman CE" w:ascii="Times New Roman CE" w:hAnsi="Times New Roman CE"/>
                <w:b/>
                <w:bCs/>
                <w:sz w:val="20"/>
                <w:szCs w:val="20"/>
                <w:lang w:val="en-US" w:eastAsia="en-US"/>
              </w:rPr>
              <w:t>(cu sporuri şi premii)  per unitate, lei</w:t>
            </w:r>
          </w:p>
        </w:tc>
        <w:tc>
          <w:tcPr>
            <w:tcW w:w="709"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567"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709"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708" w:type="dxa"/>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r>
      <w:tr>
        <w:trPr>
          <w:trHeight w:val="152" w:hRule="atLeast"/>
        </w:trPr>
        <w:tc>
          <w:tcPr>
            <w:tcW w:w="3118" w:type="dxa"/>
            <w:gridSpan w:val="4"/>
            <w:vMerge w:val="continue"/>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c>
          <w:tcPr>
            <w:tcW w:w="4961" w:type="dxa"/>
            <w:gridSpan w:val="19"/>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Tipul de angajare</w:t>
            </w:r>
          </w:p>
        </w:tc>
        <w:tc>
          <w:tcPr>
            <w:tcW w:w="709"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567"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709"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708" w:type="dxa"/>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r>
      <w:tr>
        <w:trPr>
          <w:trHeight w:val="272" w:hRule="atLeast"/>
        </w:trPr>
        <w:tc>
          <w:tcPr>
            <w:tcW w:w="3118" w:type="dxa"/>
            <w:gridSpan w:val="4"/>
            <w:vMerge w:val="continue"/>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c>
          <w:tcPr>
            <w:tcW w:w="1134"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rFonts w:cs="Times New Roman CE" w:ascii="Times New Roman CE" w:hAnsi="Times New Roman CE"/>
                <w:sz w:val="20"/>
                <w:szCs w:val="20"/>
                <w:lang w:val="en-US" w:eastAsia="en-US"/>
              </w:rPr>
              <w:t>De bază</w:t>
            </w:r>
          </w:p>
        </w:tc>
        <w:tc>
          <w:tcPr>
            <w:tcW w:w="1133"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Cumul intern</w:t>
            </w:r>
          </w:p>
        </w:tc>
        <w:tc>
          <w:tcPr>
            <w:tcW w:w="1550" w:type="dxa"/>
            <w:gridSpan w:val="7"/>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Cumul extern</w:t>
            </w:r>
          </w:p>
        </w:tc>
        <w:tc>
          <w:tcPr>
            <w:tcW w:w="1143"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rFonts w:cs="Times New Roman CE" w:ascii="Times New Roman CE" w:hAnsi="Times New Roman CE"/>
                <w:sz w:val="20"/>
                <w:szCs w:val="20"/>
                <w:lang w:val="en-US" w:eastAsia="en-US"/>
              </w:rPr>
              <w:t>Acord de muncă</w:t>
            </w:r>
          </w:p>
        </w:tc>
        <w:tc>
          <w:tcPr>
            <w:tcW w:w="709"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567"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709"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709" w:type="dxa"/>
            <w:gridSpan w:val="2"/>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r>
      <w:tr>
        <w:trPr>
          <w:trHeight w:val="174" w:hRule="atLeast"/>
        </w:trPr>
        <w:tc>
          <w:tcPr>
            <w:tcW w:w="3118"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Şef de subdiviziune</w:t>
            </w:r>
          </w:p>
        </w:tc>
        <w:tc>
          <w:tcPr>
            <w:tcW w:w="1134"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6</w:t>
            </w:r>
            <w:r>
              <w:rPr>
                <w:sz w:val="20"/>
                <w:szCs w:val="20"/>
                <w:lang w:val="ro-RO"/>
              </w:rPr>
              <w:t>882</w:t>
            </w:r>
            <w:r>
              <w:rPr>
                <w:sz w:val="20"/>
                <w:szCs w:val="20"/>
              </w:rPr>
              <w:t>,</w:t>
            </w:r>
            <w:r>
              <w:rPr>
                <w:sz w:val="20"/>
                <w:szCs w:val="20"/>
                <w:lang w:val="ro-RO"/>
              </w:rPr>
              <w:t>73</w:t>
            </w:r>
          </w:p>
        </w:tc>
        <w:tc>
          <w:tcPr>
            <w:tcW w:w="1133"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 </w:t>
            </w:r>
          </w:p>
        </w:tc>
        <w:tc>
          <w:tcPr>
            <w:tcW w:w="1550" w:type="dxa"/>
            <w:gridSpan w:val="7"/>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1143"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 </w:t>
            </w:r>
          </w:p>
        </w:tc>
        <w:tc>
          <w:tcPr>
            <w:tcW w:w="709"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567"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709"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709" w:type="dxa"/>
            <w:gridSpan w:val="2"/>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r>
      <w:tr>
        <w:trPr>
          <w:trHeight w:val="207" w:hRule="atLeast"/>
        </w:trPr>
        <w:tc>
          <w:tcPr>
            <w:tcW w:w="3118"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Consultanţi ştiinţifici</w:t>
            </w:r>
          </w:p>
        </w:tc>
        <w:tc>
          <w:tcPr>
            <w:tcW w:w="1134"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 </w:t>
            </w:r>
          </w:p>
        </w:tc>
        <w:tc>
          <w:tcPr>
            <w:tcW w:w="1133"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 </w:t>
            </w:r>
          </w:p>
        </w:tc>
        <w:tc>
          <w:tcPr>
            <w:tcW w:w="1550" w:type="dxa"/>
            <w:gridSpan w:val="7"/>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1143"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 </w:t>
            </w:r>
          </w:p>
        </w:tc>
        <w:tc>
          <w:tcPr>
            <w:tcW w:w="709"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567"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709"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709" w:type="dxa"/>
            <w:gridSpan w:val="2"/>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r>
      <w:tr>
        <w:trPr>
          <w:trHeight w:val="238" w:hRule="atLeast"/>
        </w:trPr>
        <w:tc>
          <w:tcPr>
            <w:tcW w:w="3118"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Cercetători ştiinţifici principali</w:t>
            </w:r>
          </w:p>
        </w:tc>
        <w:tc>
          <w:tcPr>
            <w:tcW w:w="1134"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6</w:t>
            </w:r>
            <w:r>
              <w:rPr>
                <w:sz w:val="20"/>
                <w:szCs w:val="20"/>
                <w:lang w:val="ro-RO"/>
              </w:rPr>
              <w:t>185</w:t>
            </w:r>
            <w:r>
              <w:rPr>
                <w:sz w:val="20"/>
                <w:szCs w:val="20"/>
              </w:rPr>
              <w:t>,5</w:t>
            </w:r>
            <w:r>
              <w:rPr>
                <w:sz w:val="20"/>
                <w:szCs w:val="20"/>
                <w:lang w:val="ro-RO"/>
              </w:rPr>
              <w:t>6</w:t>
            </w:r>
            <w:r>
              <w:rPr>
                <w:sz w:val="20"/>
                <w:szCs w:val="20"/>
              </w:rPr>
              <w:t> </w:t>
            </w:r>
          </w:p>
        </w:tc>
        <w:tc>
          <w:tcPr>
            <w:tcW w:w="1133"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2</w:t>
            </w:r>
            <w:r>
              <w:rPr>
                <w:sz w:val="20"/>
                <w:szCs w:val="20"/>
                <w:lang w:val="ro-RO"/>
              </w:rPr>
              <w:t>0</w:t>
            </w:r>
            <w:r>
              <w:rPr>
                <w:sz w:val="20"/>
                <w:szCs w:val="20"/>
              </w:rPr>
              <w:t>7</w:t>
            </w:r>
            <w:r>
              <w:rPr>
                <w:sz w:val="20"/>
                <w:szCs w:val="20"/>
                <w:lang w:val="ro-RO"/>
              </w:rPr>
              <w:t>4</w:t>
            </w:r>
            <w:r>
              <w:rPr>
                <w:sz w:val="20"/>
                <w:szCs w:val="20"/>
              </w:rPr>
              <w:t>,</w:t>
            </w:r>
            <w:r>
              <w:rPr>
                <w:sz w:val="20"/>
                <w:szCs w:val="20"/>
                <w:lang w:val="ro-RO"/>
              </w:rPr>
              <w:t>1</w:t>
            </w:r>
          </w:p>
        </w:tc>
        <w:tc>
          <w:tcPr>
            <w:tcW w:w="1550" w:type="dxa"/>
            <w:gridSpan w:val="7"/>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1143"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 </w:t>
            </w:r>
          </w:p>
        </w:tc>
        <w:tc>
          <w:tcPr>
            <w:tcW w:w="709"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567"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709"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709" w:type="dxa"/>
            <w:gridSpan w:val="2"/>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r>
      <w:tr>
        <w:trPr>
          <w:trHeight w:val="129" w:hRule="atLeast"/>
        </w:trPr>
        <w:tc>
          <w:tcPr>
            <w:tcW w:w="3118"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Cercetători ştiinţifici coordonatori</w:t>
            </w:r>
          </w:p>
        </w:tc>
        <w:tc>
          <w:tcPr>
            <w:tcW w:w="1134"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ro-RO"/>
              </w:rPr>
            </w:pPr>
            <w:r>
              <w:rPr>
                <w:sz w:val="20"/>
                <w:szCs w:val="20"/>
                <w:lang w:val="ro-RO"/>
              </w:rPr>
              <w:t>6442,67</w:t>
            </w:r>
          </w:p>
        </w:tc>
        <w:tc>
          <w:tcPr>
            <w:tcW w:w="1133"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 </w:t>
            </w:r>
          </w:p>
        </w:tc>
        <w:tc>
          <w:tcPr>
            <w:tcW w:w="1550" w:type="dxa"/>
            <w:gridSpan w:val="7"/>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ro-RO"/>
              </w:rPr>
            </w:pPr>
            <w:r>
              <w:rPr>
                <w:sz w:val="20"/>
                <w:szCs w:val="20"/>
                <w:lang w:val="ro-RO"/>
              </w:rPr>
              <w:t>2077,53</w:t>
            </w:r>
            <w:r>
              <w:rPr>
                <w:sz w:val="20"/>
                <w:szCs w:val="20"/>
              </w:rPr>
              <w:t> </w:t>
            </w:r>
          </w:p>
        </w:tc>
        <w:tc>
          <w:tcPr>
            <w:tcW w:w="1143"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 </w:t>
            </w:r>
          </w:p>
        </w:tc>
        <w:tc>
          <w:tcPr>
            <w:tcW w:w="709"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567"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709"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709" w:type="dxa"/>
            <w:gridSpan w:val="2"/>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r>
      <w:tr>
        <w:trPr>
          <w:trHeight w:val="160" w:hRule="atLeast"/>
        </w:trPr>
        <w:tc>
          <w:tcPr>
            <w:tcW w:w="3118"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Cercetători ştiinţifici superiori</w:t>
            </w:r>
          </w:p>
        </w:tc>
        <w:tc>
          <w:tcPr>
            <w:tcW w:w="1134"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 </w:t>
            </w:r>
          </w:p>
        </w:tc>
        <w:tc>
          <w:tcPr>
            <w:tcW w:w="1133"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 </w:t>
            </w:r>
          </w:p>
        </w:tc>
        <w:tc>
          <w:tcPr>
            <w:tcW w:w="1550" w:type="dxa"/>
            <w:gridSpan w:val="7"/>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1143"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 </w:t>
            </w:r>
          </w:p>
        </w:tc>
        <w:tc>
          <w:tcPr>
            <w:tcW w:w="709"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567"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709"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709" w:type="dxa"/>
            <w:gridSpan w:val="2"/>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r>
      <w:tr>
        <w:trPr>
          <w:trHeight w:val="193" w:hRule="atLeast"/>
        </w:trPr>
        <w:tc>
          <w:tcPr>
            <w:tcW w:w="3118"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Cercetători ştiinţifici</w:t>
            </w:r>
          </w:p>
        </w:tc>
        <w:tc>
          <w:tcPr>
            <w:tcW w:w="1134"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4</w:t>
            </w:r>
            <w:r>
              <w:rPr>
                <w:sz w:val="20"/>
                <w:szCs w:val="20"/>
                <w:lang w:val="ro-RO"/>
              </w:rPr>
              <w:t>76</w:t>
            </w:r>
            <w:r>
              <w:rPr>
                <w:sz w:val="20"/>
                <w:szCs w:val="20"/>
              </w:rPr>
              <w:t>2,</w:t>
            </w:r>
            <w:r>
              <w:rPr>
                <w:sz w:val="20"/>
                <w:szCs w:val="20"/>
                <w:lang w:val="ro-RO"/>
              </w:rPr>
              <w:t>11</w:t>
            </w:r>
          </w:p>
        </w:tc>
        <w:tc>
          <w:tcPr>
            <w:tcW w:w="1133"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 </w:t>
            </w:r>
          </w:p>
        </w:tc>
        <w:tc>
          <w:tcPr>
            <w:tcW w:w="1550" w:type="dxa"/>
            <w:gridSpan w:val="7"/>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1186,89</w:t>
            </w:r>
          </w:p>
        </w:tc>
        <w:tc>
          <w:tcPr>
            <w:tcW w:w="1143"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ro-RO"/>
              </w:rPr>
            </w:pPr>
            <w:r>
              <w:rPr>
                <w:sz w:val="20"/>
                <w:szCs w:val="20"/>
                <w:lang w:val="ro-RO"/>
              </w:rPr>
              <w:t>565</w:t>
            </w:r>
            <w:r>
              <w:rPr>
                <w:sz w:val="20"/>
                <w:szCs w:val="20"/>
              </w:rPr>
              <w:t>,</w:t>
            </w:r>
            <w:r>
              <w:rPr>
                <w:sz w:val="20"/>
                <w:szCs w:val="20"/>
                <w:lang w:val="ro-RO"/>
              </w:rPr>
              <w:t>0</w:t>
            </w:r>
          </w:p>
        </w:tc>
        <w:tc>
          <w:tcPr>
            <w:tcW w:w="709"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567"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709"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709" w:type="dxa"/>
            <w:gridSpan w:val="2"/>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r>
      <w:tr>
        <w:trPr>
          <w:trHeight w:val="248" w:hRule="atLeast"/>
        </w:trPr>
        <w:tc>
          <w:tcPr>
            <w:tcW w:w="3118"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Cercetători ştiinţifici stagiari</w:t>
            </w:r>
          </w:p>
        </w:tc>
        <w:tc>
          <w:tcPr>
            <w:tcW w:w="1134"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2</w:t>
            </w:r>
            <w:r>
              <w:rPr>
                <w:sz w:val="20"/>
                <w:szCs w:val="20"/>
                <w:lang w:val="ro-RO"/>
              </w:rPr>
              <w:t>65</w:t>
            </w:r>
            <w:r>
              <w:rPr>
                <w:sz w:val="20"/>
                <w:szCs w:val="20"/>
              </w:rPr>
              <w:t>7,</w:t>
            </w:r>
            <w:r>
              <w:rPr>
                <w:sz w:val="20"/>
                <w:szCs w:val="20"/>
                <w:lang w:val="ro-RO"/>
              </w:rPr>
              <w:t>22</w:t>
            </w:r>
          </w:p>
        </w:tc>
        <w:tc>
          <w:tcPr>
            <w:tcW w:w="1133"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 </w:t>
            </w:r>
          </w:p>
        </w:tc>
        <w:tc>
          <w:tcPr>
            <w:tcW w:w="1550" w:type="dxa"/>
            <w:gridSpan w:val="7"/>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1143"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 </w:t>
            </w:r>
          </w:p>
        </w:tc>
        <w:tc>
          <w:tcPr>
            <w:tcW w:w="709"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567"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709"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709" w:type="dxa"/>
            <w:gridSpan w:val="2"/>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r>
      <w:tr>
        <w:trPr>
          <w:trHeight w:val="337" w:hRule="atLeast"/>
        </w:trPr>
        <w:tc>
          <w:tcPr>
            <w:tcW w:w="3118"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Ingineri şi specialişti cu studii superioare</w:t>
            </w:r>
          </w:p>
        </w:tc>
        <w:tc>
          <w:tcPr>
            <w:tcW w:w="1134"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1</w:t>
            </w:r>
            <w:r>
              <w:rPr>
                <w:sz w:val="20"/>
                <w:szCs w:val="20"/>
                <w:lang w:val="ro-RO"/>
              </w:rPr>
              <w:t>708</w:t>
            </w:r>
            <w:r>
              <w:rPr>
                <w:sz w:val="20"/>
                <w:szCs w:val="20"/>
              </w:rPr>
              <w:t>,</w:t>
            </w:r>
            <w:r>
              <w:rPr>
                <w:sz w:val="20"/>
                <w:szCs w:val="20"/>
                <w:lang w:val="ro-RO"/>
              </w:rPr>
              <w:t>7</w:t>
            </w:r>
          </w:p>
        </w:tc>
        <w:tc>
          <w:tcPr>
            <w:tcW w:w="1133"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 </w:t>
            </w:r>
          </w:p>
        </w:tc>
        <w:tc>
          <w:tcPr>
            <w:tcW w:w="1550" w:type="dxa"/>
            <w:gridSpan w:val="7"/>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846,36</w:t>
            </w:r>
          </w:p>
        </w:tc>
        <w:tc>
          <w:tcPr>
            <w:tcW w:w="1143"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 </w:t>
            </w:r>
          </w:p>
        </w:tc>
        <w:tc>
          <w:tcPr>
            <w:tcW w:w="709"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567"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709"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709" w:type="dxa"/>
            <w:gridSpan w:val="2"/>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r>
      <w:tr>
        <w:trPr>
          <w:trHeight w:val="200" w:hRule="atLeast"/>
        </w:trPr>
        <w:tc>
          <w:tcPr>
            <w:tcW w:w="3118"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sz w:val="20"/>
                <w:szCs w:val="20"/>
                <w:lang w:val="en-US" w:eastAsia="en-US"/>
              </w:rPr>
              <w:t>Tehnicieni</w:t>
            </w:r>
          </w:p>
        </w:tc>
        <w:tc>
          <w:tcPr>
            <w:tcW w:w="1134"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 </w:t>
            </w:r>
          </w:p>
        </w:tc>
        <w:tc>
          <w:tcPr>
            <w:tcW w:w="1133"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 </w:t>
            </w:r>
          </w:p>
        </w:tc>
        <w:tc>
          <w:tcPr>
            <w:tcW w:w="1550" w:type="dxa"/>
            <w:gridSpan w:val="7"/>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1143"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 </w:t>
            </w:r>
          </w:p>
        </w:tc>
        <w:tc>
          <w:tcPr>
            <w:tcW w:w="709"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567"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709"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709" w:type="dxa"/>
            <w:gridSpan w:val="2"/>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r>
      <w:tr>
        <w:trPr>
          <w:trHeight w:val="105" w:hRule="atLeast"/>
        </w:trPr>
        <w:tc>
          <w:tcPr>
            <w:tcW w:w="3118"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sz w:val="20"/>
                <w:szCs w:val="20"/>
                <w:lang w:val="en-US" w:eastAsia="en-US"/>
              </w:rPr>
              <w:t>Personal auxiliar</w:t>
            </w:r>
          </w:p>
        </w:tc>
        <w:tc>
          <w:tcPr>
            <w:tcW w:w="1134"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ro-RO"/>
              </w:rPr>
            </w:pPr>
            <w:r>
              <w:rPr>
                <w:sz w:val="20"/>
                <w:szCs w:val="20"/>
                <w:lang w:val="ro-RO"/>
              </w:rPr>
              <w:t>5848,59</w:t>
            </w:r>
            <w:r>
              <w:rPr>
                <w:sz w:val="20"/>
                <w:szCs w:val="20"/>
              </w:rPr>
              <w:t> </w:t>
            </w:r>
          </w:p>
        </w:tc>
        <w:tc>
          <w:tcPr>
            <w:tcW w:w="1133"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ro-RO"/>
              </w:rPr>
            </w:pPr>
            <w:r>
              <w:rPr>
                <w:sz w:val="20"/>
                <w:szCs w:val="20"/>
                <w:lang w:val="ro-RO"/>
              </w:rPr>
              <w:t>817,3</w:t>
            </w:r>
            <w:r>
              <w:rPr>
                <w:sz w:val="20"/>
                <w:szCs w:val="20"/>
              </w:rPr>
              <w:t> </w:t>
            </w:r>
          </w:p>
        </w:tc>
        <w:tc>
          <w:tcPr>
            <w:tcW w:w="1550" w:type="dxa"/>
            <w:gridSpan w:val="7"/>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1143"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 </w:t>
            </w:r>
          </w:p>
        </w:tc>
        <w:tc>
          <w:tcPr>
            <w:tcW w:w="709"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567"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709"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709" w:type="dxa"/>
            <w:gridSpan w:val="2"/>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r>
      <w:tr>
        <w:trPr>
          <w:trHeight w:val="136" w:hRule="atLeast"/>
        </w:trPr>
        <w:tc>
          <w:tcPr>
            <w:tcW w:w="3118"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sz w:val="20"/>
                <w:szCs w:val="20"/>
                <w:lang w:val="en-US" w:eastAsia="en-US"/>
              </w:rPr>
              <w:t>Alte categorii de salari</w:t>
            </w:r>
            <w:r>
              <w:rPr>
                <w:rFonts w:cs="Times New Roman CE" w:ascii="Times New Roman CE" w:hAnsi="Times New Roman CE"/>
                <w:sz w:val="20"/>
                <w:szCs w:val="20"/>
                <w:lang w:val="en-US" w:eastAsia="en-US"/>
              </w:rPr>
              <w:t>aţi</w:t>
            </w:r>
          </w:p>
        </w:tc>
        <w:tc>
          <w:tcPr>
            <w:tcW w:w="1134"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16</w:t>
            </w:r>
            <w:r>
              <w:rPr>
                <w:sz w:val="20"/>
                <w:szCs w:val="20"/>
                <w:lang w:val="ro-RO"/>
              </w:rPr>
              <w:t>42</w:t>
            </w:r>
            <w:r>
              <w:rPr>
                <w:sz w:val="20"/>
                <w:szCs w:val="20"/>
              </w:rPr>
              <w:t>,</w:t>
            </w:r>
            <w:r>
              <w:rPr>
                <w:sz w:val="20"/>
                <w:szCs w:val="20"/>
                <w:lang w:val="ro-RO"/>
              </w:rPr>
              <w:t>35</w:t>
            </w:r>
          </w:p>
        </w:tc>
        <w:tc>
          <w:tcPr>
            <w:tcW w:w="1133"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 </w:t>
            </w:r>
          </w:p>
        </w:tc>
        <w:tc>
          <w:tcPr>
            <w:tcW w:w="1550" w:type="dxa"/>
            <w:gridSpan w:val="7"/>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1143"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 </w:t>
            </w:r>
          </w:p>
        </w:tc>
        <w:tc>
          <w:tcPr>
            <w:tcW w:w="709"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567"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709"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c>
          <w:tcPr>
            <w:tcW w:w="709" w:type="dxa"/>
            <w:gridSpan w:val="2"/>
            <w:tcBorders/>
            <w:shd w:fill="auto" w:val="clear"/>
            <w:vAlign w:val="bottom"/>
          </w:tcPr>
          <w:p>
            <w:pPr>
              <w:pStyle w:val="Normal"/>
              <w:widowControl/>
              <w:bidi w:val="0"/>
              <w:ind w:left="0" w:right="0" w:hanging="0"/>
              <w:jc w:val="left"/>
              <w:textAlignment w:val="auto"/>
              <w:rPr>
                <w:rFonts w:ascii="Arial" w:hAnsi="Arial" w:cs="Arial"/>
                <w:sz w:val="20"/>
                <w:szCs w:val="20"/>
                <w:lang w:val="en-US" w:eastAsia="en-US"/>
              </w:rPr>
            </w:pPr>
            <w:r>
              <w:rPr>
                <w:rFonts w:cs="Arial" w:ascii="Arial" w:hAnsi="Arial"/>
                <w:sz w:val="20"/>
                <w:szCs w:val="20"/>
                <w:lang w:val="en-US" w:eastAsia="en-US"/>
              </w:rPr>
            </w:r>
          </w:p>
        </w:tc>
      </w:tr>
    </w:tbl>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tbl>
      <w:tblPr>
        <w:tblW w:w="9933" w:type="dxa"/>
        <w:jc w:val="left"/>
        <w:tblInd w:w="-1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0" w:type="dxa"/>
          <w:left w:w="98" w:type="dxa"/>
          <w:bottom w:w="0" w:type="dxa"/>
          <w:right w:w="108" w:type="dxa"/>
        </w:tblCellMar>
      </w:tblPr>
      <w:tblGrid>
        <w:gridCol w:w="967"/>
        <w:gridCol w:w="8392"/>
        <w:gridCol w:w="574"/>
      </w:tblGrid>
      <w:tr>
        <w:trPr>
          <w:trHeight w:val="300" w:hRule="atLeast"/>
        </w:trPr>
        <w:tc>
          <w:tcPr>
            <w:tcW w:w="9359"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rFonts w:cs="Times New Roman CE" w:ascii="Times New Roman CE" w:hAnsi="Times New Roman CE"/>
                <w:b/>
                <w:bCs/>
                <w:color w:val="000000"/>
                <w:sz w:val="20"/>
                <w:szCs w:val="20"/>
                <w:lang w:val="fr-FR" w:eastAsia="en-US"/>
              </w:rPr>
              <w:t>5. PERFORMANŢĂ ŞI VIZIBILITATE LA NIVEL INTERNAŢIONAL</w:t>
            </w:r>
          </w:p>
        </w:tc>
        <w:tc>
          <w:tcPr>
            <w:tcW w:w="574" w:type="dxa"/>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b/>
                <w:bCs/>
                <w:sz w:val="20"/>
                <w:szCs w:val="20"/>
                <w:lang w:val="en-US" w:eastAsia="en-US"/>
              </w:rPr>
              <w:t>2016</w:t>
            </w:r>
          </w:p>
        </w:tc>
      </w:tr>
      <w:tr>
        <w:trPr>
          <w:trHeight w:val="206" w:hRule="atLeast"/>
        </w:trPr>
        <w:tc>
          <w:tcPr>
            <w:tcW w:w="967"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 </w:t>
            </w:r>
          </w:p>
        </w:tc>
        <w:tc>
          <w:tcPr>
            <w:tcW w:w="8966" w:type="dxa"/>
            <w:gridSpan w:val="2"/>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lang w:val="en-US"/>
              </w:rPr>
            </w:pPr>
            <w:r>
              <w:rPr>
                <w:rFonts w:cs="Times New Roman CE" w:ascii="Times New Roman CE" w:hAnsi="Times New Roman CE"/>
                <w:b/>
                <w:bCs/>
                <w:sz w:val="20"/>
                <w:szCs w:val="20"/>
                <w:lang w:val="en-US" w:eastAsia="en-US"/>
              </w:rPr>
              <w:t>5.1. Publicaţii în străinătate</w:t>
            </w:r>
          </w:p>
        </w:tc>
      </w:tr>
      <w:tr>
        <w:trPr>
          <w:trHeight w:val="96" w:hRule="atLeast"/>
        </w:trPr>
        <w:tc>
          <w:tcPr>
            <w:tcW w:w="967" w:type="dxa"/>
            <w:vMerge w:val="restart"/>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5.1.1.</w:t>
            </w:r>
          </w:p>
        </w:tc>
        <w:tc>
          <w:tcPr>
            <w:tcW w:w="8392"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Monografii în ediţii internaţionale, incluse în una din trei sisteme de citare  Web of Science:</w:t>
            </w:r>
          </w:p>
        </w:tc>
        <w:tc>
          <w:tcPr>
            <w:tcW w:w="57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967" w:type="dxa"/>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c>
          <w:tcPr>
            <w:tcW w:w="8966" w:type="dxa"/>
            <w:gridSpan w:val="2"/>
            <w:tcBorders>
              <w:top w:val="single" w:sz="8" w:space="0" w:color="000001"/>
              <w:right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Science Citation Index Expande</w:t>
            </w:r>
            <w:r>
              <w:rPr>
                <w:rFonts w:cs="Times New Roman CE" w:ascii="Times New Roman CE" w:hAnsi="Times New Roman CE"/>
                <w:sz w:val="20"/>
                <w:szCs w:val="20"/>
                <w:lang w:val="fr-FR" w:eastAsia="en-US"/>
              </w:rPr>
              <w:t>d (baza de date pentru ştiinţele naturale şi exacte)</w:t>
            </w:r>
          </w:p>
        </w:tc>
      </w:tr>
      <w:tr>
        <w:trPr>
          <w:trHeight w:val="118" w:hRule="atLeast"/>
        </w:trPr>
        <w:tc>
          <w:tcPr>
            <w:tcW w:w="967" w:type="dxa"/>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fr-FR" w:eastAsia="en-US"/>
              </w:rPr>
            </w:pPr>
            <w:r>
              <w:rPr>
                <w:sz w:val="20"/>
                <w:szCs w:val="20"/>
                <w:lang w:val="fr-FR" w:eastAsia="en-US"/>
              </w:rPr>
            </w:r>
          </w:p>
        </w:tc>
        <w:tc>
          <w:tcPr>
            <w:tcW w:w="8966" w:type="dxa"/>
            <w:gridSpan w:val="2"/>
            <w:tcBorders>
              <w:bottom w:val="single" w:sz="4" w:space="0" w:color="000001"/>
              <w:right w:val="single" w:sz="8" w:space="0" w:color="000001"/>
              <w:insideH w:val="single" w:sz="4" w:space="0" w:color="000001"/>
              <w:insideV w:val="single" w:sz="8" w:space="0" w:color="000001"/>
            </w:tcBorders>
            <w:shd w:fill="auto" w:val="clear"/>
            <w:vAlign w:val="bottom"/>
          </w:tcPr>
          <w:p>
            <w:pPr>
              <w:pStyle w:val="Normal"/>
              <w:widowControl/>
              <w:bidi w:val="0"/>
              <w:ind w:left="0" w:right="0" w:hanging="0"/>
              <w:jc w:val="left"/>
              <w:textAlignment w:val="auto"/>
              <w:rPr/>
            </w:pPr>
            <w:hyperlink r:id="rId119">
              <w:r>
                <w:rPr>
                  <w:webHidden/>
                  <w:rStyle w:val="Style5"/>
                  <w:sz w:val="20"/>
                  <w:szCs w:val="20"/>
                  <w:u w:val="single"/>
                  <w:lang w:val="fr-FR" w:eastAsia="en-US"/>
                </w:rPr>
                <w:t>http://science.thomsonreuters.com/cgi-bin/jrnlst/jloptions.cgi?PC=D</w:t>
              </w:r>
            </w:hyperlink>
          </w:p>
        </w:tc>
      </w:tr>
      <w:tr>
        <w:trPr>
          <w:trHeight w:val="270" w:hRule="atLeast"/>
        </w:trPr>
        <w:tc>
          <w:tcPr>
            <w:tcW w:w="967" w:type="dxa"/>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fr-FR" w:eastAsia="en-US"/>
              </w:rPr>
            </w:pPr>
            <w:r>
              <w:rPr>
                <w:sz w:val="20"/>
                <w:szCs w:val="20"/>
                <w:lang w:val="fr-FR" w:eastAsia="en-US"/>
              </w:rPr>
            </w:r>
          </w:p>
        </w:tc>
        <w:tc>
          <w:tcPr>
            <w:tcW w:w="8966" w:type="dxa"/>
            <w:gridSpan w:val="2"/>
            <w:tcBorders>
              <w:top w:val="single" w:sz="4" w:space="0" w:color="000001"/>
              <w:right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Social Sciences Citation Index (baza de date p</w:t>
            </w:r>
            <w:r>
              <w:rPr>
                <w:rFonts w:cs="Times New Roman CE" w:ascii="Times New Roman CE" w:hAnsi="Times New Roman CE"/>
                <w:sz w:val="20"/>
                <w:szCs w:val="20"/>
                <w:lang w:val="fr-FR" w:eastAsia="en-US"/>
              </w:rPr>
              <w:t>entru ştiinţele sociale)</w:t>
            </w:r>
          </w:p>
        </w:tc>
      </w:tr>
      <w:tr>
        <w:trPr>
          <w:trHeight w:val="140" w:hRule="atLeast"/>
        </w:trPr>
        <w:tc>
          <w:tcPr>
            <w:tcW w:w="967" w:type="dxa"/>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fr-FR" w:eastAsia="en-US"/>
              </w:rPr>
            </w:pPr>
            <w:r>
              <w:rPr>
                <w:sz w:val="20"/>
                <w:szCs w:val="20"/>
                <w:lang w:val="fr-FR" w:eastAsia="en-US"/>
              </w:rPr>
            </w:r>
          </w:p>
        </w:tc>
        <w:tc>
          <w:tcPr>
            <w:tcW w:w="8966" w:type="dxa"/>
            <w:gridSpan w:val="2"/>
            <w:tcBorders>
              <w:bottom w:val="single" w:sz="4" w:space="0" w:color="000001"/>
              <w:right w:val="single" w:sz="8" w:space="0" w:color="000001"/>
              <w:insideH w:val="single" w:sz="4" w:space="0" w:color="000001"/>
              <w:insideV w:val="single" w:sz="8" w:space="0" w:color="000001"/>
            </w:tcBorders>
            <w:shd w:fill="auto" w:val="clear"/>
            <w:vAlign w:val="bottom"/>
          </w:tcPr>
          <w:p>
            <w:pPr>
              <w:pStyle w:val="Normal"/>
              <w:widowControl/>
              <w:bidi w:val="0"/>
              <w:ind w:left="0" w:right="0" w:hanging="0"/>
              <w:jc w:val="left"/>
              <w:textAlignment w:val="auto"/>
              <w:rPr/>
            </w:pPr>
            <w:hyperlink r:id="rId120">
              <w:r>
                <w:rPr>
                  <w:webHidden/>
                  <w:rStyle w:val="Style5"/>
                  <w:sz w:val="20"/>
                  <w:szCs w:val="20"/>
                  <w:u w:val="single"/>
                  <w:lang w:val="fr-FR" w:eastAsia="en-US"/>
                </w:rPr>
                <w:t>http://science.thomsonreuters.com/cgi-bin/jrnlst/jloptions.cgi?PC=SS</w:t>
              </w:r>
            </w:hyperlink>
          </w:p>
        </w:tc>
      </w:tr>
      <w:tr>
        <w:trPr>
          <w:trHeight w:val="270" w:hRule="atLeast"/>
        </w:trPr>
        <w:tc>
          <w:tcPr>
            <w:tcW w:w="967" w:type="dxa"/>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fr-FR" w:eastAsia="en-US"/>
              </w:rPr>
            </w:pPr>
            <w:r>
              <w:rPr>
                <w:sz w:val="20"/>
                <w:szCs w:val="20"/>
                <w:lang w:val="fr-FR" w:eastAsia="en-US"/>
              </w:rPr>
            </w:r>
          </w:p>
        </w:tc>
        <w:tc>
          <w:tcPr>
            <w:tcW w:w="8966" w:type="dxa"/>
            <w:gridSpan w:val="2"/>
            <w:tcBorders>
              <w:top w:val="single" w:sz="4" w:space="0" w:color="000001"/>
              <w:right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Arts and Humanities Citation Index (baza de date pentru ştiinţele artei şi umaniste)</w:t>
            </w:r>
          </w:p>
        </w:tc>
      </w:tr>
      <w:tr>
        <w:trPr>
          <w:trHeight w:val="60" w:hRule="atLeast"/>
        </w:trPr>
        <w:tc>
          <w:tcPr>
            <w:tcW w:w="967" w:type="dxa"/>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c>
          <w:tcPr>
            <w:tcW w:w="8966"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u w:val="single"/>
                <w:lang w:val="en-US" w:eastAsia="en-US"/>
              </w:rPr>
              <w:t>http://science.thomsonreuters.com/cgi-bin/jrnlst/jloptions.cgi?PC=H</w:t>
            </w:r>
          </w:p>
        </w:tc>
      </w:tr>
      <w:tr>
        <w:trPr>
          <w:trHeight w:val="207" w:hRule="atLeast"/>
        </w:trPr>
        <w:tc>
          <w:tcPr>
            <w:tcW w:w="967"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5.1.2.</w:t>
            </w:r>
          </w:p>
        </w:tc>
        <w:tc>
          <w:tcPr>
            <w:tcW w:w="8392"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Monografii în alte ediţii din străinătate </w:t>
            </w:r>
          </w:p>
        </w:tc>
        <w:tc>
          <w:tcPr>
            <w:tcW w:w="57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40" w:hRule="atLeast"/>
        </w:trPr>
        <w:tc>
          <w:tcPr>
            <w:tcW w:w="967"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5.1.3.</w:t>
            </w:r>
          </w:p>
        </w:tc>
        <w:tc>
          <w:tcPr>
            <w:tcW w:w="8392"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Capitole în monografii şi rapoarte la invitaţie în culegeri de lucrări la conferinţe internaţionale</w:t>
            </w:r>
          </w:p>
        </w:tc>
        <w:tc>
          <w:tcPr>
            <w:tcW w:w="57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1</w:t>
            </w:r>
          </w:p>
        </w:tc>
      </w:tr>
      <w:tr>
        <w:trPr>
          <w:trHeight w:val="115" w:hRule="atLeast"/>
        </w:trPr>
        <w:tc>
          <w:tcPr>
            <w:tcW w:w="967"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5.1.4.</w:t>
            </w:r>
          </w:p>
        </w:tc>
        <w:tc>
          <w:tcPr>
            <w:tcW w:w="8392"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Cărţi de specialitate pentru învăţământul universitar, editate în stăinătate</w:t>
            </w:r>
          </w:p>
        </w:tc>
        <w:tc>
          <w:tcPr>
            <w:tcW w:w="57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161" w:hRule="atLeast"/>
        </w:trPr>
        <w:tc>
          <w:tcPr>
            <w:tcW w:w="967"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5.1.5.</w:t>
            </w:r>
          </w:p>
        </w:tc>
        <w:tc>
          <w:tcPr>
            <w:tcW w:w="8392"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Articole în reviste cu factor de impact mai mare de 3</w:t>
            </w:r>
          </w:p>
        </w:tc>
        <w:tc>
          <w:tcPr>
            <w:tcW w:w="57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193" w:hRule="atLeast"/>
        </w:trPr>
        <w:tc>
          <w:tcPr>
            <w:tcW w:w="967"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5.1.6.</w:t>
            </w:r>
          </w:p>
        </w:tc>
        <w:tc>
          <w:tcPr>
            <w:tcW w:w="8392"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Articole în reviste cu factor de impact 1,0-2,9</w:t>
            </w:r>
          </w:p>
        </w:tc>
        <w:tc>
          <w:tcPr>
            <w:tcW w:w="57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r>
              <w:rPr>
                <w:sz w:val="20"/>
                <w:szCs w:val="20"/>
                <w:lang w:val="fr-FR" w:eastAsia="en-US"/>
              </w:rPr>
              <w:t>1</w:t>
            </w:r>
          </w:p>
        </w:tc>
      </w:tr>
      <w:tr>
        <w:trPr>
          <w:trHeight w:val="211" w:hRule="atLeast"/>
        </w:trPr>
        <w:tc>
          <w:tcPr>
            <w:tcW w:w="967"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5.1.7.</w:t>
            </w:r>
          </w:p>
        </w:tc>
        <w:tc>
          <w:tcPr>
            <w:tcW w:w="8392"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Articole în reviste cu factor de impact 0,1-0.9</w:t>
            </w:r>
          </w:p>
        </w:tc>
        <w:tc>
          <w:tcPr>
            <w:tcW w:w="57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w:t>
            </w:r>
          </w:p>
        </w:tc>
      </w:tr>
      <w:tr>
        <w:trPr>
          <w:trHeight w:val="116" w:hRule="atLeast"/>
        </w:trPr>
        <w:tc>
          <w:tcPr>
            <w:tcW w:w="967"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5.1.8.</w:t>
            </w:r>
          </w:p>
        </w:tc>
        <w:tc>
          <w:tcPr>
            <w:tcW w:w="8392"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Articole în reviste cu factor de impact 0,01- 0,09</w:t>
            </w:r>
          </w:p>
        </w:tc>
        <w:tc>
          <w:tcPr>
            <w:tcW w:w="57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147" w:hRule="atLeast"/>
        </w:trPr>
        <w:tc>
          <w:tcPr>
            <w:tcW w:w="967"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fr-FR"/>
              </w:rPr>
            </w:pPr>
            <w:r>
              <w:rPr>
                <w:sz w:val="20"/>
                <w:szCs w:val="20"/>
                <w:lang w:val="fr-FR" w:eastAsia="en-US"/>
              </w:rPr>
              <w:t> </w:t>
            </w:r>
          </w:p>
        </w:tc>
        <w:tc>
          <w:tcPr>
            <w:tcW w:w="8392"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 xml:space="preserve">      </w:t>
            </w:r>
            <w:r>
              <w:rPr>
                <w:sz w:val="20"/>
                <w:szCs w:val="20"/>
                <w:lang w:val="fr-FR" w:eastAsia="en-US"/>
              </w:rPr>
              <w:t>Inclusiv articole numai cu autori autohtoni, publicate în reviste cu factor de impact</w:t>
            </w:r>
          </w:p>
        </w:tc>
        <w:tc>
          <w:tcPr>
            <w:tcW w:w="57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60" w:hRule="atLeast"/>
        </w:trPr>
        <w:tc>
          <w:tcPr>
            <w:tcW w:w="967"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5.1.9.</w:t>
            </w:r>
          </w:p>
        </w:tc>
        <w:tc>
          <w:tcPr>
            <w:tcW w:w="8392"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Articole în alte reviste editate în străinătate </w:t>
            </w:r>
          </w:p>
        </w:tc>
        <w:tc>
          <w:tcPr>
            <w:tcW w:w="57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6 </w:t>
            </w:r>
          </w:p>
        </w:tc>
      </w:tr>
      <w:tr>
        <w:trPr>
          <w:trHeight w:val="225" w:hRule="atLeast"/>
        </w:trPr>
        <w:tc>
          <w:tcPr>
            <w:tcW w:w="967"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5.1.10.</w:t>
            </w:r>
          </w:p>
        </w:tc>
        <w:tc>
          <w:tcPr>
            <w:tcW w:w="8392"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Articole în culegeri intern</w:t>
            </w:r>
            <w:r>
              <w:rPr>
                <w:rFonts w:cs="Times New Roman CE" w:ascii="Times New Roman CE" w:hAnsi="Times New Roman CE"/>
                <w:sz w:val="20"/>
                <w:szCs w:val="20"/>
                <w:lang w:val="en-US" w:eastAsia="en-US"/>
              </w:rPr>
              <w:t>aţionale</w:t>
            </w:r>
          </w:p>
        </w:tc>
        <w:tc>
          <w:tcPr>
            <w:tcW w:w="57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16</w:t>
            </w:r>
          </w:p>
        </w:tc>
      </w:tr>
      <w:tr>
        <w:trPr>
          <w:trHeight w:val="102" w:hRule="atLeast"/>
        </w:trPr>
        <w:tc>
          <w:tcPr>
            <w:tcW w:w="967"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5.1.11.</w:t>
            </w:r>
          </w:p>
        </w:tc>
        <w:tc>
          <w:tcPr>
            <w:tcW w:w="8392"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Publicaţii ştiinţifice electronice</w:t>
            </w:r>
          </w:p>
        </w:tc>
        <w:tc>
          <w:tcPr>
            <w:tcW w:w="57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133" w:hRule="atLeast"/>
        </w:trPr>
        <w:tc>
          <w:tcPr>
            <w:tcW w:w="967"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5.1.12.</w:t>
            </w:r>
          </w:p>
        </w:tc>
        <w:tc>
          <w:tcPr>
            <w:tcW w:w="8392"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Rezumate la conferinţe ştiinţifice internaţionale</w:t>
            </w:r>
          </w:p>
        </w:tc>
        <w:tc>
          <w:tcPr>
            <w:tcW w:w="57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w:t>
            </w:r>
          </w:p>
        </w:tc>
      </w:tr>
      <w:tr>
        <w:trPr>
          <w:trHeight w:val="179" w:hRule="atLeast"/>
        </w:trPr>
        <w:tc>
          <w:tcPr>
            <w:tcW w:w="967"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5.1.13.</w:t>
            </w:r>
          </w:p>
        </w:tc>
        <w:tc>
          <w:tcPr>
            <w:tcW w:w="8392"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Preprint-uri internaţionale</w:t>
            </w:r>
          </w:p>
        </w:tc>
        <w:tc>
          <w:tcPr>
            <w:tcW w:w="57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967"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5.1.14.</w:t>
            </w:r>
          </w:p>
        </w:tc>
        <w:tc>
          <w:tcPr>
            <w:tcW w:w="8392"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Culegeri, reviste editate</w:t>
            </w:r>
          </w:p>
        </w:tc>
        <w:tc>
          <w:tcPr>
            <w:tcW w:w="57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r>
      <w:tr>
        <w:trPr>
          <w:trHeight w:val="60" w:hRule="atLeast"/>
        </w:trPr>
        <w:tc>
          <w:tcPr>
            <w:tcW w:w="967"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 </w:t>
            </w:r>
          </w:p>
        </w:tc>
        <w:tc>
          <w:tcPr>
            <w:tcW w:w="8966" w:type="dxa"/>
            <w:gridSpan w:val="2"/>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lang w:val="en-US"/>
              </w:rPr>
            </w:pPr>
            <w:r>
              <w:rPr>
                <w:rFonts w:cs="Times New Roman CE" w:ascii="Times New Roman CE" w:hAnsi="Times New Roman CE"/>
                <w:b/>
                <w:bCs/>
                <w:sz w:val="20"/>
                <w:szCs w:val="20"/>
                <w:lang w:val="en-US" w:eastAsia="en-US"/>
              </w:rPr>
              <w:t>5.2. Impactul internaţional al cercetărilor şi elaborărilor</w:t>
            </w:r>
          </w:p>
        </w:tc>
      </w:tr>
      <w:tr>
        <w:trPr>
          <w:trHeight w:val="92" w:hRule="atLeast"/>
        </w:trPr>
        <w:tc>
          <w:tcPr>
            <w:tcW w:w="967"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5.2.1.</w:t>
            </w:r>
          </w:p>
        </w:tc>
        <w:tc>
          <w:tcPr>
            <w:tcW w:w="8392"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Contracte de licenţă în baza invenţiilor şi know-how </w:t>
            </w:r>
          </w:p>
        </w:tc>
        <w:tc>
          <w:tcPr>
            <w:tcW w:w="57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65" w:hRule="atLeast"/>
        </w:trPr>
        <w:tc>
          <w:tcPr>
            <w:tcW w:w="967"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5.2.2.</w:t>
            </w:r>
          </w:p>
        </w:tc>
        <w:tc>
          <w:tcPr>
            <w:tcW w:w="8392"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Proiecte de cercetare obţinute prin competiţie de la organizaţiile din străinătate, cu un volum de finanţare &gt;100 mii EU</w:t>
            </w:r>
          </w:p>
        </w:tc>
        <w:tc>
          <w:tcPr>
            <w:tcW w:w="57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1</w:t>
            </w:r>
          </w:p>
        </w:tc>
      </w:tr>
      <w:tr>
        <w:trPr>
          <w:trHeight w:val="201" w:hRule="atLeast"/>
        </w:trPr>
        <w:tc>
          <w:tcPr>
            <w:tcW w:w="967"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5.2.3.</w:t>
            </w:r>
          </w:p>
        </w:tc>
        <w:tc>
          <w:tcPr>
            <w:tcW w:w="8392"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Proiecte de cercetare obţinute prin competiţie de la organizaţiile din străinătate, cu un volum de finanţare &lt;100 mii EU</w:t>
            </w:r>
          </w:p>
        </w:tc>
        <w:tc>
          <w:tcPr>
            <w:tcW w:w="57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rFonts w:ascii="Times New Roman" w:hAnsi="Times New Roman"/>
                <w:sz w:val="20"/>
                <w:szCs w:val="20"/>
                <w:lang w:val="fr-FR" w:eastAsia="en-US"/>
              </w:rPr>
            </w:pPr>
            <w:r>
              <w:rPr>
                <w:sz w:val="20"/>
                <w:szCs w:val="20"/>
                <w:lang w:val="fr-FR" w:eastAsia="en-US"/>
              </w:rPr>
            </w:r>
          </w:p>
        </w:tc>
      </w:tr>
      <w:tr>
        <w:trPr>
          <w:trHeight w:val="152" w:hRule="atLeast"/>
        </w:trPr>
        <w:tc>
          <w:tcPr>
            <w:tcW w:w="967"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5.2.4.</w:t>
            </w:r>
          </w:p>
        </w:tc>
        <w:tc>
          <w:tcPr>
            <w:tcW w:w="8392"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Premii din străinătate pentru  rezultatele cercetării</w:t>
            </w:r>
          </w:p>
        </w:tc>
        <w:tc>
          <w:tcPr>
            <w:tcW w:w="57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197" w:hRule="atLeast"/>
        </w:trPr>
        <w:tc>
          <w:tcPr>
            <w:tcW w:w="967"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5.2.5.</w:t>
            </w:r>
          </w:p>
        </w:tc>
        <w:tc>
          <w:tcPr>
            <w:tcW w:w="8392"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Brevete obţinute în străinătate</w:t>
            </w:r>
          </w:p>
        </w:tc>
        <w:tc>
          <w:tcPr>
            <w:tcW w:w="57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967"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5.2.6.</w:t>
            </w:r>
          </w:p>
        </w:tc>
        <w:tc>
          <w:tcPr>
            <w:tcW w:w="8392"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Rapoarte (comunicări orale) la invitaţie la conferinţe internaţionale</w:t>
            </w:r>
          </w:p>
        </w:tc>
        <w:tc>
          <w:tcPr>
            <w:tcW w:w="57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1</w:t>
            </w:r>
          </w:p>
        </w:tc>
      </w:tr>
      <w:tr>
        <w:trPr>
          <w:trHeight w:val="219" w:hRule="atLeast"/>
        </w:trPr>
        <w:tc>
          <w:tcPr>
            <w:tcW w:w="967"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5.2.7.</w:t>
            </w:r>
          </w:p>
        </w:tc>
        <w:tc>
          <w:tcPr>
            <w:tcW w:w="8392"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Menţiuni ale publicaţiilor şi rezultatelor cercetării în ediţii electronice internaţionale</w:t>
            </w:r>
          </w:p>
        </w:tc>
        <w:tc>
          <w:tcPr>
            <w:tcW w:w="57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110" w:hRule="atLeast"/>
        </w:trPr>
        <w:tc>
          <w:tcPr>
            <w:tcW w:w="967"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5.2.8.</w:t>
            </w:r>
          </w:p>
        </w:tc>
        <w:tc>
          <w:tcPr>
            <w:tcW w:w="8392"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 xml:space="preserve">Medalii </w:t>
            </w:r>
            <w:r>
              <w:rPr>
                <w:b/>
                <w:bCs/>
                <w:sz w:val="20"/>
                <w:szCs w:val="20"/>
                <w:lang w:val="fr-FR" w:eastAsia="en-US"/>
              </w:rPr>
              <w:t>de aur</w:t>
            </w:r>
            <w:r>
              <w:rPr>
                <w:rFonts w:cs="Times New Roman CE" w:ascii="Times New Roman CE" w:hAnsi="Times New Roman CE"/>
                <w:sz w:val="20"/>
                <w:szCs w:val="20"/>
                <w:lang w:val="fr-FR" w:eastAsia="en-US"/>
              </w:rPr>
              <w:t xml:space="preserve"> obţinute la expoziţii şi saloane internaţionale </w:t>
            </w:r>
          </w:p>
        </w:tc>
        <w:tc>
          <w:tcPr>
            <w:tcW w:w="57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141" w:hRule="atLeast"/>
        </w:trPr>
        <w:tc>
          <w:tcPr>
            <w:tcW w:w="967"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5.2.9.</w:t>
            </w:r>
          </w:p>
        </w:tc>
        <w:tc>
          <w:tcPr>
            <w:tcW w:w="8392"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 xml:space="preserve">Medalii </w:t>
            </w:r>
            <w:r>
              <w:rPr>
                <w:b/>
                <w:bCs/>
                <w:sz w:val="20"/>
                <w:szCs w:val="20"/>
                <w:lang w:val="fr-FR" w:eastAsia="en-US"/>
              </w:rPr>
              <w:t>de argint</w:t>
            </w:r>
            <w:r>
              <w:rPr>
                <w:rFonts w:cs="Times New Roman CE" w:ascii="Times New Roman CE" w:hAnsi="Times New Roman CE"/>
                <w:sz w:val="20"/>
                <w:szCs w:val="20"/>
                <w:lang w:val="fr-FR" w:eastAsia="en-US"/>
              </w:rPr>
              <w:t xml:space="preserve"> obţinute la expoziţii şi saloane internaţionale </w:t>
            </w:r>
          </w:p>
        </w:tc>
        <w:tc>
          <w:tcPr>
            <w:tcW w:w="57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188" w:hRule="atLeast"/>
        </w:trPr>
        <w:tc>
          <w:tcPr>
            <w:tcW w:w="967"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5.2.10.</w:t>
            </w:r>
          </w:p>
        </w:tc>
        <w:tc>
          <w:tcPr>
            <w:tcW w:w="8392"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 xml:space="preserve">Medalii </w:t>
            </w:r>
            <w:r>
              <w:rPr>
                <w:b/>
                <w:bCs/>
                <w:sz w:val="20"/>
                <w:szCs w:val="20"/>
                <w:lang w:val="fr-FR" w:eastAsia="en-US"/>
              </w:rPr>
              <w:t>de bronz</w:t>
            </w:r>
            <w:r>
              <w:rPr>
                <w:rFonts w:cs="Times New Roman CE" w:ascii="Times New Roman CE" w:hAnsi="Times New Roman CE"/>
                <w:sz w:val="20"/>
                <w:szCs w:val="20"/>
                <w:lang w:val="fr-FR" w:eastAsia="en-US"/>
              </w:rPr>
              <w:t xml:space="preserve"> obţinute la expoziţii şi saloane internaţionale </w:t>
            </w:r>
          </w:p>
        </w:tc>
        <w:tc>
          <w:tcPr>
            <w:tcW w:w="57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05" w:hRule="atLeast"/>
        </w:trPr>
        <w:tc>
          <w:tcPr>
            <w:tcW w:w="967"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5.2.11.</w:t>
            </w:r>
          </w:p>
        </w:tc>
        <w:tc>
          <w:tcPr>
            <w:tcW w:w="8392"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Diplome obţinute la expoziţii internaţionale</w:t>
            </w:r>
          </w:p>
        </w:tc>
        <w:tc>
          <w:tcPr>
            <w:tcW w:w="57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96" w:hRule="atLeast"/>
        </w:trPr>
        <w:tc>
          <w:tcPr>
            <w:tcW w:w="967" w:type="dxa"/>
            <w:tcBorders>
              <w:left w:val="single" w:sz="8" w:space="0" w:color="000001"/>
              <w:bottom w:val="single" w:sz="4" w:space="0" w:color="000001"/>
              <w:right w:val="single" w:sz="8" w:space="0" w:color="000001"/>
              <w:insideH w:val="single" w:sz="4"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5.2.12.</w:t>
            </w:r>
          </w:p>
        </w:tc>
        <w:tc>
          <w:tcPr>
            <w:tcW w:w="8392" w:type="dxa"/>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Alte distincţii de apreciere a rezultatelor cercetării şi elaborărilor</w:t>
            </w:r>
          </w:p>
        </w:tc>
        <w:tc>
          <w:tcPr>
            <w:tcW w:w="57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142" w:hRule="atLeast"/>
        </w:trPr>
        <w:tc>
          <w:tcPr>
            <w:tcW w:w="96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c>
          <w:tcPr>
            <w:tcW w:w="8966" w:type="dxa"/>
            <w:gridSpan w:val="2"/>
            <w:tcBorders>
              <w:top w:val="single" w:sz="8" w:space="0" w:color="000001"/>
              <w:left w:val="single" w:sz="4" w:space="0" w:color="000001"/>
              <w:bottom w:val="single" w:sz="8" w:space="0" w:color="000001"/>
              <w:right w:val="single" w:sz="8" w:space="0" w:color="000001"/>
              <w:insideH w:val="single" w:sz="8" w:space="0" w:color="000001"/>
              <w:insideV w:val="single" w:sz="8" w:space="0" w:color="000001"/>
            </w:tcBorders>
            <w:shd w:color="auto" w:fill="CCFFCC"/>
            <w:tcMar>
              <w:left w:w="103"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b/>
                <w:bCs/>
                <w:sz w:val="20"/>
                <w:szCs w:val="20"/>
                <w:lang w:val="en-US" w:eastAsia="en-US"/>
              </w:rPr>
              <w:t>5.3. Apreciere internaţională şi antrenare în expertiza internaţională</w:t>
            </w:r>
          </w:p>
        </w:tc>
      </w:tr>
      <w:tr>
        <w:trPr>
          <w:trHeight w:val="270" w:hRule="atLeast"/>
        </w:trPr>
        <w:tc>
          <w:tcPr>
            <w:tcW w:w="967" w:type="dxa"/>
            <w:tcBorders>
              <w:top w:val="single" w:sz="4"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5.3.1.</w:t>
            </w:r>
          </w:p>
        </w:tc>
        <w:tc>
          <w:tcPr>
            <w:tcW w:w="8392"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Membru de onoare al academiilor de ştiinţe din străinătate ales în perioada evaluată</w:t>
            </w:r>
          </w:p>
        </w:tc>
        <w:tc>
          <w:tcPr>
            <w:tcW w:w="57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967"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5.3.2.</w:t>
            </w:r>
          </w:p>
        </w:tc>
        <w:tc>
          <w:tcPr>
            <w:tcW w:w="8392"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Membru de onoare al societăţilor ştiinţifice din străinătate ales în perioada evaluată</w:t>
            </w:r>
          </w:p>
        </w:tc>
        <w:tc>
          <w:tcPr>
            <w:tcW w:w="57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967"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5.3.3.</w:t>
            </w:r>
          </w:p>
        </w:tc>
        <w:tc>
          <w:tcPr>
            <w:tcW w:w="8392"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Redactor-şef al unei reviste</w:t>
            </w:r>
            <w:r>
              <w:rPr>
                <w:sz w:val="20"/>
                <w:szCs w:val="20"/>
                <w:lang w:val="en-US" w:eastAsia="en-US"/>
              </w:rPr>
              <w:t xml:space="preserve"> de specialitate cotate ISI</w:t>
            </w:r>
          </w:p>
        </w:tc>
        <w:tc>
          <w:tcPr>
            <w:tcW w:w="57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967"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5.3.4.</w:t>
            </w:r>
          </w:p>
        </w:tc>
        <w:tc>
          <w:tcPr>
            <w:tcW w:w="8392"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 xml:space="preserve">Membru al colegiului de redacţie al revistelor de specialitate consacrate de peste hotare </w:t>
            </w:r>
          </w:p>
        </w:tc>
        <w:tc>
          <w:tcPr>
            <w:tcW w:w="57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4 </w:t>
            </w:r>
          </w:p>
        </w:tc>
      </w:tr>
      <w:tr>
        <w:trPr>
          <w:trHeight w:val="270" w:hRule="atLeast"/>
        </w:trPr>
        <w:tc>
          <w:tcPr>
            <w:tcW w:w="967"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5.3.5.</w:t>
            </w:r>
          </w:p>
        </w:tc>
        <w:tc>
          <w:tcPr>
            <w:tcW w:w="8392"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Preşedinte al Comitetului de program al manifestărilor ştiinţifici din străinătate</w:t>
            </w:r>
          </w:p>
        </w:tc>
        <w:tc>
          <w:tcPr>
            <w:tcW w:w="57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967"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5.3.6.</w:t>
            </w:r>
          </w:p>
        </w:tc>
        <w:tc>
          <w:tcPr>
            <w:tcW w:w="8392"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 xml:space="preserve">Copreşedinte al Comitetului de program al manifestărilor ştiinţifici din străinătate </w:t>
            </w:r>
          </w:p>
        </w:tc>
        <w:tc>
          <w:tcPr>
            <w:tcW w:w="57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967"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5.3.7.</w:t>
            </w:r>
          </w:p>
        </w:tc>
        <w:tc>
          <w:tcPr>
            <w:tcW w:w="8392"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Expert al proiectelor şi a altor activităţi  internaţionale </w:t>
            </w:r>
          </w:p>
        </w:tc>
        <w:tc>
          <w:tcPr>
            <w:tcW w:w="57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967"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5.3.8.</w:t>
            </w:r>
          </w:p>
        </w:tc>
        <w:tc>
          <w:tcPr>
            <w:tcW w:w="8392"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Membru în Comisiile pentru decernarea premiilor relevante din străinătate</w:t>
            </w:r>
          </w:p>
        </w:tc>
        <w:tc>
          <w:tcPr>
            <w:tcW w:w="57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967"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5.3.9.</w:t>
            </w:r>
          </w:p>
        </w:tc>
        <w:tc>
          <w:tcPr>
            <w:tcW w:w="8392"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Referent ştiinţific al revis</w:t>
            </w:r>
            <w:r>
              <w:rPr>
                <w:sz w:val="20"/>
                <w:szCs w:val="20"/>
                <w:lang w:val="en-US" w:eastAsia="en-US"/>
              </w:rPr>
              <w:t>tei cotate ISI;</w:t>
            </w:r>
          </w:p>
        </w:tc>
        <w:tc>
          <w:tcPr>
            <w:tcW w:w="57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967"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5.3.10.</w:t>
            </w:r>
          </w:p>
        </w:tc>
        <w:tc>
          <w:tcPr>
            <w:tcW w:w="8392"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Referent la susţinerea în străinătate a tezei de doctor</w:t>
            </w:r>
          </w:p>
        </w:tc>
        <w:tc>
          <w:tcPr>
            <w:tcW w:w="57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1 </w:t>
            </w:r>
          </w:p>
        </w:tc>
      </w:tr>
      <w:tr>
        <w:trPr>
          <w:trHeight w:val="270" w:hRule="atLeast"/>
        </w:trPr>
        <w:tc>
          <w:tcPr>
            <w:tcW w:w="967"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5.3.11.</w:t>
            </w:r>
          </w:p>
        </w:tc>
        <w:tc>
          <w:tcPr>
            <w:tcW w:w="8392"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Profesor invitat în instituţii universitare consacrate din străinătate</w:t>
            </w:r>
          </w:p>
        </w:tc>
        <w:tc>
          <w:tcPr>
            <w:tcW w:w="57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967"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5.3.12.</w:t>
            </w:r>
          </w:p>
        </w:tc>
        <w:tc>
          <w:tcPr>
            <w:tcW w:w="8392"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Cercetător invitat pentru activitatea ştiinţifică   A. Alhazov, Viena, Austria</w:t>
            </w:r>
          </w:p>
        </w:tc>
        <w:tc>
          <w:tcPr>
            <w:tcW w:w="57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2</w:t>
            </w:r>
          </w:p>
        </w:tc>
      </w:tr>
      <w:tr>
        <w:trPr>
          <w:trHeight w:val="270" w:hRule="atLeast"/>
        </w:trPr>
        <w:tc>
          <w:tcPr>
            <w:tcW w:w="967"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5.3.13.</w:t>
            </w:r>
          </w:p>
        </w:tc>
        <w:tc>
          <w:tcPr>
            <w:tcW w:w="8392"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sz w:val="20"/>
                <w:szCs w:val="20"/>
                <w:lang w:val="en-US" w:eastAsia="en-US"/>
              </w:rPr>
              <w:t xml:space="preserve">Stagiar, doctorand sau postdoctorand  </w:t>
            </w:r>
          </w:p>
        </w:tc>
        <w:tc>
          <w:tcPr>
            <w:tcW w:w="574"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r>
    </w:tbl>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tbl>
      <w:tblPr>
        <w:tblW w:w="10151" w:type="dxa"/>
        <w:jc w:val="left"/>
        <w:tblInd w:w="-109"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0" w:type="dxa"/>
          <w:left w:w="98" w:type="dxa"/>
          <w:bottom w:w="0" w:type="dxa"/>
          <w:right w:w="108" w:type="dxa"/>
        </w:tblCellMar>
      </w:tblPr>
      <w:tblGrid>
        <w:gridCol w:w="761"/>
        <w:gridCol w:w="200"/>
        <w:gridCol w:w="1576"/>
        <w:gridCol w:w="2538"/>
        <w:gridCol w:w="2104"/>
        <w:gridCol w:w="856"/>
        <w:gridCol w:w="1335"/>
        <w:gridCol w:w="1"/>
        <w:gridCol w:w="779"/>
      </w:tblGrid>
      <w:tr>
        <w:trPr>
          <w:trHeight w:val="78" w:hRule="atLeast"/>
        </w:trPr>
        <w:tc>
          <w:tcPr>
            <w:tcW w:w="9370" w:type="dxa"/>
            <w:gridSpan w:val="7"/>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ro-RO"/>
              </w:rPr>
            </w:pPr>
            <w:r>
              <w:rPr>
                <w:rFonts w:cs="Times New Roman CE" w:ascii="Times New Roman CE" w:hAnsi="Times New Roman CE"/>
                <w:b/>
                <w:bCs/>
                <w:sz w:val="20"/>
                <w:szCs w:val="20"/>
                <w:lang w:val="ro-RO" w:eastAsia="en-US"/>
              </w:rPr>
              <w:t xml:space="preserve">6. CONTRIBUŢIE ŞTIINŢIFICĂ ŞI RECUNOAŞTERE NAŢIONALĂ </w:t>
            </w:r>
          </w:p>
        </w:tc>
        <w:tc>
          <w:tcPr>
            <w:tcW w:w="780" w:type="dxa"/>
            <w:gridSpan w:val="2"/>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2016</w:t>
            </w:r>
          </w:p>
        </w:tc>
      </w:tr>
      <w:tr>
        <w:trPr>
          <w:trHeight w:val="110"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c>
          <w:tcPr>
            <w:tcW w:w="9189" w:type="dxa"/>
            <w:gridSpan w:val="7"/>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lang w:val="en-US"/>
              </w:rPr>
            </w:pPr>
            <w:r>
              <w:rPr>
                <w:rFonts w:cs="Times New Roman CE" w:ascii="Times New Roman CE" w:hAnsi="Times New Roman CE"/>
                <w:b/>
                <w:bCs/>
                <w:sz w:val="20"/>
                <w:szCs w:val="20"/>
                <w:lang w:val="en-US" w:eastAsia="en-US"/>
              </w:rPr>
              <w:t>6.1. Publicaţii în ţară</w:t>
            </w:r>
          </w:p>
        </w:tc>
      </w:tr>
      <w:tr>
        <w:trPr>
          <w:trHeight w:val="99"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6.1.1.</w:t>
            </w:r>
          </w:p>
        </w:tc>
        <w:tc>
          <w:tcPr>
            <w:tcW w:w="8410" w:type="dxa"/>
            <w:gridSpan w:val="6"/>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Monografii</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132"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6.1.2.</w:t>
            </w:r>
          </w:p>
        </w:tc>
        <w:tc>
          <w:tcPr>
            <w:tcW w:w="8410" w:type="dxa"/>
            <w:gridSpan w:val="6"/>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 xml:space="preserve">Capitole în monografii </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177"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6.1.3.</w:t>
            </w:r>
          </w:p>
        </w:tc>
        <w:tc>
          <w:tcPr>
            <w:tcW w:w="8410" w:type="dxa"/>
            <w:gridSpan w:val="6"/>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Articole în reviste naţionale, categoria A</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68"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6.1.4.</w:t>
            </w:r>
          </w:p>
        </w:tc>
        <w:tc>
          <w:tcPr>
            <w:tcW w:w="8410" w:type="dxa"/>
            <w:gridSpan w:val="6"/>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Articole în reviste naţionale, categoria B+</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w:t>
            </w:r>
          </w:p>
        </w:tc>
      </w:tr>
      <w:tr>
        <w:trPr>
          <w:trHeight w:val="85"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6.1.5.</w:t>
            </w:r>
          </w:p>
        </w:tc>
        <w:tc>
          <w:tcPr>
            <w:tcW w:w="8410" w:type="dxa"/>
            <w:gridSpan w:val="6"/>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Articole în reviste naţionale, categoria B</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rFonts w:ascii="Times New Roman" w:hAnsi="Times New Roman"/>
                <w:sz w:val="20"/>
                <w:szCs w:val="20"/>
                <w:lang w:val="fr-FR" w:eastAsia="en-US"/>
              </w:rPr>
            </w:pPr>
            <w:r>
              <w:rPr>
                <w:sz w:val="20"/>
                <w:szCs w:val="20"/>
                <w:lang w:val="fr-FR" w:eastAsia="en-US"/>
              </w:rPr>
            </w:r>
          </w:p>
        </w:tc>
      </w:tr>
      <w:tr>
        <w:trPr>
          <w:trHeight w:val="131"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c>
          <w:tcPr>
            <w:tcW w:w="8410" w:type="dxa"/>
            <w:gridSpan w:val="6"/>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 xml:space="preserve">   </w:t>
            </w:r>
            <w:r>
              <w:rPr>
                <w:rFonts w:cs="Times New Roman CE" w:ascii="Times New Roman CE" w:hAnsi="Times New Roman CE"/>
                <w:sz w:val="20"/>
                <w:szCs w:val="20"/>
                <w:lang w:val="fr-FR" w:eastAsia="en-US"/>
              </w:rPr>
              <w:t xml:space="preserve">inclusiv articole în reviste naţionale (A, B, C) cu autori de peste hotare </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rFonts w:ascii="Times New Roman" w:hAnsi="Times New Roman"/>
                <w:sz w:val="20"/>
                <w:szCs w:val="20"/>
                <w:lang w:val="fr-FR" w:eastAsia="en-US"/>
              </w:rPr>
            </w:pPr>
            <w:r>
              <w:rPr>
                <w:sz w:val="20"/>
                <w:szCs w:val="20"/>
                <w:lang w:val="fr-FR" w:eastAsia="en-US"/>
              </w:rPr>
            </w:r>
          </w:p>
        </w:tc>
      </w:tr>
      <w:tr>
        <w:trPr>
          <w:trHeight w:val="164"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6.1.6.</w:t>
            </w:r>
          </w:p>
        </w:tc>
        <w:tc>
          <w:tcPr>
            <w:tcW w:w="8410" w:type="dxa"/>
            <w:gridSpan w:val="6"/>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Articole în culegeri</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3</w:t>
            </w:r>
          </w:p>
        </w:tc>
      </w:tr>
      <w:tr>
        <w:trPr>
          <w:trHeight w:val="60"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6.1.7.</w:t>
            </w:r>
          </w:p>
        </w:tc>
        <w:tc>
          <w:tcPr>
            <w:tcW w:w="8410" w:type="dxa"/>
            <w:gridSpan w:val="6"/>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Publicaţii ştiinţifice electronice</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100"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6.1.8.</w:t>
            </w:r>
          </w:p>
        </w:tc>
        <w:tc>
          <w:tcPr>
            <w:tcW w:w="8410" w:type="dxa"/>
            <w:gridSpan w:val="6"/>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Rezumate la conferinţe</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4</w:t>
            </w:r>
          </w:p>
        </w:tc>
      </w:tr>
      <w:tr>
        <w:trPr>
          <w:trHeight w:val="117"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6.1.9.</w:t>
            </w:r>
          </w:p>
        </w:tc>
        <w:tc>
          <w:tcPr>
            <w:tcW w:w="8410" w:type="dxa"/>
            <w:gridSpan w:val="6"/>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Preprint-uri naţionale</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150"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6.1.10.</w:t>
            </w:r>
          </w:p>
        </w:tc>
        <w:tc>
          <w:tcPr>
            <w:tcW w:w="8410" w:type="dxa"/>
            <w:gridSpan w:val="6"/>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Culegeri, reviste editate (CSJMol)</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1</w:t>
            </w:r>
          </w:p>
        </w:tc>
      </w:tr>
      <w:tr>
        <w:trPr>
          <w:trHeight w:val="60"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c>
          <w:tcPr>
            <w:tcW w:w="9189" w:type="dxa"/>
            <w:gridSpan w:val="7"/>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lang w:val="en-US"/>
              </w:rPr>
            </w:pPr>
            <w:r>
              <w:rPr>
                <w:rFonts w:cs="Times New Roman CE" w:ascii="Times New Roman CE" w:hAnsi="Times New Roman CE"/>
                <w:b/>
                <w:bCs/>
                <w:sz w:val="20"/>
                <w:szCs w:val="20"/>
                <w:lang w:val="en-US" w:eastAsia="en-US"/>
              </w:rPr>
              <w:t>6.2. Impactul şi relevanţa ştiinţifică</w:t>
            </w:r>
          </w:p>
        </w:tc>
      </w:tr>
      <w:tr>
        <w:trPr>
          <w:trHeight w:val="228"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6.2.1.</w:t>
            </w:r>
          </w:p>
        </w:tc>
        <w:tc>
          <w:tcPr>
            <w:tcW w:w="8410" w:type="dxa"/>
            <w:gridSpan w:val="6"/>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Premiul National, obţinut în perioada evaluată</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103"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6.2.2.</w:t>
            </w:r>
          </w:p>
        </w:tc>
        <w:tc>
          <w:tcPr>
            <w:tcW w:w="8410" w:type="dxa"/>
            <w:gridSpan w:val="6"/>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Premiile Savantul anului, Tinarul Savant al anului</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149"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6.2.3.</w:t>
            </w:r>
          </w:p>
        </w:tc>
        <w:tc>
          <w:tcPr>
            <w:tcW w:w="8410" w:type="dxa"/>
            <w:gridSpan w:val="6"/>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Premiile Academiei de Ştiinţe a Moldovei, obţinute în perioada evaluată </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182"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6.2.4.</w:t>
            </w:r>
          </w:p>
        </w:tc>
        <w:tc>
          <w:tcPr>
            <w:tcW w:w="8410" w:type="dxa"/>
            <w:gridSpan w:val="6"/>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Alte premii naţionale obţinute în perioada evaluată  (premiul IMI, tineri cerc.</w:t>
            </w:r>
            <w:r>
              <w:rPr>
                <w:sz w:val="20"/>
                <w:szCs w:val="20"/>
                <w:lang w:val="fr-FR" w:eastAsia="en-US"/>
              </w:rPr>
              <w:t>, M.Petic)</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1</w:t>
            </w:r>
          </w:p>
        </w:tc>
      </w:tr>
      <w:tr>
        <w:trPr>
          <w:trHeight w:val="213"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6.2.5.</w:t>
            </w:r>
          </w:p>
        </w:tc>
        <w:tc>
          <w:tcPr>
            <w:tcW w:w="8410" w:type="dxa"/>
            <w:gridSpan w:val="6"/>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Alte distincţii de apreciere a rezultatelor cercetărilor ştiinţifice (diploma A</w:t>
            </w:r>
            <w:r>
              <w:rPr>
                <w:rFonts w:ascii="Cambria Math" w:hAnsi="Cambria Math"/>
                <w:sz w:val="20"/>
                <w:szCs w:val="20"/>
                <w:lang w:val="fr-FR" w:eastAsia="en-US"/>
              </w:rPr>
              <w:t>Ș</w:t>
            </w:r>
            <w:r>
              <w:rPr>
                <w:sz w:val="20"/>
                <w:szCs w:val="20"/>
                <w:lang w:val="fr-FR" w:eastAsia="en-US"/>
              </w:rPr>
              <w:t>M, diploma liceului A</w:t>
            </w:r>
            <w:r>
              <w:rPr>
                <w:rFonts w:ascii="Cambria Math" w:hAnsi="Cambria Math"/>
                <w:sz w:val="20"/>
                <w:szCs w:val="20"/>
                <w:lang w:val="fr-FR" w:eastAsia="en-US"/>
              </w:rPr>
              <w:t>Ș</w:t>
            </w:r>
            <w:r>
              <w:rPr>
                <w:sz w:val="20"/>
                <w:szCs w:val="20"/>
                <w:lang w:val="fr-FR" w:eastAsia="en-US"/>
              </w:rPr>
              <w:t>M)</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2</w:t>
            </w:r>
          </w:p>
        </w:tc>
      </w:tr>
      <w:tr>
        <w:trPr>
          <w:trHeight w:val="118"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6.2.6.</w:t>
            </w:r>
          </w:p>
        </w:tc>
        <w:tc>
          <w:tcPr>
            <w:tcW w:w="8410" w:type="dxa"/>
            <w:gridSpan w:val="6"/>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Menţiuni ale rezultatelor în presă şi ediţii electronice</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135"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6.2.7.</w:t>
            </w:r>
          </w:p>
        </w:tc>
        <w:tc>
          <w:tcPr>
            <w:tcW w:w="8410" w:type="dxa"/>
            <w:gridSpan w:val="6"/>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Rapoarte, comunicari şi lecţii la invitaţie la conferinţe naţionale, seminare, cursuri de perfecţionare</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168"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6.2.8.</w:t>
            </w:r>
          </w:p>
        </w:tc>
        <w:tc>
          <w:tcPr>
            <w:tcW w:w="8410" w:type="dxa"/>
            <w:gridSpan w:val="6"/>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 xml:space="preserve">Medalii </w:t>
            </w:r>
            <w:r>
              <w:rPr>
                <w:b/>
                <w:bCs/>
                <w:sz w:val="20"/>
                <w:szCs w:val="20"/>
                <w:lang w:val="fr-FR" w:eastAsia="en-US"/>
              </w:rPr>
              <w:t xml:space="preserve">de aur </w:t>
            </w:r>
            <w:r>
              <w:rPr>
                <w:rFonts w:cs="Times New Roman CE" w:ascii="Times New Roman CE" w:hAnsi="Times New Roman CE"/>
                <w:sz w:val="20"/>
                <w:szCs w:val="20"/>
                <w:lang w:val="fr-FR" w:eastAsia="en-US"/>
              </w:rPr>
              <w:t>obţinute la expoziţii naţionale</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13"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6.2.9.</w:t>
            </w:r>
          </w:p>
        </w:tc>
        <w:tc>
          <w:tcPr>
            <w:tcW w:w="8410" w:type="dxa"/>
            <w:gridSpan w:val="6"/>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 xml:space="preserve">Medalii </w:t>
            </w:r>
            <w:r>
              <w:rPr>
                <w:b/>
                <w:bCs/>
                <w:sz w:val="20"/>
                <w:szCs w:val="20"/>
                <w:lang w:val="fr-FR" w:eastAsia="en-US"/>
              </w:rPr>
              <w:t>de argint</w:t>
            </w:r>
            <w:r>
              <w:rPr>
                <w:rFonts w:cs="Times New Roman CE" w:ascii="Times New Roman CE" w:hAnsi="Times New Roman CE"/>
                <w:sz w:val="20"/>
                <w:szCs w:val="20"/>
                <w:lang w:val="fr-FR" w:eastAsia="en-US"/>
              </w:rPr>
              <w:t xml:space="preserve"> obţinute la expoziţii naţionale</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104"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6.2.10.</w:t>
            </w:r>
          </w:p>
        </w:tc>
        <w:tc>
          <w:tcPr>
            <w:tcW w:w="8410" w:type="dxa"/>
            <w:gridSpan w:val="6"/>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 xml:space="preserve">Medalii </w:t>
            </w:r>
            <w:r>
              <w:rPr>
                <w:b/>
                <w:bCs/>
                <w:sz w:val="20"/>
                <w:szCs w:val="20"/>
                <w:lang w:val="fr-FR" w:eastAsia="en-US"/>
              </w:rPr>
              <w:t>de bronz</w:t>
            </w:r>
            <w:r>
              <w:rPr>
                <w:rFonts w:cs="Times New Roman CE" w:ascii="Times New Roman CE" w:hAnsi="Times New Roman CE"/>
                <w:sz w:val="20"/>
                <w:szCs w:val="20"/>
                <w:lang w:val="fr-FR" w:eastAsia="en-US"/>
              </w:rPr>
              <w:t xml:space="preserve"> obţinute la expoziţii naţionale</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122"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6.2.11.</w:t>
            </w:r>
          </w:p>
        </w:tc>
        <w:tc>
          <w:tcPr>
            <w:tcW w:w="8410" w:type="dxa"/>
            <w:gridSpan w:val="6"/>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Diplome obţinute la expoziţii naţionale</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167"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c>
          <w:tcPr>
            <w:tcW w:w="9189" w:type="dxa"/>
            <w:gridSpan w:val="7"/>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lang w:val="fr-FR"/>
              </w:rPr>
            </w:pPr>
            <w:r>
              <w:rPr>
                <w:rFonts w:cs="Times New Roman CE" w:ascii="Times New Roman CE" w:hAnsi="Times New Roman CE"/>
                <w:b/>
                <w:bCs/>
                <w:sz w:val="20"/>
                <w:szCs w:val="20"/>
                <w:lang w:val="fr-FR" w:eastAsia="en-US"/>
              </w:rPr>
              <w:t>6.3. Apreciere naţională şi antrenare în activităţi conexe cercetării</w:t>
            </w:r>
          </w:p>
        </w:tc>
      </w:tr>
      <w:tr>
        <w:trPr>
          <w:trHeight w:val="200"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6.3.1.</w:t>
            </w:r>
          </w:p>
        </w:tc>
        <w:tc>
          <w:tcPr>
            <w:tcW w:w="8410" w:type="dxa"/>
            <w:gridSpan w:val="6"/>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Academician A.Ş.M ales în perioada evaluată</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6.3.2.</w:t>
            </w:r>
          </w:p>
        </w:tc>
        <w:tc>
          <w:tcPr>
            <w:tcW w:w="8410" w:type="dxa"/>
            <w:gridSpan w:val="6"/>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Membru corespondent al A.Ş.M. ales în perioada evaluată</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80"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6.3.3.</w:t>
            </w:r>
          </w:p>
        </w:tc>
        <w:tc>
          <w:tcPr>
            <w:tcW w:w="8410" w:type="dxa"/>
            <w:gridSpan w:val="6"/>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Doctor Honoris Cauza conferit în perioada evaluată</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111"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6.3.4.</w:t>
            </w:r>
          </w:p>
        </w:tc>
        <w:tc>
          <w:tcPr>
            <w:tcW w:w="8410" w:type="dxa"/>
            <w:gridSpan w:val="6"/>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sz w:val="20"/>
                <w:szCs w:val="20"/>
                <w:lang w:val="en-US" w:eastAsia="en-US"/>
              </w:rPr>
              <w:t xml:space="preserve">Doctor habilitat conferit în perioada </w:t>
            </w:r>
            <w:r>
              <w:rPr>
                <w:rFonts w:cs="Times New Roman CE" w:ascii="Times New Roman CE" w:hAnsi="Times New Roman CE"/>
                <w:sz w:val="20"/>
                <w:szCs w:val="20"/>
                <w:lang w:val="en-US" w:eastAsia="en-US"/>
              </w:rPr>
              <w:t>evaluată</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158"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6.3.5.</w:t>
            </w:r>
          </w:p>
        </w:tc>
        <w:tc>
          <w:tcPr>
            <w:tcW w:w="8410" w:type="dxa"/>
            <w:gridSpan w:val="6"/>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Doctor conferit în perioada evaluată   Sergiu Ivanov</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r>
      <w:tr>
        <w:trPr>
          <w:trHeight w:val="189"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6.3.6.</w:t>
            </w:r>
          </w:p>
        </w:tc>
        <w:tc>
          <w:tcPr>
            <w:tcW w:w="8410" w:type="dxa"/>
            <w:gridSpan w:val="6"/>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Profesor universitar (profesor cercetător) conferit în perioada evaluată</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66"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6.3.7.</w:t>
            </w:r>
          </w:p>
        </w:tc>
        <w:tc>
          <w:tcPr>
            <w:tcW w:w="8410" w:type="dxa"/>
            <w:gridSpan w:val="6"/>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Conferenţiar universitar (conferenţiar cercetător) conferit în perioada evaluată</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111"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6.3.8.</w:t>
            </w:r>
          </w:p>
        </w:tc>
        <w:tc>
          <w:tcPr>
            <w:tcW w:w="8410" w:type="dxa"/>
            <w:gridSpan w:val="6"/>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sz w:val="20"/>
                <w:szCs w:val="20"/>
                <w:lang w:val="en-US" w:eastAsia="en-US"/>
              </w:rPr>
              <w:t>R</w:t>
            </w:r>
            <w:r>
              <w:rPr>
                <w:rFonts w:cs="Times New Roman CE" w:ascii="Times New Roman CE" w:hAnsi="Times New Roman CE"/>
                <w:sz w:val="20"/>
                <w:szCs w:val="20"/>
                <w:lang w:val="en-US" w:eastAsia="en-US"/>
              </w:rPr>
              <w:t xml:space="preserve">edactor-şef al unei reviste de specialitate cotate CSŞDT şi CNAA </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143"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6.3.9.</w:t>
            </w:r>
          </w:p>
        </w:tc>
        <w:tc>
          <w:tcPr>
            <w:tcW w:w="8410" w:type="dxa"/>
            <w:gridSpan w:val="6"/>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Membru al colegiului de redacţie al revistelor cotate CSŞDT şi CNAA    CSJMol</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w:t>
            </w:r>
          </w:p>
        </w:tc>
      </w:tr>
      <w:tr>
        <w:trPr>
          <w:trHeight w:val="60"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6.3.10.</w:t>
            </w:r>
          </w:p>
        </w:tc>
        <w:tc>
          <w:tcPr>
            <w:tcW w:w="8410" w:type="dxa"/>
            <w:gridSpan w:val="6"/>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Conducător al Programelor de Stat </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79"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6.3.11.</w:t>
            </w:r>
          </w:p>
        </w:tc>
        <w:tc>
          <w:tcPr>
            <w:tcW w:w="8410" w:type="dxa"/>
            <w:gridSpan w:val="6"/>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Conducător al proiectului de cercetări fundam</w:t>
            </w:r>
            <w:r>
              <w:rPr>
                <w:sz w:val="20"/>
                <w:szCs w:val="20"/>
                <w:lang w:val="fr-FR" w:eastAsia="en-US"/>
              </w:rPr>
              <w:t>entale/aplicative</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0/4</w:t>
            </w:r>
          </w:p>
        </w:tc>
      </w:tr>
      <w:tr>
        <w:trPr>
          <w:trHeight w:val="98"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6.3.12.</w:t>
            </w:r>
          </w:p>
        </w:tc>
        <w:tc>
          <w:tcPr>
            <w:tcW w:w="8410" w:type="dxa"/>
            <w:gridSpan w:val="6"/>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 xml:space="preserve">Preşedinte al Comitetului de program al manifestărilor ştiinţifici din naţionale </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1 </w:t>
            </w:r>
          </w:p>
        </w:tc>
      </w:tr>
      <w:tr>
        <w:trPr>
          <w:trHeight w:val="270"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6.3.13.</w:t>
            </w:r>
          </w:p>
        </w:tc>
        <w:tc>
          <w:tcPr>
            <w:tcW w:w="8410" w:type="dxa"/>
            <w:gridSpan w:val="6"/>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 xml:space="preserve">Membru al Comitetului de program al manifestărilor ştiinţifici din naţionale   </w:t>
            </w:r>
            <w:r>
              <w:rPr>
                <w:sz w:val="20"/>
                <w:szCs w:val="20"/>
                <w:lang w:val="fr-FR" w:eastAsia="en-US"/>
              </w:rPr>
              <w:t>(4 MFOI+2MITRE)</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w:t>
            </w:r>
          </w:p>
        </w:tc>
      </w:tr>
      <w:tr>
        <w:trPr>
          <w:trHeight w:val="134"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6.3.14.</w:t>
            </w:r>
          </w:p>
        </w:tc>
        <w:tc>
          <w:tcPr>
            <w:tcW w:w="8410" w:type="dxa"/>
            <w:gridSpan w:val="6"/>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Expert al CSŞDT sau CNAA</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1</w:t>
            </w:r>
          </w:p>
        </w:tc>
      </w:tr>
      <w:tr>
        <w:trPr>
          <w:trHeight w:val="165"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6.3.15.</w:t>
            </w:r>
          </w:p>
        </w:tc>
        <w:tc>
          <w:tcPr>
            <w:tcW w:w="8410" w:type="dxa"/>
            <w:gridSpan w:val="6"/>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Expert al altor proiecte şi activităţi la nivel naţional</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6.3.16.</w:t>
            </w:r>
          </w:p>
        </w:tc>
        <w:tc>
          <w:tcPr>
            <w:tcW w:w="8410" w:type="dxa"/>
            <w:gridSpan w:val="6"/>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Preşedinte al Comisiei de acreditare a organizaţiei</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60"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6.3.17.</w:t>
            </w:r>
          </w:p>
        </w:tc>
        <w:tc>
          <w:tcPr>
            <w:tcW w:w="8410" w:type="dxa"/>
            <w:gridSpan w:val="6"/>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Membru al Comisiei de acreditare a organizatiei</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92"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6.3.18.</w:t>
            </w:r>
          </w:p>
        </w:tc>
        <w:tc>
          <w:tcPr>
            <w:tcW w:w="8410" w:type="dxa"/>
            <w:gridSpan w:val="6"/>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sz w:val="20"/>
                <w:szCs w:val="20"/>
                <w:lang w:val="en-US" w:eastAsia="en-US"/>
              </w:rPr>
              <w:t>Membru în Comisiile pentru decernarea premiilor de Stat a Republicii Moldova</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110"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6.3.19.</w:t>
            </w:r>
          </w:p>
        </w:tc>
        <w:tc>
          <w:tcPr>
            <w:tcW w:w="8410" w:type="dxa"/>
            <w:gridSpan w:val="6"/>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Membru în Comisiile pentru decernarea premiilor A.Ş.M</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141"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6.3.20.</w:t>
            </w:r>
          </w:p>
        </w:tc>
        <w:tc>
          <w:tcPr>
            <w:tcW w:w="8410" w:type="dxa"/>
            <w:gridSpan w:val="6"/>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Preşedinte al consiliilor ştiinţifice specializate de susţinere a </w:t>
            </w:r>
            <w:r>
              <w:rPr>
                <w:b/>
                <w:bCs/>
                <w:sz w:val="20"/>
                <w:szCs w:val="20"/>
                <w:lang w:val="en-US" w:eastAsia="en-US"/>
              </w:rPr>
              <w:t xml:space="preserve">tezelor de doctor habilitat </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60"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6.3.21.</w:t>
            </w:r>
          </w:p>
        </w:tc>
        <w:tc>
          <w:tcPr>
            <w:tcW w:w="8410" w:type="dxa"/>
            <w:gridSpan w:val="6"/>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Secretar al consiliilor ştiinţifice specializate de susţinere a </w:t>
            </w:r>
            <w:r>
              <w:rPr>
                <w:b/>
                <w:bCs/>
                <w:sz w:val="20"/>
                <w:szCs w:val="20"/>
                <w:lang w:val="en-US" w:eastAsia="en-US"/>
              </w:rPr>
              <w:t>tezelor de doctor habilitat</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r>
      <w:tr>
        <w:trPr>
          <w:trHeight w:val="77"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6.3.22.</w:t>
            </w:r>
          </w:p>
        </w:tc>
        <w:tc>
          <w:tcPr>
            <w:tcW w:w="8410" w:type="dxa"/>
            <w:gridSpan w:val="6"/>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Preşedinte al consiliilor ştiinţifice specializate de susţinere a </w:t>
            </w:r>
            <w:r>
              <w:rPr>
                <w:b/>
                <w:bCs/>
                <w:sz w:val="20"/>
                <w:szCs w:val="20"/>
                <w:lang w:val="en-US" w:eastAsia="en-US"/>
              </w:rPr>
              <w:t>tezelor de doctor</w:t>
            </w:r>
            <w:r>
              <w:rPr>
                <w:sz w:val="20"/>
                <w:szCs w:val="20"/>
                <w:lang w:val="en-US" w:eastAsia="en-US"/>
              </w:rPr>
              <w:t xml:space="preserve"> </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1 </w:t>
            </w:r>
          </w:p>
        </w:tc>
      </w:tr>
      <w:tr>
        <w:trPr>
          <w:trHeight w:val="110"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6.3.23.</w:t>
            </w:r>
          </w:p>
        </w:tc>
        <w:tc>
          <w:tcPr>
            <w:tcW w:w="8410" w:type="dxa"/>
            <w:gridSpan w:val="6"/>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Secretar al consiliilor ştiinţifice specializate de susţinere a </w:t>
            </w:r>
            <w:r>
              <w:rPr>
                <w:b/>
                <w:bCs/>
                <w:sz w:val="20"/>
                <w:szCs w:val="20"/>
                <w:lang w:val="en-US" w:eastAsia="en-US"/>
              </w:rPr>
              <w:t xml:space="preserve">tezelor de doctor </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1</w:t>
            </w:r>
          </w:p>
        </w:tc>
      </w:tr>
      <w:tr>
        <w:trPr>
          <w:trHeight w:val="141"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6.3.24.</w:t>
            </w:r>
          </w:p>
        </w:tc>
        <w:tc>
          <w:tcPr>
            <w:tcW w:w="8410" w:type="dxa"/>
            <w:gridSpan w:val="6"/>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sz w:val="20"/>
                <w:szCs w:val="20"/>
                <w:lang w:val="en-US" w:eastAsia="en-US"/>
              </w:rPr>
              <w:t>Membru a consil</w:t>
            </w:r>
            <w:r>
              <w:rPr>
                <w:rFonts w:cs="Times New Roman CE" w:ascii="Times New Roman CE" w:hAnsi="Times New Roman CE"/>
                <w:sz w:val="20"/>
                <w:szCs w:val="20"/>
                <w:lang w:val="en-US" w:eastAsia="en-US"/>
              </w:rPr>
              <w:t xml:space="preserve">iilor ştiinţifice specializate de susţinere a </w:t>
            </w:r>
            <w:r>
              <w:rPr>
                <w:b/>
                <w:bCs/>
                <w:sz w:val="20"/>
                <w:szCs w:val="20"/>
                <w:lang w:val="en-US" w:eastAsia="en-US"/>
              </w:rPr>
              <w:t>tezelor de doctor</w:t>
            </w:r>
            <w:r>
              <w:rPr>
                <w:sz w:val="20"/>
                <w:szCs w:val="20"/>
                <w:lang w:val="en-US" w:eastAsia="en-US"/>
              </w:rPr>
              <w:t xml:space="preserve"> </w:t>
            </w:r>
            <w:r>
              <w:rPr>
                <w:b/>
                <w:bCs/>
                <w:sz w:val="20"/>
                <w:szCs w:val="20"/>
                <w:lang w:val="en-US" w:eastAsia="en-US"/>
              </w:rPr>
              <w:t>habilitat/doctor</w:t>
            </w:r>
            <w:r>
              <w:rPr>
                <w:sz w:val="20"/>
                <w:szCs w:val="20"/>
                <w:lang w:val="en-US" w:eastAsia="en-US"/>
              </w:rPr>
              <w:t xml:space="preserve"> </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2 </w:t>
            </w:r>
          </w:p>
        </w:tc>
      </w:tr>
      <w:tr>
        <w:trPr>
          <w:trHeight w:val="60"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6.3.25.</w:t>
            </w:r>
          </w:p>
        </w:tc>
        <w:tc>
          <w:tcPr>
            <w:tcW w:w="8410" w:type="dxa"/>
            <w:gridSpan w:val="6"/>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 xml:space="preserve">Referent la susţinerea </w:t>
            </w:r>
            <w:r>
              <w:rPr>
                <w:b/>
                <w:bCs/>
                <w:sz w:val="20"/>
                <w:szCs w:val="20"/>
                <w:lang w:val="fr-FR" w:eastAsia="en-US"/>
              </w:rPr>
              <w:t>tezei de doctor habilitat</w:t>
            </w:r>
            <w:r>
              <w:rPr>
                <w:sz w:val="20"/>
                <w:szCs w:val="20"/>
                <w:lang w:val="fr-FR" w:eastAsia="en-US"/>
              </w:rPr>
              <w:t xml:space="preserve"> </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63"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6.3.26.</w:t>
            </w:r>
          </w:p>
        </w:tc>
        <w:tc>
          <w:tcPr>
            <w:tcW w:w="8410" w:type="dxa"/>
            <w:gridSpan w:val="6"/>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 xml:space="preserve">Referent la susţinerea </w:t>
            </w:r>
            <w:r>
              <w:rPr>
                <w:b/>
                <w:bCs/>
                <w:sz w:val="20"/>
                <w:szCs w:val="20"/>
                <w:lang w:val="fr-FR" w:eastAsia="en-US"/>
              </w:rPr>
              <w:t>tezei de doctor</w:t>
            </w:r>
            <w:r>
              <w:rPr>
                <w:sz w:val="20"/>
                <w:szCs w:val="20"/>
                <w:lang w:val="fr-FR" w:eastAsia="en-US"/>
              </w:rPr>
              <w:t xml:space="preserve"> </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r>
              <w:rPr>
                <w:sz w:val="20"/>
                <w:szCs w:val="20"/>
                <w:lang w:val="fr-FR" w:eastAsia="en-US"/>
              </w:rPr>
              <w:t>2</w:t>
            </w:r>
          </w:p>
        </w:tc>
      </w:tr>
      <w:tr>
        <w:trPr>
          <w:trHeight w:val="110"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6.3.27.</w:t>
            </w:r>
          </w:p>
        </w:tc>
        <w:tc>
          <w:tcPr>
            <w:tcW w:w="8410" w:type="dxa"/>
            <w:gridSpan w:val="6"/>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Preşedinte al Comsiei examenelor de licenţă / mas</w:t>
            </w:r>
            <w:r>
              <w:rPr>
                <w:sz w:val="20"/>
                <w:szCs w:val="20"/>
                <w:lang w:val="fr-FR" w:eastAsia="en-US"/>
              </w:rPr>
              <w:t>terat / doctorat   M. Petic</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rFonts w:ascii="Times New Roman" w:hAnsi="Times New Roman"/>
                <w:sz w:val="20"/>
                <w:szCs w:val="20"/>
                <w:lang w:val="fr-FR" w:eastAsia="en-US"/>
              </w:rPr>
            </w:pPr>
            <w:r>
              <w:rPr>
                <w:sz w:val="20"/>
                <w:szCs w:val="20"/>
                <w:lang w:val="fr-FR" w:eastAsia="en-US"/>
              </w:rPr>
            </w:r>
          </w:p>
        </w:tc>
      </w:tr>
      <w:tr>
        <w:trPr>
          <w:trHeight w:val="128"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18"/>
                <w:szCs w:val="18"/>
                <w:lang w:val="en-US" w:eastAsia="en-US"/>
              </w:rPr>
              <w:t>6.3.28.</w:t>
            </w:r>
          </w:p>
        </w:tc>
        <w:tc>
          <w:tcPr>
            <w:tcW w:w="8410" w:type="dxa"/>
            <w:gridSpan w:val="6"/>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18"/>
                <w:szCs w:val="18"/>
                <w:lang w:val="fr-FR" w:eastAsia="en-US"/>
              </w:rPr>
              <w:t>Membru al Comisiei examenelor de licenţă / masterat / doctorat</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18"/>
                <w:szCs w:val="18"/>
                <w:lang w:val="fr-FR" w:eastAsia="en-US"/>
              </w:rPr>
              <w:t> </w:t>
            </w:r>
          </w:p>
        </w:tc>
      </w:tr>
      <w:tr>
        <w:trPr>
          <w:trHeight w:val="60"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18"/>
                <w:szCs w:val="18"/>
                <w:lang w:val="en-US" w:eastAsia="en-US"/>
              </w:rPr>
              <w:t>6.3.29.</w:t>
            </w:r>
          </w:p>
        </w:tc>
        <w:tc>
          <w:tcPr>
            <w:tcW w:w="8410" w:type="dxa"/>
            <w:gridSpan w:val="6"/>
            <w:tcBorders>
              <w:bottom w:val="single" w:sz="8" w:space="0" w:color="000001"/>
              <w:insideH w:val="single" w:sz="8" w:space="0" w:color="000001"/>
            </w:tcBorders>
            <w:shd w:fill="auto" w:val="clear"/>
          </w:tcPr>
          <w:p>
            <w:pPr>
              <w:pStyle w:val="Normal"/>
              <w:widowControl/>
              <w:bidi w:val="0"/>
              <w:ind w:left="0" w:right="0" w:hanging="0"/>
              <w:jc w:val="both"/>
              <w:textAlignment w:val="auto"/>
              <w:rPr>
                <w:lang w:val="fr-FR"/>
              </w:rPr>
            </w:pPr>
            <w:r>
              <w:rPr>
                <w:rFonts w:cs="Times New Roman CE" w:ascii="Times New Roman CE" w:hAnsi="Times New Roman CE"/>
                <w:sz w:val="18"/>
                <w:szCs w:val="18"/>
                <w:lang w:val="fr-FR" w:eastAsia="en-US"/>
              </w:rPr>
              <w:t xml:space="preserve">Preşedinte al seminarului ştiinţific de profil </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18"/>
                <w:szCs w:val="18"/>
                <w:lang w:val="en-US" w:eastAsia="en-US"/>
              </w:rPr>
              <w:t>1</w:t>
            </w:r>
          </w:p>
        </w:tc>
      </w:tr>
      <w:tr>
        <w:trPr>
          <w:trHeight w:val="64"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18"/>
                <w:szCs w:val="18"/>
                <w:lang w:val="en-US" w:eastAsia="en-US"/>
              </w:rPr>
              <w:t>6.3.30.</w:t>
            </w:r>
          </w:p>
        </w:tc>
        <w:tc>
          <w:tcPr>
            <w:tcW w:w="8410" w:type="dxa"/>
            <w:gridSpan w:val="6"/>
            <w:tcBorders>
              <w:bottom w:val="single" w:sz="8" w:space="0" w:color="000001"/>
              <w:insideH w:val="single" w:sz="8" w:space="0" w:color="000001"/>
            </w:tcBorders>
            <w:shd w:fill="auto" w:val="clear"/>
          </w:tcPr>
          <w:p>
            <w:pPr>
              <w:pStyle w:val="Normal"/>
              <w:widowControl/>
              <w:bidi w:val="0"/>
              <w:ind w:left="0" w:right="0" w:hanging="0"/>
              <w:jc w:val="both"/>
              <w:textAlignment w:val="auto"/>
              <w:rPr>
                <w:lang w:val="fr-FR"/>
              </w:rPr>
            </w:pPr>
            <w:r>
              <w:rPr>
                <w:rFonts w:cs="Times New Roman CE" w:ascii="Times New Roman CE" w:hAnsi="Times New Roman CE"/>
                <w:sz w:val="18"/>
                <w:szCs w:val="18"/>
                <w:lang w:val="fr-FR" w:eastAsia="en-US"/>
              </w:rPr>
              <w:t>Membru al seminarului ştiinţific de profil</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18"/>
                <w:szCs w:val="18"/>
                <w:lang w:val="en-US" w:eastAsia="en-US"/>
              </w:rPr>
              <w:t>4</w:t>
            </w:r>
          </w:p>
        </w:tc>
      </w:tr>
      <w:tr>
        <w:trPr>
          <w:trHeight w:val="60"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18"/>
                <w:szCs w:val="18"/>
                <w:lang w:val="en-US" w:eastAsia="en-US"/>
              </w:rPr>
              <w:t>6.3.31.</w:t>
            </w:r>
          </w:p>
        </w:tc>
        <w:tc>
          <w:tcPr>
            <w:tcW w:w="8410" w:type="dxa"/>
            <w:gridSpan w:val="6"/>
            <w:tcBorders>
              <w:bottom w:val="single" w:sz="8" w:space="0" w:color="000001"/>
              <w:insideH w:val="single" w:sz="8" w:space="0" w:color="000001"/>
            </w:tcBorders>
            <w:shd w:fill="auto" w:val="clear"/>
          </w:tcPr>
          <w:p>
            <w:pPr>
              <w:pStyle w:val="Normal"/>
              <w:widowControl/>
              <w:bidi w:val="0"/>
              <w:ind w:left="0" w:right="0" w:hanging="0"/>
              <w:jc w:val="both"/>
              <w:textAlignment w:val="auto"/>
              <w:rPr>
                <w:lang w:val="fr-FR"/>
              </w:rPr>
            </w:pPr>
            <w:r>
              <w:rPr>
                <w:rFonts w:cs="Times New Roman CE" w:ascii="Times New Roman CE" w:hAnsi="Times New Roman CE"/>
                <w:sz w:val="18"/>
                <w:szCs w:val="18"/>
                <w:lang w:val="fr-FR" w:eastAsia="en-US"/>
              </w:rPr>
              <w:t>Secretar al seminarului ştiinţi</w:t>
            </w:r>
            <w:r>
              <w:rPr>
                <w:sz w:val="18"/>
                <w:szCs w:val="18"/>
                <w:lang w:val="fr-FR" w:eastAsia="en-US"/>
              </w:rPr>
              <w:t>fic de profil</w:t>
            </w:r>
          </w:p>
        </w:tc>
        <w:tc>
          <w:tcPr>
            <w:tcW w:w="7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18"/>
                <w:szCs w:val="18"/>
                <w:lang w:val="en-US" w:eastAsia="en-US"/>
              </w:rPr>
              <w:t>1</w:t>
            </w:r>
          </w:p>
        </w:tc>
      </w:tr>
      <w:tr>
        <w:trPr>
          <w:trHeight w:val="60" w:hRule="atLeast"/>
        </w:trPr>
        <w:tc>
          <w:tcPr>
            <w:tcW w:w="961"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18"/>
                <w:szCs w:val="18"/>
                <w:lang w:val="en-US" w:eastAsia="en-US"/>
              </w:rPr>
              <w:t>6.3.32.</w:t>
            </w:r>
          </w:p>
        </w:tc>
        <w:tc>
          <w:tcPr>
            <w:tcW w:w="8410" w:type="dxa"/>
            <w:gridSpan w:val="6"/>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18"/>
                <w:szCs w:val="18"/>
                <w:lang w:val="fr-FR" w:eastAsia="en-US"/>
              </w:rPr>
              <w:t>Recenzent la seminarul ştiinţific de profil; secţie/catedră</w:t>
            </w:r>
          </w:p>
        </w:tc>
        <w:tc>
          <w:tcPr>
            <w:tcW w:w="779"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18"/>
                <w:szCs w:val="18"/>
                <w:lang w:val="fr-FR" w:eastAsia="en-US"/>
              </w:rPr>
              <w:t> </w:t>
            </w:r>
          </w:p>
        </w:tc>
      </w:tr>
      <w:tr>
        <w:trPr>
          <w:trHeight w:val="270" w:hRule="atLeast"/>
        </w:trPr>
        <w:tc>
          <w:tcPr>
            <w:tcW w:w="7179" w:type="dxa"/>
            <w:gridSpan w:val="5"/>
            <w:tcBorders>
              <w:top w:val="single" w:sz="8" w:space="0" w:color="000001"/>
              <w:left w:val="single" w:sz="8" w:space="0" w:color="000001"/>
              <w:bottom w:val="single" w:sz="8" w:space="0" w:color="000001"/>
              <w:right w:val="single" w:sz="4" w:space="0" w:color="000001"/>
              <w:insideH w:val="single" w:sz="8" w:space="0" w:color="000001"/>
              <w:insideV w:val="single" w:sz="4" w:space="0" w:color="000001"/>
            </w:tcBorders>
            <w:shd w:fill="auto" w:val="clear"/>
            <w:tcMar>
              <w:left w:w="98" w:type="dxa"/>
            </w:tcMar>
            <w:vAlign w:val="bottom"/>
          </w:tcPr>
          <w:p>
            <w:pPr>
              <w:pStyle w:val="Normal"/>
              <w:widowControl/>
              <w:bidi w:val="0"/>
              <w:ind w:left="0" w:right="0" w:hanging="0"/>
              <w:jc w:val="center"/>
              <w:textAlignment w:val="auto"/>
              <w:rPr>
                <w:lang w:val="en-US"/>
              </w:rPr>
            </w:pPr>
            <w:r>
              <w:rPr>
                <w:rFonts w:cs="Times New Roman CE" w:ascii="Times New Roman CE" w:hAnsi="Times New Roman CE"/>
                <w:b/>
                <w:bCs/>
                <w:sz w:val="20"/>
                <w:szCs w:val="20"/>
                <w:lang w:val="en-US" w:eastAsia="en-US"/>
              </w:rPr>
              <w:t>7. RELEVANŢA ECONOMICĂ</w:t>
            </w:r>
          </w:p>
        </w:tc>
        <w:tc>
          <w:tcPr>
            <w:tcW w:w="85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b/>
                <w:bCs/>
                <w:sz w:val="20"/>
                <w:szCs w:val="20"/>
                <w:lang w:val="en-US" w:eastAsia="en-US"/>
              </w:rPr>
              <w:t>2016</w:t>
            </w:r>
          </w:p>
        </w:tc>
        <w:tc>
          <w:tcPr>
            <w:tcW w:w="2115" w:type="dxa"/>
            <w:gridSpan w:val="3"/>
            <w:tcBorders>
              <w:top w:val="single" w:sz="8" w:space="0" w:color="000001"/>
              <w:left w:val="single" w:sz="8" w:space="0" w:color="000001"/>
              <w:bottom w:val="single" w:sz="8" w:space="0" w:color="000001"/>
              <w:right w:val="single" w:sz="4" w:space="0" w:color="000001"/>
              <w:insideH w:val="single" w:sz="8" w:space="0" w:color="000001"/>
              <w:insideV w:val="single" w:sz="4" w:space="0" w:color="000001"/>
            </w:tcBorders>
            <w:shd w:fill="auto" w:val="clear"/>
            <w:tcMar>
              <w:left w:w="98" w:type="dxa"/>
            </w:tcMar>
            <w:vAlign w:val="bottom"/>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270" w:hRule="atLeast"/>
        </w:trPr>
        <w:tc>
          <w:tcPr>
            <w:tcW w:w="76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74" w:type="dxa"/>
            <w:gridSpan w:val="5"/>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lang w:val="en-US"/>
              </w:rPr>
            </w:pPr>
            <w:r>
              <w:rPr>
                <w:rFonts w:cs="Times New Roman CE" w:ascii="Times New Roman CE" w:hAnsi="Times New Roman CE"/>
                <w:b/>
                <w:bCs/>
                <w:sz w:val="20"/>
                <w:szCs w:val="20"/>
                <w:lang w:val="en-US" w:eastAsia="en-US"/>
              </w:rPr>
              <w:t>7.1. Activitatea de brevetare, licenţiere, certificare a produselor</w:t>
            </w:r>
          </w:p>
        </w:tc>
        <w:tc>
          <w:tcPr>
            <w:tcW w:w="2115"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525" w:hRule="atLeast"/>
        </w:trPr>
        <w:tc>
          <w:tcPr>
            <w:tcW w:w="76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7.1.1.</w:t>
            </w:r>
          </w:p>
        </w:tc>
        <w:tc>
          <w:tcPr>
            <w:tcW w:w="6418"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Contracte de licenţă (cesiune) în baza brevetelor, know-how  şi soiurilor de plante omologate, rase, tipuri, linii de animale şi păsări</w:t>
            </w:r>
          </w:p>
        </w:tc>
        <w:tc>
          <w:tcPr>
            <w:tcW w:w="856" w:type="dxa"/>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fr-FR"/>
              </w:rPr>
            </w:pPr>
            <w:r>
              <w:rPr>
                <w:sz w:val="20"/>
                <w:szCs w:val="20"/>
                <w:lang w:val="fr-FR" w:eastAsia="en-US"/>
              </w:rPr>
              <w:t> </w:t>
            </w:r>
          </w:p>
        </w:tc>
        <w:tc>
          <w:tcPr>
            <w:tcW w:w="2115"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rFonts w:ascii="Times New Roman" w:hAnsi="Times New Roman"/>
                <w:sz w:val="20"/>
                <w:szCs w:val="20"/>
                <w:lang w:val="fr-FR" w:eastAsia="en-US"/>
              </w:rPr>
            </w:pPr>
            <w:r>
              <w:rPr>
                <w:sz w:val="20"/>
                <w:szCs w:val="20"/>
                <w:lang w:val="fr-FR" w:eastAsia="en-US"/>
              </w:rPr>
            </w:r>
          </w:p>
        </w:tc>
      </w:tr>
      <w:tr>
        <w:trPr>
          <w:trHeight w:val="525" w:hRule="atLeast"/>
        </w:trPr>
        <w:tc>
          <w:tcPr>
            <w:tcW w:w="2537"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7.1.2.</w:t>
            </w:r>
          </w:p>
        </w:tc>
        <w:tc>
          <w:tcPr>
            <w:tcW w:w="2538"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Brevete obţinute, adeverinţe de soi, documentaţie, tehnologii, regulamente tehnice, standarde înregistrate</w:t>
            </w:r>
          </w:p>
        </w:tc>
        <w:tc>
          <w:tcPr>
            <w:tcW w:w="5075" w:type="dxa"/>
            <w:gridSpan w:val="5"/>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76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7.1.3.</w:t>
            </w:r>
          </w:p>
        </w:tc>
        <w:tc>
          <w:tcPr>
            <w:tcW w:w="6418"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Hotărîri de acordare a brevetelor</w:t>
            </w:r>
          </w:p>
        </w:tc>
        <w:tc>
          <w:tcPr>
            <w:tcW w:w="856" w:type="dxa"/>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fr-FR"/>
              </w:rPr>
            </w:pPr>
            <w:r>
              <w:rPr>
                <w:sz w:val="20"/>
                <w:szCs w:val="20"/>
                <w:lang w:val="fr-FR" w:eastAsia="en-US"/>
              </w:rPr>
              <w:t> </w:t>
            </w:r>
          </w:p>
        </w:tc>
        <w:tc>
          <w:tcPr>
            <w:tcW w:w="2115"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rFonts w:ascii="Times New Roman" w:hAnsi="Times New Roman"/>
                <w:sz w:val="20"/>
                <w:szCs w:val="20"/>
                <w:lang w:val="fr-FR" w:eastAsia="en-US"/>
              </w:rPr>
            </w:pPr>
            <w:r>
              <w:rPr>
                <w:sz w:val="20"/>
                <w:szCs w:val="20"/>
                <w:lang w:val="fr-FR" w:eastAsia="en-US"/>
              </w:rPr>
            </w:r>
          </w:p>
        </w:tc>
      </w:tr>
      <w:tr>
        <w:trPr>
          <w:trHeight w:val="525" w:hRule="atLeast"/>
        </w:trPr>
        <w:tc>
          <w:tcPr>
            <w:tcW w:w="76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7.1.4.</w:t>
            </w:r>
          </w:p>
        </w:tc>
        <w:tc>
          <w:tcPr>
            <w:tcW w:w="6418" w:type="dxa"/>
            <w:gridSpan w:val="4"/>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fr-FR"/>
              </w:rPr>
            </w:pPr>
            <w:r>
              <w:rPr>
                <w:sz w:val="20"/>
                <w:szCs w:val="20"/>
                <w:lang w:val="fr-FR" w:eastAsia="en-US"/>
              </w:rPr>
              <w:t>Cereri de brevetare înaintate la AGEPI, cereri înaintate la Comisia de Stat pentru Testarea Soiurilor de Plante</w:t>
            </w:r>
          </w:p>
        </w:tc>
        <w:tc>
          <w:tcPr>
            <w:tcW w:w="856" w:type="dxa"/>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fr-FR"/>
              </w:rPr>
            </w:pPr>
            <w:r>
              <w:rPr>
                <w:sz w:val="20"/>
                <w:szCs w:val="20"/>
                <w:lang w:val="fr-FR" w:eastAsia="en-US"/>
              </w:rPr>
              <w:t> </w:t>
            </w:r>
          </w:p>
        </w:tc>
        <w:tc>
          <w:tcPr>
            <w:tcW w:w="2115"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rFonts w:ascii="Times New Roman" w:hAnsi="Times New Roman"/>
                <w:sz w:val="20"/>
                <w:szCs w:val="20"/>
                <w:lang w:val="fr-FR" w:eastAsia="en-US"/>
              </w:rPr>
            </w:pPr>
            <w:r>
              <w:rPr>
                <w:sz w:val="20"/>
                <w:szCs w:val="20"/>
                <w:lang w:val="fr-FR" w:eastAsia="en-US"/>
              </w:rPr>
            </w:r>
          </w:p>
        </w:tc>
      </w:tr>
      <w:tr>
        <w:trPr>
          <w:trHeight w:val="270" w:hRule="atLeast"/>
        </w:trPr>
        <w:tc>
          <w:tcPr>
            <w:tcW w:w="761" w:type="dxa"/>
            <w:tcBorders>
              <w:left w:val="single" w:sz="8" w:space="0" w:color="000001"/>
              <w:bottom w:val="single" w:sz="4" w:space="0" w:color="000001"/>
              <w:right w:val="single" w:sz="8" w:space="0" w:color="000001"/>
              <w:insideH w:val="single" w:sz="4"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7.1.5.</w:t>
            </w:r>
          </w:p>
        </w:tc>
        <w:tc>
          <w:tcPr>
            <w:tcW w:w="6418"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Brevete implementate</w:t>
            </w:r>
          </w:p>
        </w:tc>
        <w:tc>
          <w:tcPr>
            <w:tcW w:w="856" w:type="dxa"/>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 </w:t>
            </w:r>
          </w:p>
        </w:tc>
        <w:tc>
          <w:tcPr>
            <w:tcW w:w="2115" w:type="dxa"/>
            <w:gridSpan w:val="3"/>
            <w:tcBorders>
              <w:left w:val="single" w:sz="8" w:space="0" w:color="000001"/>
              <w:bottom w:val="single" w:sz="4" w:space="0" w:color="000001"/>
              <w:right w:val="single" w:sz="8" w:space="0" w:color="000001"/>
              <w:insideH w:val="single" w:sz="4"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270" w:hRule="atLeast"/>
        </w:trPr>
        <w:tc>
          <w:tcPr>
            <w:tcW w:w="761"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7.1.6.</w:t>
            </w:r>
          </w:p>
        </w:tc>
        <w:tc>
          <w:tcPr>
            <w:tcW w:w="6418" w:type="dxa"/>
            <w:gridSpan w:val="4"/>
            <w:tcBorders>
              <w:left w:val="single" w:sz="4" w:space="0" w:color="000001"/>
              <w:bottom w:val="single" w:sz="8" w:space="0" w:color="000001"/>
              <w:right w:val="single" w:sz="8" w:space="0" w:color="000001"/>
              <w:insideH w:val="single" w:sz="8" w:space="0" w:color="000001"/>
              <w:insideV w:val="single" w:sz="8" w:space="0" w:color="000001"/>
            </w:tcBorders>
            <w:shd w:fill="auto" w:val="clear"/>
            <w:tcMar>
              <w:left w:w="103" w:type="dxa"/>
            </w:tcM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Certificate de soi, obţinute în perioada evaluată</w:t>
            </w:r>
          </w:p>
        </w:tc>
        <w:tc>
          <w:tcPr>
            <w:tcW w:w="856" w:type="dxa"/>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fr-FR"/>
              </w:rPr>
            </w:pPr>
            <w:r>
              <w:rPr>
                <w:sz w:val="20"/>
                <w:szCs w:val="20"/>
                <w:lang w:val="fr-FR" w:eastAsia="en-US"/>
              </w:rPr>
              <w:t> </w:t>
            </w:r>
          </w:p>
        </w:tc>
        <w:tc>
          <w:tcPr>
            <w:tcW w:w="2115"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left"/>
              <w:textAlignment w:val="auto"/>
              <w:rPr>
                <w:rFonts w:ascii="Times New Roman" w:hAnsi="Times New Roman"/>
                <w:sz w:val="20"/>
                <w:szCs w:val="20"/>
                <w:lang w:val="fr-FR" w:eastAsia="en-US"/>
              </w:rPr>
            </w:pPr>
            <w:r>
              <w:rPr>
                <w:sz w:val="20"/>
                <w:szCs w:val="20"/>
                <w:lang w:val="fr-FR" w:eastAsia="en-US"/>
              </w:rPr>
            </w:r>
          </w:p>
        </w:tc>
      </w:tr>
      <w:tr>
        <w:trPr>
          <w:trHeight w:val="270" w:hRule="atLeast"/>
        </w:trPr>
        <w:tc>
          <w:tcPr>
            <w:tcW w:w="761" w:type="dxa"/>
            <w:tcBorders>
              <w:top w:val="single" w:sz="4"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c>
          <w:tcPr>
            <w:tcW w:w="7274" w:type="dxa"/>
            <w:gridSpan w:val="5"/>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lang w:val="en-US"/>
              </w:rPr>
            </w:pPr>
            <w:r>
              <w:rPr>
                <w:rFonts w:cs="Times New Roman CE" w:ascii="Times New Roman CE" w:hAnsi="Times New Roman CE"/>
                <w:b/>
                <w:bCs/>
                <w:sz w:val="20"/>
                <w:szCs w:val="20"/>
                <w:lang w:val="en-US" w:eastAsia="en-US"/>
              </w:rPr>
              <w:t>7.2. Elaborări, transfer tehnologic</w:t>
            </w:r>
          </w:p>
        </w:tc>
        <w:tc>
          <w:tcPr>
            <w:tcW w:w="2115" w:type="dxa"/>
            <w:gridSpan w:val="3"/>
            <w:tcBorders>
              <w:top w:val="single" w:sz="4"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270" w:hRule="atLeast"/>
        </w:trPr>
        <w:tc>
          <w:tcPr>
            <w:tcW w:w="76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7.2.1.</w:t>
            </w:r>
          </w:p>
        </w:tc>
        <w:tc>
          <w:tcPr>
            <w:tcW w:w="6418"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Produse, material semincer, echipamente asimilate în fabricare de serie</w:t>
            </w:r>
          </w:p>
        </w:tc>
        <w:tc>
          <w:tcPr>
            <w:tcW w:w="856" w:type="dxa"/>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 </w:t>
            </w:r>
          </w:p>
        </w:tc>
        <w:tc>
          <w:tcPr>
            <w:tcW w:w="2115"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525" w:hRule="atLeast"/>
        </w:trPr>
        <w:tc>
          <w:tcPr>
            <w:tcW w:w="76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7.2.2.</w:t>
            </w:r>
          </w:p>
        </w:tc>
        <w:tc>
          <w:tcPr>
            <w:tcW w:w="6418"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Tehnologii, secvenţe tehnologice, produse noi şi seminţe de soiuri realizate şi valorificate la agenţi economici prin contracte cu un volum de finanţare &gt;100 mii lei</w:t>
            </w:r>
          </w:p>
        </w:tc>
        <w:tc>
          <w:tcPr>
            <w:tcW w:w="856" w:type="dxa"/>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fr-FR"/>
              </w:rPr>
            </w:pPr>
            <w:r>
              <w:rPr>
                <w:sz w:val="20"/>
                <w:szCs w:val="20"/>
                <w:lang w:val="fr-FR" w:eastAsia="en-US"/>
              </w:rPr>
              <w:t> </w:t>
            </w:r>
          </w:p>
        </w:tc>
        <w:tc>
          <w:tcPr>
            <w:tcW w:w="2115"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rFonts w:ascii="Times New Roman" w:hAnsi="Times New Roman"/>
                <w:sz w:val="20"/>
                <w:szCs w:val="20"/>
                <w:lang w:val="fr-FR" w:eastAsia="en-US"/>
              </w:rPr>
            </w:pPr>
            <w:r>
              <w:rPr>
                <w:sz w:val="20"/>
                <w:szCs w:val="20"/>
                <w:lang w:val="fr-FR" w:eastAsia="en-US"/>
              </w:rPr>
            </w:r>
          </w:p>
        </w:tc>
      </w:tr>
      <w:tr>
        <w:trPr>
          <w:trHeight w:val="525" w:hRule="atLeast"/>
        </w:trPr>
        <w:tc>
          <w:tcPr>
            <w:tcW w:w="2537"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7.2.3.</w:t>
            </w:r>
          </w:p>
        </w:tc>
        <w:tc>
          <w:tcPr>
            <w:tcW w:w="2538"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 xml:space="preserve">Tehnologii, </w:t>
            </w:r>
            <w:r>
              <w:rPr>
                <w:rFonts w:cs="Times New Roman CE" w:ascii="Times New Roman CE" w:hAnsi="Times New Roman CE"/>
                <w:sz w:val="20"/>
                <w:szCs w:val="20"/>
                <w:lang w:val="fr-FR" w:eastAsia="en-US"/>
              </w:rPr>
              <w:t>secvenţe tehnologice, produse noi şi seminţe de soiuri realizate şi valorificate la agenţi economici prin contracte cu un volum de finanţare &lt;100 mii lei</w:t>
            </w:r>
          </w:p>
        </w:tc>
        <w:tc>
          <w:tcPr>
            <w:tcW w:w="5075" w:type="dxa"/>
            <w:gridSpan w:val="5"/>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76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7.2.4.</w:t>
            </w:r>
          </w:p>
        </w:tc>
        <w:tc>
          <w:tcPr>
            <w:tcW w:w="6418"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Produse noi valorificate la agenţi economici prin colaborare sau contracte de royalty</w:t>
            </w:r>
          </w:p>
        </w:tc>
        <w:tc>
          <w:tcPr>
            <w:tcW w:w="856" w:type="dxa"/>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fr-FR"/>
              </w:rPr>
            </w:pPr>
            <w:r>
              <w:rPr>
                <w:sz w:val="20"/>
                <w:szCs w:val="20"/>
                <w:lang w:val="fr-FR" w:eastAsia="en-US"/>
              </w:rPr>
              <w:t> </w:t>
            </w:r>
          </w:p>
        </w:tc>
        <w:tc>
          <w:tcPr>
            <w:tcW w:w="2115"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rFonts w:ascii="Times New Roman" w:hAnsi="Times New Roman"/>
                <w:sz w:val="20"/>
                <w:szCs w:val="20"/>
                <w:lang w:val="fr-FR" w:eastAsia="en-US"/>
              </w:rPr>
            </w:pPr>
            <w:r>
              <w:rPr>
                <w:sz w:val="20"/>
                <w:szCs w:val="20"/>
                <w:lang w:val="fr-FR" w:eastAsia="en-US"/>
              </w:rPr>
            </w:r>
          </w:p>
        </w:tc>
      </w:tr>
      <w:tr>
        <w:trPr>
          <w:trHeight w:val="270" w:hRule="atLeast"/>
        </w:trPr>
        <w:tc>
          <w:tcPr>
            <w:tcW w:w="76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7.2.5.</w:t>
            </w:r>
          </w:p>
        </w:tc>
        <w:tc>
          <w:tcPr>
            <w:tcW w:w="6418"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Softul elaborat şi implementat </w:t>
            </w:r>
          </w:p>
        </w:tc>
        <w:tc>
          <w:tcPr>
            <w:tcW w:w="856" w:type="dxa"/>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 </w:t>
            </w:r>
          </w:p>
        </w:tc>
        <w:tc>
          <w:tcPr>
            <w:tcW w:w="2115"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270" w:hRule="atLeast"/>
        </w:trPr>
        <w:tc>
          <w:tcPr>
            <w:tcW w:w="76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7.2.6.</w:t>
            </w:r>
          </w:p>
        </w:tc>
        <w:tc>
          <w:tcPr>
            <w:tcW w:w="6418"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Mostre de maşini, echipamente,dispozitive funcţionale elaborate în perioada evaluată</w:t>
            </w:r>
          </w:p>
        </w:tc>
        <w:tc>
          <w:tcPr>
            <w:tcW w:w="856"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eastAsia="en-US"/>
              </w:rPr>
              <w:t> </w:t>
            </w:r>
          </w:p>
        </w:tc>
        <w:tc>
          <w:tcPr>
            <w:tcW w:w="2115"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rFonts w:ascii="Times New Roman" w:hAnsi="Times New Roman"/>
                <w:sz w:val="20"/>
                <w:szCs w:val="20"/>
                <w:lang w:val="fr-FR" w:eastAsia="en-US"/>
              </w:rPr>
            </w:pPr>
            <w:r>
              <w:rPr>
                <w:sz w:val="20"/>
                <w:szCs w:val="20"/>
                <w:lang w:val="fr-FR" w:eastAsia="en-US"/>
              </w:rPr>
            </w:r>
          </w:p>
        </w:tc>
      </w:tr>
      <w:tr>
        <w:trPr>
          <w:trHeight w:val="270" w:hRule="atLeast"/>
        </w:trPr>
        <w:tc>
          <w:tcPr>
            <w:tcW w:w="76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7.2.7.</w:t>
            </w:r>
          </w:p>
        </w:tc>
        <w:tc>
          <w:tcPr>
            <w:tcW w:w="6418"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Atlase şi hărţi editate</w:t>
            </w:r>
          </w:p>
        </w:tc>
        <w:tc>
          <w:tcPr>
            <w:tcW w:w="856" w:type="dxa"/>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 </w:t>
            </w:r>
          </w:p>
        </w:tc>
        <w:tc>
          <w:tcPr>
            <w:tcW w:w="2115"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270" w:hRule="atLeast"/>
        </w:trPr>
        <w:tc>
          <w:tcPr>
            <w:tcW w:w="2537"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7.2.8.</w:t>
            </w:r>
          </w:p>
        </w:tc>
        <w:tc>
          <w:tcPr>
            <w:tcW w:w="2538"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Materiale noi documentate</w:t>
            </w:r>
          </w:p>
        </w:tc>
        <w:tc>
          <w:tcPr>
            <w:tcW w:w="5075" w:type="dxa"/>
            <w:gridSpan w:val="5"/>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2537"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7.2.9.</w:t>
            </w:r>
          </w:p>
        </w:tc>
        <w:tc>
          <w:tcPr>
            <w:tcW w:w="2538"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Substanţe noi documentate</w:t>
            </w:r>
          </w:p>
        </w:tc>
        <w:tc>
          <w:tcPr>
            <w:tcW w:w="5075" w:type="dxa"/>
            <w:gridSpan w:val="5"/>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76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center"/>
              <w:textAlignment w:val="auto"/>
              <w:rPr>
                <w:lang w:val="en-US"/>
              </w:rPr>
            </w:pPr>
            <w:r>
              <w:rPr>
                <w:sz w:val="20"/>
                <w:szCs w:val="20"/>
                <w:lang w:val="en-US" w:eastAsia="en-US"/>
              </w:rPr>
              <w:t>7.2.10.</w:t>
            </w:r>
          </w:p>
        </w:tc>
        <w:tc>
          <w:tcPr>
            <w:tcW w:w="6418"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Tehnologii noi documentate</w:t>
            </w:r>
          </w:p>
        </w:tc>
        <w:tc>
          <w:tcPr>
            <w:tcW w:w="856" w:type="dxa"/>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 </w:t>
            </w:r>
          </w:p>
        </w:tc>
        <w:tc>
          <w:tcPr>
            <w:tcW w:w="2115"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270" w:hRule="atLeast"/>
        </w:trPr>
        <w:tc>
          <w:tcPr>
            <w:tcW w:w="2537"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center"/>
              <w:textAlignment w:val="auto"/>
              <w:rPr>
                <w:lang w:val="en-US"/>
              </w:rPr>
            </w:pPr>
            <w:r>
              <w:rPr>
                <w:sz w:val="20"/>
                <w:szCs w:val="20"/>
                <w:lang w:val="en-US" w:eastAsia="en-US"/>
              </w:rPr>
              <w:t>7.2.11.</w:t>
            </w:r>
          </w:p>
        </w:tc>
        <w:tc>
          <w:tcPr>
            <w:tcW w:w="2538"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Metode noi documentate</w:t>
            </w:r>
          </w:p>
        </w:tc>
        <w:tc>
          <w:tcPr>
            <w:tcW w:w="5075" w:type="dxa"/>
            <w:gridSpan w:val="5"/>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2537"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center"/>
              <w:textAlignment w:val="auto"/>
              <w:rPr>
                <w:lang w:val="en-US"/>
              </w:rPr>
            </w:pPr>
            <w:r>
              <w:rPr>
                <w:sz w:val="20"/>
                <w:szCs w:val="20"/>
                <w:lang w:val="en-US" w:eastAsia="en-US"/>
              </w:rPr>
              <w:t>7.2.12.</w:t>
            </w:r>
          </w:p>
        </w:tc>
        <w:tc>
          <w:tcPr>
            <w:tcW w:w="2538"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Procedee noi documentate</w:t>
            </w:r>
          </w:p>
        </w:tc>
        <w:tc>
          <w:tcPr>
            <w:tcW w:w="5075" w:type="dxa"/>
            <w:gridSpan w:val="5"/>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2537"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center"/>
              <w:textAlignment w:val="auto"/>
              <w:rPr>
                <w:lang w:val="en-US"/>
              </w:rPr>
            </w:pPr>
            <w:r>
              <w:rPr>
                <w:sz w:val="20"/>
                <w:szCs w:val="20"/>
                <w:lang w:val="en-US" w:eastAsia="en-US"/>
              </w:rPr>
              <w:t>7.2.13.</w:t>
            </w:r>
          </w:p>
        </w:tc>
        <w:tc>
          <w:tcPr>
            <w:tcW w:w="2538"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Linii create</w:t>
            </w:r>
          </w:p>
        </w:tc>
        <w:tc>
          <w:tcPr>
            <w:tcW w:w="5075" w:type="dxa"/>
            <w:gridSpan w:val="5"/>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2537"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center"/>
              <w:textAlignment w:val="auto"/>
              <w:rPr>
                <w:lang w:val="en-US"/>
              </w:rPr>
            </w:pPr>
            <w:r>
              <w:rPr>
                <w:sz w:val="20"/>
                <w:szCs w:val="20"/>
                <w:lang w:val="en-US" w:eastAsia="en-US"/>
              </w:rPr>
              <w:t>7.2.14.</w:t>
            </w:r>
          </w:p>
        </w:tc>
        <w:tc>
          <w:tcPr>
            <w:tcW w:w="2538"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Hibrizi creati</w:t>
            </w:r>
          </w:p>
        </w:tc>
        <w:tc>
          <w:tcPr>
            <w:tcW w:w="5075" w:type="dxa"/>
            <w:gridSpan w:val="5"/>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2537"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center"/>
              <w:textAlignment w:val="auto"/>
              <w:rPr>
                <w:lang w:val="en-US"/>
              </w:rPr>
            </w:pPr>
            <w:r>
              <w:rPr>
                <w:sz w:val="20"/>
                <w:szCs w:val="20"/>
                <w:lang w:val="en-US" w:eastAsia="en-US"/>
              </w:rPr>
              <w:t>7.2.15.</w:t>
            </w:r>
          </w:p>
        </w:tc>
        <w:tc>
          <w:tcPr>
            <w:tcW w:w="2538"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Soiuri create</w:t>
            </w:r>
          </w:p>
        </w:tc>
        <w:tc>
          <w:tcPr>
            <w:tcW w:w="5075" w:type="dxa"/>
            <w:gridSpan w:val="5"/>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2537"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center"/>
              <w:textAlignment w:val="auto"/>
              <w:rPr>
                <w:lang w:val="en-US"/>
              </w:rPr>
            </w:pPr>
            <w:r>
              <w:rPr>
                <w:sz w:val="20"/>
                <w:szCs w:val="20"/>
                <w:lang w:val="en-US" w:eastAsia="en-US"/>
              </w:rPr>
              <w:t>7.2.16.</w:t>
            </w:r>
          </w:p>
        </w:tc>
        <w:tc>
          <w:tcPr>
            <w:tcW w:w="2538"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Rase create</w:t>
            </w:r>
          </w:p>
        </w:tc>
        <w:tc>
          <w:tcPr>
            <w:tcW w:w="5075" w:type="dxa"/>
            <w:gridSpan w:val="5"/>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2537"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center"/>
              <w:textAlignment w:val="auto"/>
              <w:rPr>
                <w:lang w:val="en-US"/>
              </w:rPr>
            </w:pPr>
            <w:r>
              <w:rPr>
                <w:sz w:val="20"/>
                <w:szCs w:val="20"/>
                <w:lang w:val="en-US" w:eastAsia="en-US"/>
              </w:rPr>
              <w:t>7.2.17.</w:t>
            </w:r>
          </w:p>
        </w:tc>
        <w:tc>
          <w:tcPr>
            <w:tcW w:w="2538"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Suşe create</w:t>
            </w:r>
          </w:p>
        </w:tc>
        <w:tc>
          <w:tcPr>
            <w:tcW w:w="5075" w:type="dxa"/>
            <w:gridSpan w:val="5"/>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2537"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center"/>
              <w:textAlignment w:val="auto"/>
              <w:rPr>
                <w:lang w:val="en-US"/>
              </w:rPr>
            </w:pPr>
            <w:r>
              <w:rPr>
                <w:sz w:val="20"/>
                <w:szCs w:val="20"/>
                <w:lang w:val="en-US" w:eastAsia="en-US"/>
              </w:rPr>
              <w:t>7.2.18.</w:t>
            </w:r>
          </w:p>
        </w:tc>
        <w:tc>
          <w:tcPr>
            <w:tcW w:w="2538"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 xml:space="preserve">Linii, hibrizi, soiuri, rase, suşe </w:t>
            </w:r>
            <w:r>
              <w:rPr>
                <w:sz w:val="20"/>
                <w:szCs w:val="20"/>
                <w:lang w:val="fr-FR" w:eastAsia="en-US"/>
              </w:rPr>
              <w:t>omologate si înscrise în registru</w:t>
            </w:r>
          </w:p>
        </w:tc>
        <w:tc>
          <w:tcPr>
            <w:tcW w:w="5075" w:type="dxa"/>
            <w:gridSpan w:val="5"/>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2537"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center"/>
              <w:textAlignment w:val="auto"/>
              <w:rPr>
                <w:lang w:val="en-US"/>
              </w:rPr>
            </w:pPr>
            <w:r>
              <w:rPr>
                <w:sz w:val="20"/>
                <w:szCs w:val="20"/>
                <w:lang w:val="en-US" w:eastAsia="en-US"/>
              </w:rPr>
              <w:t>7.2.19.</w:t>
            </w:r>
          </w:p>
        </w:tc>
        <w:tc>
          <w:tcPr>
            <w:tcW w:w="2538"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Alte rezultate (de indicat)</w:t>
            </w:r>
          </w:p>
        </w:tc>
        <w:tc>
          <w:tcPr>
            <w:tcW w:w="5075" w:type="dxa"/>
            <w:gridSpan w:val="5"/>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76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c>
          <w:tcPr>
            <w:tcW w:w="7274" w:type="dxa"/>
            <w:gridSpan w:val="5"/>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7.3. Asistenţă şi servicii ştiinţifice prestate</w:t>
            </w:r>
          </w:p>
        </w:tc>
        <w:tc>
          <w:tcPr>
            <w:tcW w:w="2115"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270" w:hRule="atLeast"/>
        </w:trPr>
        <w:tc>
          <w:tcPr>
            <w:tcW w:w="76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7.3.1.</w:t>
            </w:r>
          </w:p>
        </w:tc>
        <w:tc>
          <w:tcPr>
            <w:tcW w:w="6418"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Recomandări ştiinţifico-practice documentate</w:t>
            </w:r>
          </w:p>
        </w:tc>
        <w:tc>
          <w:tcPr>
            <w:tcW w:w="856" w:type="dxa"/>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 </w:t>
            </w:r>
          </w:p>
        </w:tc>
        <w:tc>
          <w:tcPr>
            <w:tcW w:w="2115"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r>
      <w:tr>
        <w:trPr>
          <w:trHeight w:val="270" w:hRule="atLeast"/>
        </w:trPr>
        <w:tc>
          <w:tcPr>
            <w:tcW w:w="2537"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7.3.2.</w:t>
            </w:r>
          </w:p>
        </w:tc>
        <w:tc>
          <w:tcPr>
            <w:tcW w:w="2538"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Prestări de servicii în laboratoare acreditate</w:t>
            </w:r>
          </w:p>
        </w:tc>
        <w:tc>
          <w:tcPr>
            <w:tcW w:w="5075" w:type="dxa"/>
            <w:gridSpan w:val="5"/>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2537" w:type="dxa"/>
            <w:gridSpan w:val="3"/>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7.3.3.</w:t>
            </w:r>
          </w:p>
        </w:tc>
        <w:tc>
          <w:tcPr>
            <w:tcW w:w="2538"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Prestări d</w:t>
            </w:r>
            <w:r>
              <w:rPr>
                <w:sz w:val="20"/>
                <w:szCs w:val="20"/>
                <w:lang w:val="en-US" w:eastAsia="en-US"/>
              </w:rPr>
              <w:t>e servicii în laboratoare neacreditate</w:t>
            </w:r>
          </w:p>
        </w:tc>
        <w:tc>
          <w:tcPr>
            <w:tcW w:w="5075" w:type="dxa"/>
            <w:gridSpan w:val="5"/>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 </w:t>
            </w:r>
          </w:p>
        </w:tc>
      </w:tr>
    </w:tbl>
    <w:p>
      <w:pPr>
        <w:pStyle w:val="Normal"/>
        <w:widowControl/>
        <w:bidi w:val="0"/>
        <w:spacing w:before="0" w:after="240"/>
        <w:ind w:left="0" w:right="-2016" w:hanging="0"/>
        <w:jc w:val="left"/>
        <w:textAlignment w:val="auto"/>
        <w:rPr>
          <w:rFonts w:ascii="Times New Roman" w:hAnsi="Times New Roman"/>
          <w:sz w:val="22"/>
          <w:szCs w:val="22"/>
          <w:lang w:val="ro-RO"/>
        </w:rPr>
      </w:pPr>
      <w:r>
        <w:rPr>
          <w:sz w:val="22"/>
          <w:szCs w:val="22"/>
          <w:lang w:val="ro-RO"/>
        </w:rPr>
      </w:r>
    </w:p>
    <w:p>
      <w:pPr>
        <w:pStyle w:val="2"/>
        <w:keepNext/>
        <w:widowControl/>
        <w:numPr>
          <w:ilvl w:val="0"/>
          <w:numId w:val="0"/>
        </w:numPr>
        <w:bidi w:val="0"/>
        <w:ind w:left="0" w:right="0" w:hanging="0"/>
        <w:jc w:val="left"/>
        <w:textAlignment w:val="auto"/>
        <w:outlineLvl w:val="1"/>
        <w:rPr>
          <w:lang w:val="en-US"/>
        </w:rPr>
      </w:pPr>
      <w:bookmarkStart w:id="490" w:name="_Toc469652041"/>
      <w:bookmarkStart w:id="491" w:name="_Toc311820820"/>
      <w:bookmarkStart w:id="492" w:name="_Toc311820496"/>
      <w:bookmarkStart w:id="493" w:name="_Toc311820016"/>
      <w:bookmarkStart w:id="494" w:name="_Toc311819747"/>
      <w:bookmarkStart w:id="495" w:name="_Toc311818809"/>
      <w:bookmarkStart w:id="496" w:name="_Toc311818477"/>
      <w:bookmarkStart w:id="497" w:name="_Toc469652041"/>
      <w:bookmarkStart w:id="498" w:name="_Toc311820820"/>
      <w:bookmarkStart w:id="499" w:name="_Toc311820496"/>
      <w:bookmarkStart w:id="500" w:name="_Toc311820016"/>
      <w:bookmarkStart w:id="501" w:name="_Toc311819747"/>
      <w:bookmarkStart w:id="502" w:name="_Toc311818809"/>
      <w:bookmarkStart w:id="503" w:name="_Toc311818477"/>
      <w:bookmarkEnd w:id="497"/>
      <w:bookmarkEnd w:id="498"/>
      <w:bookmarkEnd w:id="499"/>
      <w:bookmarkEnd w:id="500"/>
      <w:bookmarkEnd w:id="501"/>
      <w:bookmarkEnd w:id="502"/>
      <w:r>
        <w:rPr>
          <w:lang w:val="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p>
      <w:pPr>
        <w:pStyle w:val="Normal"/>
        <w:widowControl/>
        <w:bidi w:val="0"/>
        <w:ind w:left="0" w:right="0" w:hanging="0"/>
        <w:jc w:val="left"/>
        <w:textAlignment w:val="auto"/>
        <w:rPr>
          <w:rFonts w:ascii="Times New Roman" w:hAnsi="Times New Roman"/>
          <w:lang w:val="en-US" w:eastAsia="en-US"/>
        </w:rPr>
      </w:pPr>
      <w:r>
        <w:rPr>
          <w:lang w:val="en-US" w:eastAsia="en-US"/>
        </w:rPr>
      </w:r>
    </w:p>
    <w:tbl>
      <w:tblPr>
        <w:tblW w:w="8641" w:type="dxa"/>
        <w:jc w:val="left"/>
        <w:tblInd w:w="821"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0" w:type="dxa"/>
          <w:left w:w="98" w:type="dxa"/>
          <w:bottom w:w="0" w:type="dxa"/>
          <w:right w:w="108" w:type="dxa"/>
        </w:tblCellMar>
      </w:tblPr>
      <w:tblGrid>
        <w:gridCol w:w="1449"/>
        <w:gridCol w:w="6424"/>
        <w:gridCol w:w="768"/>
      </w:tblGrid>
      <w:tr>
        <w:trPr>
          <w:trHeight w:val="270" w:hRule="atLeast"/>
        </w:trPr>
        <w:tc>
          <w:tcPr>
            <w:tcW w:w="7873"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rFonts w:cs="Times New Roman CE" w:ascii="Times New Roman CE" w:hAnsi="Times New Roman CE"/>
                <w:b/>
                <w:bCs/>
                <w:sz w:val="20"/>
                <w:szCs w:val="20"/>
                <w:lang w:val="en-US" w:eastAsia="en-US"/>
              </w:rPr>
              <w:t>8. RELEVANŢA SOCIALĂ</w:t>
            </w:r>
          </w:p>
        </w:tc>
        <w:tc>
          <w:tcPr>
            <w:tcW w:w="768" w:type="dxa"/>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2016</w:t>
            </w:r>
          </w:p>
        </w:tc>
      </w:tr>
      <w:tr>
        <w:trPr>
          <w:trHeight w:val="270" w:hRule="atLeast"/>
        </w:trPr>
        <w:tc>
          <w:tcPr>
            <w:tcW w:w="144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 </w:t>
            </w:r>
          </w:p>
        </w:tc>
        <w:tc>
          <w:tcPr>
            <w:tcW w:w="7192" w:type="dxa"/>
            <w:gridSpan w:val="2"/>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lang w:val="fr-FR"/>
              </w:rPr>
            </w:pPr>
            <w:r>
              <w:rPr>
                <w:rFonts w:cs="Times New Roman CE" w:ascii="Times New Roman CE" w:hAnsi="Times New Roman CE"/>
                <w:b/>
                <w:bCs/>
                <w:sz w:val="20"/>
                <w:szCs w:val="20"/>
                <w:lang w:val="fr-FR" w:eastAsia="en-US"/>
              </w:rPr>
              <w:t>8.1. Transfer de cunoştinţe şi activitate didactică</w:t>
            </w:r>
          </w:p>
        </w:tc>
      </w:tr>
      <w:tr>
        <w:trPr>
          <w:trHeight w:val="270" w:hRule="atLeast"/>
        </w:trPr>
        <w:tc>
          <w:tcPr>
            <w:tcW w:w="144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8.1.1.</w:t>
            </w:r>
          </w:p>
        </w:tc>
        <w:tc>
          <w:tcPr>
            <w:tcW w:w="642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Articole în enciclopedii</w:t>
            </w:r>
          </w:p>
        </w:tc>
        <w:tc>
          <w:tcPr>
            <w:tcW w:w="768"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144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8.1.2.</w:t>
            </w:r>
          </w:p>
        </w:tc>
        <w:tc>
          <w:tcPr>
            <w:tcW w:w="642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Dicţionare</w:t>
            </w:r>
          </w:p>
        </w:tc>
        <w:tc>
          <w:tcPr>
            <w:tcW w:w="768"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1449" w:type="dxa"/>
            <w:tcBorders>
              <w:left w:val="single" w:sz="8" w:space="0" w:color="000001"/>
              <w:right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8.1.3.</w:t>
            </w:r>
          </w:p>
        </w:tc>
        <w:tc>
          <w:tcPr>
            <w:tcW w:w="642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Manuale pentru înv</w:t>
            </w:r>
            <w:r>
              <w:rPr>
                <w:rFonts w:cs="Times New Roman CE" w:ascii="Times New Roman CE" w:hAnsi="Times New Roman CE"/>
                <w:sz w:val="20"/>
                <w:szCs w:val="20"/>
                <w:lang w:val="en-US" w:eastAsia="en-US"/>
              </w:rPr>
              <w:t>ăţământ universitar</w:t>
            </w:r>
          </w:p>
        </w:tc>
        <w:tc>
          <w:tcPr>
            <w:tcW w:w="768"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144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8.1.4.</w:t>
            </w:r>
          </w:p>
        </w:tc>
        <w:tc>
          <w:tcPr>
            <w:tcW w:w="642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Manuale pentru învăţământ preuniversitar</w:t>
            </w:r>
          </w:p>
        </w:tc>
        <w:tc>
          <w:tcPr>
            <w:tcW w:w="768"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144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8.1.5.</w:t>
            </w:r>
          </w:p>
        </w:tc>
        <w:tc>
          <w:tcPr>
            <w:tcW w:w="642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Capitole în manuale de învăţămînt universitar</w:t>
            </w:r>
          </w:p>
        </w:tc>
        <w:tc>
          <w:tcPr>
            <w:tcW w:w="768"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144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8.1.6.</w:t>
            </w:r>
          </w:p>
        </w:tc>
        <w:tc>
          <w:tcPr>
            <w:tcW w:w="642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Capitole în manuale de învăţămînt preuniversitar</w:t>
            </w:r>
          </w:p>
        </w:tc>
        <w:tc>
          <w:tcPr>
            <w:tcW w:w="768"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144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8.1.7.</w:t>
            </w:r>
          </w:p>
        </w:tc>
        <w:tc>
          <w:tcPr>
            <w:tcW w:w="642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Lucrări metodice, note de curs, compendiumuri</w:t>
            </w:r>
          </w:p>
        </w:tc>
        <w:tc>
          <w:tcPr>
            <w:tcW w:w="768"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eastAsia="en-US"/>
              </w:rPr>
              <w:t> </w:t>
            </w:r>
            <w:r>
              <w:rPr>
                <w:sz w:val="20"/>
                <w:szCs w:val="20"/>
                <w:lang w:val="fr-FR" w:eastAsia="en-US"/>
              </w:rPr>
              <w:t>1</w:t>
            </w:r>
          </w:p>
        </w:tc>
      </w:tr>
      <w:tr>
        <w:trPr>
          <w:trHeight w:val="270" w:hRule="atLeast"/>
        </w:trPr>
        <w:tc>
          <w:tcPr>
            <w:tcW w:w="144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8.1.8.</w:t>
            </w:r>
          </w:p>
        </w:tc>
        <w:tc>
          <w:tcPr>
            <w:tcW w:w="642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Cur</w:t>
            </w:r>
            <w:r>
              <w:rPr>
                <w:rFonts w:cs="Times New Roman CE" w:ascii="Times New Roman CE" w:hAnsi="Times New Roman CE"/>
                <w:sz w:val="20"/>
                <w:szCs w:val="20"/>
                <w:lang w:val="fr-FR" w:eastAsia="en-US"/>
              </w:rPr>
              <w:t>suri elaborate în anul de referinţă</w:t>
            </w:r>
          </w:p>
        </w:tc>
        <w:tc>
          <w:tcPr>
            <w:tcW w:w="768"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eastAsia="en-US"/>
              </w:rPr>
              <w:t>3 </w:t>
            </w:r>
          </w:p>
        </w:tc>
      </w:tr>
      <w:tr>
        <w:trPr>
          <w:trHeight w:val="270" w:hRule="atLeast"/>
        </w:trPr>
        <w:tc>
          <w:tcPr>
            <w:tcW w:w="144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8.1.9.</w:t>
            </w:r>
          </w:p>
        </w:tc>
        <w:tc>
          <w:tcPr>
            <w:tcW w:w="642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Cursuri ţinute în anul de referinţă</w:t>
            </w:r>
          </w:p>
        </w:tc>
        <w:tc>
          <w:tcPr>
            <w:tcW w:w="768"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11</w:t>
            </w:r>
          </w:p>
        </w:tc>
      </w:tr>
      <w:tr>
        <w:trPr>
          <w:trHeight w:val="270" w:hRule="atLeast"/>
        </w:trPr>
        <w:tc>
          <w:tcPr>
            <w:tcW w:w="144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8.1.10.</w:t>
            </w:r>
          </w:p>
        </w:tc>
        <w:tc>
          <w:tcPr>
            <w:tcW w:w="642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Conducător al persoanelor care au susţinut tezei de licenţă/de masterat</w:t>
            </w:r>
          </w:p>
        </w:tc>
        <w:tc>
          <w:tcPr>
            <w:tcW w:w="768"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5/3</w:t>
            </w:r>
          </w:p>
        </w:tc>
      </w:tr>
      <w:tr>
        <w:trPr>
          <w:trHeight w:val="270" w:hRule="atLeast"/>
        </w:trPr>
        <w:tc>
          <w:tcPr>
            <w:tcW w:w="144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8.1.11.</w:t>
            </w:r>
          </w:p>
        </w:tc>
        <w:tc>
          <w:tcPr>
            <w:tcW w:w="642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Conducător ştiinţific al persoanelor care au susţinut teza de doctor</w:t>
            </w:r>
          </w:p>
        </w:tc>
        <w:tc>
          <w:tcPr>
            <w:tcW w:w="768"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r>
              <w:rPr>
                <w:sz w:val="20"/>
                <w:szCs w:val="20"/>
                <w:lang w:val="en-US" w:eastAsia="en-US"/>
              </w:rPr>
              <w:t>1</w:t>
            </w:r>
          </w:p>
        </w:tc>
      </w:tr>
      <w:tr>
        <w:trPr>
          <w:trHeight w:val="270" w:hRule="atLeast"/>
        </w:trPr>
        <w:tc>
          <w:tcPr>
            <w:tcW w:w="144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8.1.12.</w:t>
            </w:r>
          </w:p>
        </w:tc>
        <w:tc>
          <w:tcPr>
            <w:tcW w:w="6424"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Consultant ştiinţific al persoanelor care au susţinut teza tezei de doctor</w:t>
            </w:r>
          </w:p>
        </w:tc>
        <w:tc>
          <w:tcPr>
            <w:tcW w:w="768"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144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8.1.13.</w:t>
            </w:r>
          </w:p>
        </w:tc>
        <w:tc>
          <w:tcPr>
            <w:tcW w:w="6424"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Consultant ştiinţific al persoanelor care au susţinut teza de doctor habilitat</w:t>
            </w:r>
          </w:p>
        </w:tc>
        <w:tc>
          <w:tcPr>
            <w:tcW w:w="768"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144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8.1.14.</w:t>
            </w:r>
          </w:p>
        </w:tc>
        <w:tc>
          <w:tcPr>
            <w:tcW w:w="6424" w:type="dxa"/>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Studenţi, masteranzi, care au efectut stagiere practica în cadrul subdivizi</w:t>
            </w:r>
            <w:r>
              <w:rPr>
                <w:sz w:val="20"/>
                <w:szCs w:val="20"/>
                <w:lang w:val="en-US" w:eastAsia="en-US"/>
              </w:rPr>
              <w:t>unii</w:t>
            </w:r>
          </w:p>
        </w:tc>
        <w:tc>
          <w:tcPr>
            <w:tcW w:w="76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2</w:t>
            </w:r>
          </w:p>
        </w:tc>
      </w:tr>
      <w:tr>
        <w:trPr>
          <w:trHeight w:val="270" w:hRule="atLeast"/>
        </w:trPr>
        <w:tc>
          <w:tcPr>
            <w:tcW w:w="144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 </w:t>
            </w:r>
          </w:p>
        </w:tc>
        <w:tc>
          <w:tcPr>
            <w:tcW w:w="7192" w:type="dxa"/>
            <w:gridSpan w:val="2"/>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lang w:val="en-US"/>
              </w:rPr>
            </w:pPr>
            <w:r>
              <w:rPr>
                <w:rFonts w:cs="Times New Roman CE" w:ascii="Times New Roman CE" w:hAnsi="Times New Roman CE"/>
                <w:b/>
                <w:bCs/>
                <w:sz w:val="20"/>
                <w:szCs w:val="20"/>
                <w:lang w:val="en-US" w:eastAsia="en-US"/>
              </w:rPr>
              <w:t>8.2. Participări în elaborarea actelor normative şi activităţi de consultanţă</w:t>
            </w:r>
          </w:p>
        </w:tc>
      </w:tr>
      <w:tr>
        <w:trPr>
          <w:trHeight w:val="270" w:hRule="atLeast"/>
        </w:trPr>
        <w:tc>
          <w:tcPr>
            <w:tcW w:w="144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8.2.1.</w:t>
            </w:r>
          </w:p>
        </w:tc>
        <w:tc>
          <w:tcPr>
            <w:tcW w:w="642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Documente de politici elaborate şi aprobate</w:t>
            </w:r>
          </w:p>
        </w:tc>
        <w:tc>
          <w:tcPr>
            <w:tcW w:w="768"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144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8.2.2.</w:t>
            </w:r>
          </w:p>
        </w:tc>
        <w:tc>
          <w:tcPr>
            <w:tcW w:w="642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Acte normative elaborate, inclusiv tratate internaţionale</w:t>
            </w:r>
          </w:p>
        </w:tc>
        <w:tc>
          <w:tcPr>
            <w:tcW w:w="768"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144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8.2.3.</w:t>
            </w:r>
          </w:p>
        </w:tc>
        <w:tc>
          <w:tcPr>
            <w:tcW w:w="642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Avize a proiectelor de legi şi alte ac</w:t>
            </w:r>
            <w:r>
              <w:rPr>
                <w:sz w:val="20"/>
                <w:szCs w:val="20"/>
                <w:lang w:val="fr-FR" w:eastAsia="en-US"/>
              </w:rPr>
              <w:t>te normative</w:t>
            </w:r>
          </w:p>
        </w:tc>
        <w:tc>
          <w:tcPr>
            <w:tcW w:w="768"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lang w:val="fr-FR" w:eastAsia="en-US"/>
              </w:rPr>
            </w:pPr>
            <w:r>
              <w:rPr>
                <w:sz w:val="20"/>
                <w:szCs w:val="20"/>
                <w:lang w:val="fr-FR" w:eastAsia="en-US"/>
              </w:rPr>
            </w:r>
          </w:p>
        </w:tc>
      </w:tr>
      <w:tr>
        <w:trPr>
          <w:trHeight w:val="525" w:hRule="atLeast"/>
        </w:trPr>
        <w:tc>
          <w:tcPr>
            <w:tcW w:w="144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8.2.4.</w:t>
            </w:r>
          </w:p>
        </w:tc>
        <w:tc>
          <w:tcPr>
            <w:tcW w:w="642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Recomandări metodologice elaborate şi implementate în activitatea autorităţilor publice centrale şi locale</w:t>
            </w:r>
          </w:p>
        </w:tc>
        <w:tc>
          <w:tcPr>
            <w:tcW w:w="768"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144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8.2.5.</w:t>
            </w:r>
          </w:p>
        </w:tc>
        <w:tc>
          <w:tcPr>
            <w:tcW w:w="642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Participării în activitatea comisiilor instituite de preşedinţie, parlament, guvern</w:t>
            </w:r>
          </w:p>
        </w:tc>
        <w:tc>
          <w:tcPr>
            <w:tcW w:w="768"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144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8.2.6.</w:t>
            </w:r>
          </w:p>
        </w:tc>
        <w:tc>
          <w:tcPr>
            <w:tcW w:w="642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Participării în activit</w:t>
            </w:r>
            <w:r>
              <w:rPr>
                <w:sz w:val="20"/>
                <w:szCs w:val="20"/>
                <w:lang w:val="fr-FR" w:eastAsia="en-US"/>
              </w:rPr>
              <w:t>atea grupurilor de lucru instituite de ministere, departamente</w:t>
            </w:r>
          </w:p>
        </w:tc>
        <w:tc>
          <w:tcPr>
            <w:tcW w:w="768"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1</w:t>
            </w:r>
          </w:p>
        </w:tc>
      </w:tr>
      <w:tr>
        <w:trPr>
          <w:trHeight w:val="270" w:hRule="atLeast"/>
        </w:trPr>
        <w:tc>
          <w:tcPr>
            <w:tcW w:w="144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 </w:t>
            </w:r>
          </w:p>
        </w:tc>
        <w:tc>
          <w:tcPr>
            <w:tcW w:w="7192" w:type="dxa"/>
            <w:gridSpan w:val="2"/>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lang w:val="en-US"/>
              </w:rPr>
            </w:pPr>
            <w:r>
              <w:rPr>
                <w:rFonts w:cs="Times New Roman CE" w:ascii="Times New Roman CE" w:hAnsi="Times New Roman CE"/>
                <w:b/>
                <w:bCs/>
                <w:sz w:val="20"/>
                <w:szCs w:val="20"/>
                <w:lang w:val="en-US" w:eastAsia="en-US"/>
              </w:rPr>
              <w:t>8.3. Diseminarea informaţiei ştiinţifice şi promovarea imaginii ştiinţei</w:t>
            </w:r>
          </w:p>
        </w:tc>
      </w:tr>
      <w:tr>
        <w:trPr>
          <w:trHeight w:val="270" w:hRule="atLeast"/>
        </w:trPr>
        <w:tc>
          <w:tcPr>
            <w:tcW w:w="144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8.3.1.</w:t>
            </w:r>
          </w:p>
        </w:tc>
        <w:tc>
          <w:tcPr>
            <w:tcW w:w="642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Manifestări ştiinţifice internaţionale organizate (</w:t>
            </w:r>
            <w:r>
              <w:rPr>
                <w:sz w:val="18"/>
                <w:szCs w:val="18"/>
                <w:lang w:val="en-US" w:eastAsia="en-US"/>
              </w:rPr>
              <w:t xml:space="preserve">FOI, ICTEI 2015-coorganizator) </w:t>
            </w:r>
            <w:r>
              <w:rPr>
                <w:sz w:val="20"/>
                <w:szCs w:val="20"/>
                <w:lang w:val="en-US" w:eastAsia="en-US"/>
              </w:rPr>
              <w:t xml:space="preserve"> </w:t>
            </w:r>
          </w:p>
        </w:tc>
        <w:tc>
          <w:tcPr>
            <w:tcW w:w="768"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1</w:t>
            </w:r>
          </w:p>
        </w:tc>
      </w:tr>
      <w:tr>
        <w:trPr>
          <w:trHeight w:val="270" w:hRule="atLeast"/>
        </w:trPr>
        <w:tc>
          <w:tcPr>
            <w:tcW w:w="144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8.3.2.</w:t>
            </w:r>
          </w:p>
        </w:tc>
        <w:tc>
          <w:tcPr>
            <w:tcW w:w="642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Manifestări ştiinţifice naţionale organizate</w:t>
            </w:r>
          </w:p>
        </w:tc>
        <w:tc>
          <w:tcPr>
            <w:tcW w:w="768"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70" w:hRule="atLeast"/>
        </w:trPr>
        <w:tc>
          <w:tcPr>
            <w:tcW w:w="144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8.3.3.</w:t>
            </w:r>
          </w:p>
        </w:tc>
        <w:tc>
          <w:tcPr>
            <w:tcW w:w="642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 xml:space="preserve">Cărţi de popularizare a ştiinţei </w:t>
            </w:r>
          </w:p>
        </w:tc>
        <w:tc>
          <w:tcPr>
            <w:tcW w:w="768"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70" w:hRule="atLeast"/>
        </w:trPr>
        <w:tc>
          <w:tcPr>
            <w:tcW w:w="144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8.3.4.</w:t>
            </w:r>
          </w:p>
        </w:tc>
        <w:tc>
          <w:tcPr>
            <w:tcW w:w="642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 xml:space="preserve">Articole de popularizare a ştiinţei </w:t>
            </w:r>
          </w:p>
        </w:tc>
        <w:tc>
          <w:tcPr>
            <w:tcW w:w="768"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lang w:val="fr-FR" w:eastAsia="en-US"/>
              </w:rPr>
            </w:pPr>
            <w:r>
              <w:rPr>
                <w:sz w:val="20"/>
                <w:szCs w:val="20"/>
                <w:lang w:val="fr-FR" w:eastAsia="en-US"/>
              </w:rPr>
            </w:r>
          </w:p>
        </w:tc>
      </w:tr>
      <w:tr>
        <w:trPr>
          <w:trHeight w:val="270" w:hRule="atLeast"/>
        </w:trPr>
        <w:tc>
          <w:tcPr>
            <w:tcW w:w="144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8.3.5.</w:t>
            </w:r>
          </w:p>
        </w:tc>
        <w:tc>
          <w:tcPr>
            <w:tcW w:w="642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 xml:space="preserve">Participări la emisiuni tele-radio consacrate ştiinţei </w:t>
            </w:r>
          </w:p>
        </w:tc>
        <w:tc>
          <w:tcPr>
            <w:tcW w:w="768"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8</w:t>
            </w:r>
          </w:p>
        </w:tc>
      </w:tr>
      <w:tr>
        <w:trPr>
          <w:trHeight w:val="270" w:hRule="atLeast"/>
        </w:trPr>
        <w:tc>
          <w:tcPr>
            <w:tcW w:w="144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8.3.6.</w:t>
            </w:r>
          </w:p>
        </w:tc>
        <w:tc>
          <w:tcPr>
            <w:tcW w:w="642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Seminare ştiinţifice de profil şi manifestări organizate</w:t>
            </w:r>
          </w:p>
        </w:tc>
        <w:tc>
          <w:tcPr>
            <w:tcW w:w="768"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5</w:t>
            </w:r>
          </w:p>
        </w:tc>
      </w:tr>
    </w:tbl>
    <w:p>
      <w:pPr>
        <w:pStyle w:val="2"/>
        <w:keepNext/>
        <w:widowControl/>
        <w:numPr>
          <w:ilvl w:val="0"/>
          <w:numId w:val="0"/>
        </w:numPr>
        <w:bidi w:val="0"/>
        <w:ind w:left="0" w:right="0" w:hanging="0"/>
        <w:jc w:val="left"/>
        <w:textAlignment w:val="auto"/>
        <w:outlineLvl w:val="1"/>
        <w:rPr>
          <w:rFonts w:ascii="Times New Roman" w:hAnsi="Times New Roman"/>
          <w:i/>
          <w:i/>
          <w:sz w:val="26"/>
          <w:szCs w:val="26"/>
        </w:rPr>
      </w:pPr>
      <w:r>
        <w:rPr>
          <w:i/>
          <w:sz w:val="26"/>
          <w:szCs w:val="26"/>
        </w:rPr>
      </w:r>
    </w:p>
    <w:p>
      <w:pPr>
        <w:pStyle w:val="2"/>
        <w:keepNext/>
        <w:widowControl/>
        <w:numPr>
          <w:ilvl w:val="0"/>
          <w:numId w:val="0"/>
        </w:numPr>
        <w:bidi w:val="0"/>
        <w:ind w:left="0" w:right="0" w:hanging="0"/>
        <w:jc w:val="left"/>
        <w:textAlignment w:val="auto"/>
        <w:outlineLvl w:val="1"/>
        <w:rPr>
          <w:rFonts w:ascii="Times New Roman" w:hAnsi="Times New Roman"/>
          <w:i/>
          <w:i/>
          <w:sz w:val="26"/>
          <w:szCs w:val="26"/>
        </w:rPr>
      </w:pPr>
      <w:r>
        <w:rPr>
          <w:i/>
          <w:sz w:val="26"/>
          <w:szCs w:val="26"/>
        </w:rPr>
      </w:r>
    </w:p>
    <w:p>
      <w:pPr>
        <w:pStyle w:val="2"/>
        <w:keepNext/>
        <w:widowControl/>
        <w:numPr>
          <w:ilvl w:val="0"/>
          <w:numId w:val="0"/>
        </w:numPr>
        <w:bidi w:val="0"/>
        <w:ind w:left="0" w:right="0" w:hanging="0"/>
        <w:jc w:val="left"/>
        <w:textAlignment w:val="auto"/>
        <w:outlineLvl w:val="1"/>
        <w:rPr>
          <w:rFonts w:ascii="Times New Roman" w:hAnsi="Times New Roman"/>
          <w:i/>
          <w:i/>
          <w:sz w:val="26"/>
          <w:szCs w:val="26"/>
        </w:rPr>
      </w:pPr>
      <w:r>
        <w:rPr>
          <w:i/>
          <w:sz w:val="26"/>
          <w:szCs w:val="26"/>
        </w:rPr>
      </w:r>
    </w:p>
    <w:p>
      <w:pPr>
        <w:pStyle w:val="2"/>
        <w:keepNext/>
        <w:widowControl/>
        <w:numPr>
          <w:ilvl w:val="0"/>
          <w:numId w:val="0"/>
        </w:numPr>
        <w:bidi w:val="0"/>
        <w:ind w:left="0" w:right="0" w:hanging="0"/>
        <w:jc w:val="left"/>
        <w:textAlignment w:val="auto"/>
        <w:outlineLvl w:val="1"/>
        <w:rPr>
          <w:rFonts w:ascii="Times New Roman" w:hAnsi="Times New Roman"/>
          <w:i/>
          <w:i/>
          <w:sz w:val="26"/>
          <w:szCs w:val="26"/>
        </w:rPr>
      </w:pPr>
      <w:r>
        <w:rPr>
          <w:i/>
          <w:sz w:val="26"/>
          <w:szCs w:val="26"/>
        </w:rPr>
      </w:r>
    </w:p>
    <w:p>
      <w:pPr>
        <w:pStyle w:val="2"/>
        <w:keepNext/>
        <w:widowControl/>
        <w:numPr>
          <w:ilvl w:val="0"/>
          <w:numId w:val="0"/>
        </w:numPr>
        <w:bidi w:val="0"/>
        <w:ind w:left="0" w:right="0" w:hanging="0"/>
        <w:jc w:val="left"/>
        <w:textAlignment w:val="auto"/>
        <w:outlineLvl w:val="1"/>
        <w:rPr>
          <w:rFonts w:ascii="Times New Roman" w:hAnsi="Times New Roman"/>
          <w:i/>
          <w:i/>
          <w:sz w:val="26"/>
          <w:szCs w:val="26"/>
        </w:rPr>
      </w:pPr>
      <w:r>
        <w:rPr>
          <w:i/>
          <w:sz w:val="26"/>
          <w:szCs w:val="26"/>
        </w:rPr>
      </w:r>
    </w:p>
    <w:p>
      <w:pPr>
        <w:pStyle w:val="2"/>
        <w:keepNext/>
        <w:widowControl/>
        <w:numPr>
          <w:ilvl w:val="0"/>
          <w:numId w:val="0"/>
        </w:numPr>
        <w:bidi w:val="0"/>
        <w:ind w:left="0" w:right="0" w:hanging="0"/>
        <w:jc w:val="left"/>
        <w:textAlignment w:val="auto"/>
        <w:outlineLvl w:val="1"/>
        <w:rPr>
          <w:rFonts w:ascii="Times New Roman" w:hAnsi="Times New Roman"/>
          <w:i/>
          <w:i/>
          <w:sz w:val="26"/>
          <w:szCs w:val="26"/>
        </w:rPr>
      </w:pPr>
      <w:r>
        <w:rPr>
          <w:i/>
          <w:sz w:val="26"/>
          <w:szCs w:val="26"/>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Normal"/>
        <w:widowControl/>
        <w:bidi w:val="0"/>
        <w:ind w:left="0" w:right="0" w:hanging="0"/>
        <w:jc w:val="left"/>
        <w:textAlignment w:val="auto"/>
        <w:rPr>
          <w:rFonts w:ascii="Times New Roman" w:hAnsi="Times New Roman"/>
          <w:lang w:val="ro-RO" w:eastAsia="en-US"/>
        </w:rPr>
      </w:pPr>
      <w:r>
        <w:rPr>
          <w:lang w:val="ro-RO" w:eastAsia="en-US"/>
        </w:rPr>
      </w:r>
    </w:p>
    <w:p>
      <w:pPr>
        <w:pStyle w:val="2"/>
        <w:keepNext/>
        <w:widowControl/>
        <w:numPr>
          <w:ilvl w:val="0"/>
          <w:numId w:val="0"/>
        </w:numPr>
        <w:bidi w:val="0"/>
        <w:ind w:left="0" w:right="0" w:hanging="0"/>
        <w:jc w:val="left"/>
        <w:textAlignment w:val="auto"/>
        <w:outlineLvl w:val="1"/>
        <w:rPr>
          <w:rFonts w:ascii="Times New Roman" w:hAnsi="Times New Roman"/>
          <w:i/>
          <w:i/>
          <w:sz w:val="26"/>
          <w:szCs w:val="26"/>
        </w:rPr>
      </w:pPr>
      <w:r>
        <w:rPr>
          <w:i/>
          <w:sz w:val="26"/>
          <w:szCs w:val="26"/>
        </w:rPr>
      </w:r>
    </w:p>
    <w:p>
      <w:pPr>
        <w:pStyle w:val="2"/>
        <w:keepNext/>
        <w:widowControl/>
        <w:numPr>
          <w:ilvl w:val="0"/>
          <w:numId w:val="0"/>
        </w:numPr>
        <w:bidi w:val="0"/>
        <w:ind w:left="0" w:right="0" w:hanging="0"/>
        <w:jc w:val="left"/>
        <w:textAlignment w:val="auto"/>
        <w:outlineLvl w:val="1"/>
        <w:rPr>
          <w:rFonts w:ascii="Times New Roman" w:hAnsi="Times New Roman"/>
          <w:i/>
          <w:i/>
          <w:sz w:val="26"/>
          <w:szCs w:val="26"/>
        </w:rPr>
      </w:pPr>
      <w:r>
        <w:rPr>
          <w:i/>
          <w:sz w:val="26"/>
          <w:szCs w:val="26"/>
        </w:rPr>
      </w:r>
    </w:p>
    <w:p>
      <w:pPr>
        <w:pStyle w:val="2"/>
        <w:keepNext/>
        <w:widowControl/>
        <w:numPr>
          <w:ilvl w:val="0"/>
          <w:numId w:val="0"/>
        </w:numPr>
        <w:bidi w:val="0"/>
        <w:ind w:left="0" w:right="0" w:hanging="0"/>
        <w:jc w:val="left"/>
        <w:textAlignment w:val="auto"/>
        <w:outlineLvl w:val="1"/>
        <w:rPr>
          <w:rFonts w:ascii="Times New Roman" w:hAnsi="Times New Roman"/>
          <w:i/>
          <w:i/>
          <w:sz w:val="26"/>
          <w:szCs w:val="26"/>
        </w:rPr>
      </w:pPr>
      <w:r>
        <w:rPr>
          <w:i/>
          <w:sz w:val="26"/>
          <w:szCs w:val="26"/>
        </w:rPr>
      </w:r>
    </w:p>
    <w:p>
      <w:pPr>
        <w:pStyle w:val="2"/>
        <w:keepNext/>
        <w:widowControl/>
        <w:numPr>
          <w:ilvl w:val="0"/>
          <w:numId w:val="0"/>
        </w:numPr>
        <w:bidi w:val="0"/>
        <w:ind w:left="0" w:right="0" w:hanging="0"/>
        <w:jc w:val="left"/>
        <w:textAlignment w:val="auto"/>
        <w:outlineLvl w:val="1"/>
        <w:rPr/>
      </w:pPr>
      <w:bookmarkStart w:id="504" w:name="_Toc311818477"/>
      <w:bookmarkStart w:id="505" w:name="_Toc375219622"/>
      <w:bookmarkEnd w:id="504"/>
      <w:bookmarkEnd w:id="505"/>
      <w:r>
        <w:rPr>
          <w:i/>
          <w:sz w:val="26"/>
          <w:szCs w:val="26"/>
        </w:rPr>
        <w:t>Anexa VI. Forma indicatorilor de activitate a laboratorului Sisteme Informatice</w:t>
      </w:r>
    </w:p>
    <w:p>
      <w:pPr>
        <w:pStyle w:val="Normal"/>
        <w:widowControl/>
        <w:bidi w:val="0"/>
        <w:ind w:left="0" w:right="0" w:hanging="0"/>
        <w:jc w:val="left"/>
        <w:textAlignment w:val="auto"/>
        <w:rPr>
          <w:rFonts w:ascii="Times New Roman" w:hAnsi="Times New Roman"/>
          <w:lang w:val="ro-RO" w:eastAsia="en-US"/>
        </w:rPr>
      </w:pPr>
      <w:bookmarkStart w:id="506" w:name="_Toc469652041"/>
      <w:bookmarkStart w:id="507" w:name="_Toc311820820"/>
      <w:bookmarkStart w:id="508" w:name="_Toc311820496"/>
      <w:bookmarkStart w:id="509" w:name="_Toc311820016"/>
      <w:bookmarkStart w:id="510" w:name="_Toc311819747"/>
      <w:bookmarkStart w:id="511" w:name="_Toc311818809"/>
      <w:bookmarkStart w:id="512" w:name="_Toc469652041"/>
      <w:bookmarkStart w:id="513" w:name="_Toc311820820"/>
      <w:bookmarkStart w:id="514" w:name="_Toc311820496"/>
      <w:bookmarkStart w:id="515" w:name="_Toc311820016"/>
      <w:bookmarkStart w:id="516" w:name="_Toc311819747"/>
      <w:bookmarkStart w:id="517" w:name="_Toc311818809"/>
      <w:bookmarkEnd w:id="512"/>
      <w:bookmarkEnd w:id="513"/>
      <w:bookmarkEnd w:id="514"/>
      <w:bookmarkEnd w:id="515"/>
      <w:bookmarkEnd w:id="516"/>
      <w:bookmarkEnd w:id="517"/>
      <w:r>
        <w:rPr>
          <w:lang w:val="ro-RO" w:eastAsia="en-US"/>
        </w:rPr>
      </w:r>
    </w:p>
    <w:tbl>
      <w:tblPr>
        <w:tblW w:w="9664" w:type="dxa"/>
        <w:jc w:val="left"/>
        <w:tblInd w:w="170" w:type="dxa"/>
        <w:tblBorders/>
        <w:tblCellMar>
          <w:top w:w="0" w:type="dxa"/>
          <w:left w:w="108" w:type="dxa"/>
          <w:bottom w:w="0" w:type="dxa"/>
          <w:right w:w="108" w:type="dxa"/>
        </w:tblCellMar>
      </w:tblPr>
      <w:tblGrid>
        <w:gridCol w:w="983"/>
        <w:gridCol w:w="3454"/>
        <w:gridCol w:w="5227"/>
      </w:tblGrid>
      <w:tr>
        <w:trPr>
          <w:trHeight w:val="65" w:hRule="atLeast"/>
        </w:trPr>
        <w:tc>
          <w:tcPr>
            <w:tcW w:w="9664" w:type="dxa"/>
            <w:gridSpan w:val="3"/>
            <w:tcBorders/>
            <w:shd w:fill="auto" w:val="clear"/>
            <w:vAlign w:val="bottom"/>
          </w:tcPr>
          <w:p>
            <w:pPr>
              <w:pStyle w:val="Normal"/>
              <w:widowControl/>
              <w:bidi w:val="0"/>
              <w:ind w:left="0" w:right="0" w:hanging="0"/>
              <w:jc w:val="center"/>
              <w:textAlignment w:val="auto"/>
              <w:rPr/>
            </w:pPr>
            <w:r>
              <w:rPr>
                <w:b/>
                <w:bCs/>
                <w:sz w:val="22"/>
                <w:szCs w:val="22"/>
              </w:rPr>
              <w:t>1. DATE GENERALE</w:t>
            </w:r>
          </w:p>
        </w:tc>
      </w:tr>
      <w:tr>
        <w:trPr>
          <w:trHeight w:val="65" w:hRule="atLeast"/>
        </w:trPr>
        <w:tc>
          <w:tcPr>
            <w:tcW w:w="983" w:type="dxa"/>
            <w:tcBorders/>
            <w:shd w:fill="auto" w:val="clear"/>
            <w:vAlign w:val="bottom"/>
          </w:tcPr>
          <w:p>
            <w:pPr>
              <w:pStyle w:val="Normal"/>
              <w:widowControl/>
              <w:bidi w:val="0"/>
              <w:ind w:left="0" w:right="0" w:hanging="0"/>
              <w:jc w:val="center"/>
              <w:textAlignment w:val="auto"/>
              <w:rPr>
                <w:rFonts w:ascii="Times New Roman" w:hAnsi="Times New Roman"/>
                <w:b/>
                <w:b/>
                <w:bCs/>
                <w:sz w:val="22"/>
                <w:szCs w:val="22"/>
              </w:rPr>
            </w:pPr>
            <w:r>
              <w:rPr>
                <w:b/>
                <w:bCs/>
                <w:sz w:val="22"/>
                <w:szCs w:val="22"/>
              </w:rPr>
            </w:r>
          </w:p>
        </w:tc>
        <w:tc>
          <w:tcPr>
            <w:tcW w:w="3454" w:type="dxa"/>
            <w:tcBorders/>
            <w:shd w:fill="auto" w:val="clear"/>
            <w:vAlign w:val="bottom"/>
          </w:tcPr>
          <w:p>
            <w:pPr>
              <w:pStyle w:val="Normal"/>
              <w:widowControl/>
              <w:bidi w:val="0"/>
              <w:ind w:left="0" w:right="0" w:hanging="0"/>
              <w:jc w:val="center"/>
              <w:textAlignment w:val="auto"/>
              <w:rPr>
                <w:rFonts w:ascii="Times New Roman" w:hAnsi="Times New Roman"/>
                <w:b/>
                <w:b/>
                <w:bCs/>
                <w:sz w:val="22"/>
                <w:szCs w:val="22"/>
              </w:rPr>
            </w:pPr>
            <w:r>
              <w:rPr>
                <w:b/>
                <w:bCs/>
                <w:sz w:val="22"/>
                <w:szCs w:val="22"/>
              </w:rPr>
            </w:r>
          </w:p>
        </w:tc>
        <w:tc>
          <w:tcPr>
            <w:tcW w:w="5227" w:type="dxa"/>
            <w:tcBorders/>
            <w:shd w:fill="auto" w:val="clear"/>
            <w:vAlign w:val="bottom"/>
          </w:tcPr>
          <w:p>
            <w:pPr>
              <w:pStyle w:val="Normal"/>
              <w:widowControl/>
              <w:bidi w:val="0"/>
              <w:ind w:left="0" w:right="0" w:hanging="0"/>
              <w:jc w:val="center"/>
              <w:textAlignment w:val="auto"/>
              <w:rPr>
                <w:rFonts w:ascii="Times New Roman" w:hAnsi="Times New Roman"/>
                <w:b/>
                <w:b/>
                <w:bCs/>
                <w:sz w:val="22"/>
                <w:szCs w:val="22"/>
              </w:rPr>
            </w:pPr>
            <w:r>
              <w:rPr>
                <w:b/>
                <w:bCs/>
                <w:sz w:val="22"/>
                <w:szCs w:val="22"/>
              </w:rPr>
            </w:r>
          </w:p>
        </w:tc>
      </w:tr>
      <w:tr>
        <w:trPr>
          <w:trHeight w:val="65" w:hRule="atLeast"/>
        </w:trPr>
        <w:tc>
          <w:tcPr>
            <w:tcW w:w="98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pPr>
            <w:r>
              <w:rPr>
                <w:b/>
                <w:bCs/>
                <w:sz w:val="22"/>
                <w:szCs w:val="22"/>
              </w:rPr>
              <w:t>1.1.</w:t>
            </w:r>
          </w:p>
        </w:tc>
        <w:tc>
          <w:tcPr>
            <w:tcW w:w="3454" w:type="dxa"/>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b/>
                <w:bCs/>
                <w:sz w:val="22"/>
                <w:szCs w:val="22"/>
              </w:rPr>
              <w:t>Denumirea subdiviziunii</w:t>
            </w:r>
          </w:p>
        </w:tc>
        <w:tc>
          <w:tcPr>
            <w:tcW w:w="5227" w:type="dxa"/>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bCs/>
                <w:sz w:val="22"/>
                <w:szCs w:val="22"/>
              </w:rPr>
              <w:t>Laboratorul Sisteme Informatice</w:t>
            </w:r>
          </w:p>
        </w:tc>
      </w:tr>
      <w:tr>
        <w:trPr>
          <w:trHeight w:val="65" w:hRule="atLeast"/>
        </w:trPr>
        <w:tc>
          <w:tcPr>
            <w:tcW w:w="983"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pPr>
            <w:r>
              <w:rPr>
                <w:b/>
                <w:bCs/>
                <w:sz w:val="22"/>
                <w:szCs w:val="22"/>
              </w:rPr>
              <w:t>1.2.</w:t>
            </w:r>
          </w:p>
        </w:tc>
        <w:tc>
          <w:tcPr>
            <w:tcW w:w="345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rFonts w:cs="Times New Roman CE" w:ascii="Times New Roman CE" w:hAnsi="Times New Roman CE"/>
                <w:b/>
                <w:bCs/>
                <w:sz w:val="22"/>
                <w:szCs w:val="22"/>
              </w:rPr>
              <w:t>Organizaţia</w:t>
            </w:r>
          </w:p>
        </w:tc>
        <w:tc>
          <w:tcPr>
            <w:tcW w:w="522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bCs/>
                <w:sz w:val="22"/>
                <w:szCs w:val="22"/>
                <w:lang w:val="fr-FR"/>
              </w:rPr>
              <w:t>Institutul de Matematică şi Informatică</w:t>
            </w:r>
          </w:p>
        </w:tc>
      </w:tr>
      <w:tr>
        <w:trPr>
          <w:trHeight w:val="65" w:hRule="atLeast"/>
        </w:trPr>
        <w:tc>
          <w:tcPr>
            <w:tcW w:w="983"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pPr>
            <w:r>
              <w:rPr>
                <w:b/>
                <w:bCs/>
                <w:sz w:val="22"/>
                <w:szCs w:val="22"/>
              </w:rPr>
              <w:t>1.3.</w:t>
            </w:r>
          </w:p>
        </w:tc>
        <w:tc>
          <w:tcPr>
            <w:tcW w:w="8681" w:type="dxa"/>
            <w:gridSpan w:val="2"/>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pPr>
            <w:r>
              <w:rPr>
                <w:b/>
                <w:bCs/>
                <w:sz w:val="22"/>
                <w:szCs w:val="22"/>
              </w:rPr>
              <w:t>Conduc</w:t>
            </w:r>
            <w:r>
              <w:rPr>
                <w:rFonts w:cs="Times New Roman CE" w:ascii="Times New Roman CE" w:hAnsi="Times New Roman CE"/>
                <w:b/>
                <w:bCs/>
                <w:sz w:val="22"/>
                <w:szCs w:val="22"/>
              </w:rPr>
              <w:t>ătorul subdiviziunii:</w:t>
            </w:r>
          </w:p>
        </w:tc>
      </w:tr>
      <w:tr>
        <w:trPr>
          <w:trHeight w:val="65" w:hRule="atLeast"/>
        </w:trPr>
        <w:tc>
          <w:tcPr>
            <w:tcW w:w="983"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pPr>
            <w:r>
              <w:rPr>
                <w:bCs/>
                <w:sz w:val="22"/>
                <w:szCs w:val="22"/>
              </w:rPr>
              <w:t>1.3.1.</w:t>
            </w:r>
          </w:p>
        </w:tc>
        <w:tc>
          <w:tcPr>
            <w:tcW w:w="345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bCs/>
                <w:sz w:val="22"/>
                <w:szCs w:val="22"/>
              </w:rPr>
              <w:t>Numele de familie</w:t>
            </w:r>
          </w:p>
        </w:tc>
        <w:tc>
          <w:tcPr>
            <w:tcW w:w="522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bCs/>
                <w:sz w:val="22"/>
                <w:szCs w:val="22"/>
                <w:lang w:val="en-US"/>
              </w:rPr>
              <w:t>Secrieru</w:t>
            </w:r>
          </w:p>
        </w:tc>
      </w:tr>
      <w:tr>
        <w:trPr>
          <w:trHeight w:val="65" w:hRule="atLeast"/>
        </w:trPr>
        <w:tc>
          <w:tcPr>
            <w:tcW w:w="983"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pPr>
            <w:r>
              <w:rPr>
                <w:bCs/>
                <w:sz w:val="22"/>
                <w:szCs w:val="22"/>
              </w:rPr>
              <w:t>1.3.2.</w:t>
            </w:r>
          </w:p>
        </w:tc>
        <w:tc>
          <w:tcPr>
            <w:tcW w:w="345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bCs/>
                <w:sz w:val="22"/>
                <w:szCs w:val="22"/>
              </w:rPr>
              <w:t>Prenumele</w:t>
            </w:r>
          </w:p>
        </w:tc>
        <w:tc>
          <w:tcPr>
            <w:tcW w:w="522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bCs/>
                <w:sz w:val="22"/>
                <w:szCs w:val="22"/>
              </w:rPr>
              <w:t>I</w:t>
            </w:r>
            <w:r>
              <w:rPr>
                <w:bCs/>
                <w:sz w:val="22"/>
                <w:szCs w:val="22"/>
                <w:lang w:val="en-US"/>
              </w:rPr>
              <w:t>ulian</w:t>
            </w:r>
          </w:p>
        </w:tc>
      </w:tr>
      <w:tr>
        <w:trPr>
          <w:trHeight w:val="65" w:hRule="atLeast"/>
        </w:trPr>
        <w:tc>
          <w:tcPr>
            <w:tcW w:w="983"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pPr>
            <w:r>
              <w:rPr>
                <w:bCs/>
                <w:sz w:val="22"/>
                <w:szCs w:val="22"/>
              </w:rPr>
              <w:t xml:space="preserve">1.3.3. </w:t>
            </w:r>
          </w:p>
        </w:tc>
        <w:tc>
          <w:tcPr>
            <w:tcW w:w="345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rFonts w:cs="Times New Roman CE" w:ascii="Times New Roman CE" w:hAnsi="Times New Roman CE"/>
                <w:bCs/>
                <w:sz w:val="22"/>
                <w:szCs w:val="22"/>
              </w:rPr>
              <w:t>Gradul ştiinţific</w:t>
            </w:r>
          </w:p>
        </w:tc>
        <w:tc>
          <w:tcPr>
            <w:tcW w:w="522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bCs/>
                <w:sz w:val="22"/>
                <w:szCs w:val="22"/>
                <w:lang w:val="en-US"/>
              </w:rPr>
              <w:t>Cercet</w:t>
            </w:r>
            <w:r>
              <w:rPr>
                <w:rFonts w:cs="Times New Roman CE" w:ascii="Times New Roman CE" w:hAnsi="Times New Roman CE"/>
                <w:bCs/>
                <w:sz w:val="22"/>
                <w:szCs w:val="22"/>
                <w:lang w:val="ro-RO"/>
              </w:rPr>
              <w:t>ător ştiinţific</w:t>
            </w:r>
          </w:p>
        </w:tc>
      </w:tr>
      <w:tr>
        <w:trPr>
          <w:trHeight w:val="65" w:hRule="atLeast"/>
        </w:trPr>
        <w:tc>
          <w:tcPr>
            <w:tcW w:w="983"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pPr>
            <w:r>
              <w:rPr>
                <w:bCs/>
                <w:sz w:val="22"/>
                <w:szCs w:val="22"/>
              </w:rPr>
              <w:t xml:space="preserve">1.3.4. </w:t>
            </w:r>
          </w:p>
        </w:tc>
        <w:tc>
          <w:tcPr>
            <w:tcW w:w="345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rFonts w:cs="Times New Roman CE" w:ascii="Times New Roman CE" w:hAnsi="Times New Roman CE"/>
                <w:bCs/>
                <w:sz w:val="22"/>
                <w:szCs w:val="22"/>
              </w:rPr>
              <w:t>Titlul ştiinţific/ştiinţifico-didactic</w:t>
            </w:r>
          </w:p>
        </w:tc>
        <w:tc>
          <w:tcPr>
            <w:tcW w:w="522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rFonts w:ascii="Times New Roman" w:hAnsi="Times New Roman"/>
                <w:bCs/>
                <w:sz w:val="22"/>
                <w:szCs w:val="22"/>
              </w:rPr>
            </w:pPr>
            <w:r>
              <w:rPr>
                <w:bCs/>
                <w:sz w:val="22"/>
                <w:szCs w:val="22"/>
              </w:rPr>
            </w:r>
          </w:p>
        </w:tc>
      </w:tr>
      <w:tr>
        <w:trPr>
          <w:trHeight w:val="65" w:hRule="atLeast"/>
        </w:trPr>
        <w:tc>
          <w:tcPr>
            <w:tcW w:w="983"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pPr>
            <w:r>
              <w:rPr>
                <w:bCs/>
                <w:sz w:val="22"/>
                <w:szCs w:val="22"/>
              </w:rPr>
              <w:t>1.3.5.</w:t>
            </w:r>
          </w:p>
        </w:tc>
        <w:tc>
          <w:tcPr>
            <w:tcW w:w="345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bCs/>
                <w:sz w:val="22"/>
                <w:szCs w:val="22"/>
              </w:rPr>
              <w:t>Titlul academic</w:t>
            </w:r>
          </w:p>
        </w:tc>
        <w:tc>
          <w:tcPr>
            <w:tcW w:w="522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bCs/>
                <w:sz w:val="22"/>
                <w:szCs w:val="22"/>
              </w:rPr>
              <w:t> </w:t>
            </w:r>
          </w:p>
        </w:tc>
      </w:tr>
      <w:tr>
        <w:trPr>
          <w:trHeight w:val="65" w:hRule="atLeast"/>
        </w:trPr>
        <w:tc>
          <w:tcPr>
            <w:tcW w:w="983"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pPr>
            <w:r>
              <w:rPr>
                <w:b/>
                <w:bCs/>
                <w:sz w:val="22"/>
                <w:szCs w:val="22"/>
              </w:rPr>
              <w:t>1.4.</w:t>
            </w:r>
          </w:p>
        </w:tc>
        <w:tc>
          <w:tcPr>
            <w:tcW w:w="345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rFonts w:cs="Times New Roman CE" w:ascii="Times New Roman CE" w:hAnsi="Times New Roman CE"/>
                <w:b/>
                <w:bCs/>
                <w:sz w:val="22"/>
                <w:szCs w:val="22"/>
              </w:rPr>
              <w:t>Anul creării</w:t>
            </w:r>
          </w:p>
        </w:tc>
        <w:tc>
          <w:tcPr>
            <w:tcW w:w="522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b/>
                <w:bCs/>
                <w:sz w:val="22"/>
                <w:szCs w:val="22"/>
              </w:rPr>
              <w:t> </w:t>
            </w:r>
            <w:r>
              <w:rPr>
                <w:bCs/>
                <w:sz w:val="22"/>
                <w:szCs w:val="22"/>
                <w:lang w:val="ro-RO"/>
              </w:rPr>
              <w:t>2009</w:t>
            </w:r>
          </w:p>
        </w:tc>
      </w:tr>
      <w:tr>
        <w:trPr>
          <w:trHeight w:val="65" w:hRule="atLeast"/>
        </w:trPr>
        <w:tc>
          <w:tcPr>
            <w:tcW w:w="983"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pPr>
            <w:r>
              <w:rPr>
                <w:b/>
                <w:bCs/>
                <w:sz w:val="22"/>
                <w:szCs w:val="22"/>
              </w:rPr>
              <w:t xml:space="preserve">1.5. </w:t>
            </w:r>
          </w:p>
        </w:tc>
        <w:tc>
          <w:tcPr>
            <w:tcW w:w="8681" w:type="dxa"/>
            <w:gridSpan w:val="2"/>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pPr>
            <w:r>
              <w:rPr>
                <w:bCs/>
                <w:sz w:val="22"/>
                <w:szCs w:val="22"/>
              </w:rPr>
              <w:t>Date de contact:</w:t>
            </w:r>
          </w:p>
        </w:tc>
      </w:tr>
      <w:tr>
        <w:trPr>
          <w:trHeight w:val="65" w:hRule="atLeast"/>
        </w:trPr>
        <w:tc>
          <w:tcPr>
            <w:tcW w:w="983"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pPr>
            <w:r>
              <w:rPr>
                <w:bCs/>
                <w:sz w:val="22"/>
                <w:szCs w:val="22"/>
              </w:rPr>
              <w:t>1.5.1.</w:t>
            </w:r>
          </w:p>
        </w:tc>
        <w:tc>
          <w:tcPr>
            <w:tcW w:w="345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bCs/>
                <w:sz w:val="22"/>
                <w:szCs w:val="22"/>
              </w:rPr>
              <w:t>Telefon</w:t>
            </w:r>
          </w:p>
        </w:tc>
        <w:tc>
          <w:tcPr>
            <w:tcW w:w="522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rFonts w:cs="Arial" w:ascii="Arial" w:hAnsi="Arial"/>
                <w:sz w:val="20"/>
                <w:szCs w:val="20"/>
              </w:rPr>
              <w:t>022</w:t>
            </w:r>
            <w:r>
              <w:rPr>
                <w:rFonts w:cs="Arial" w:ascii="Arial" w:hAnsi="Arial"/>
                <w:sz w:val="20"/>
                <w:szCs w:val="20"/>
                <w:lang w:val="ro-RO"/>
              </w:rPr>
              <w:t xml:space="preserve"> </w:t>
            </w:r>
            <w:r>
              <w:rPr>
                <w:rFonts w:cs="Arial" w:ascii="Arial" w:hAnsi="Arial"/>
                <w:sz w:val="20"/>
                <w:szCs w:val="20"/>
              </w:rPr>
              <w:t>73</w:t>
            </w:r>
            <w:r>
              <w:rPr>
                <w:rFonts w:cs="Arial" w:ascii="Arial" w:hAnsi="Arial"/>
                <w:sz w:val="20"/>
                <w:szCs w:val="20"/>
                <w:lang w:val="ro-RO"/>
              </w:rPr>
              <w:t xml:space="preserve"> </w:t>
            </w:r>
            <w:r>
              <w:rPr>
                <w:rFonts w:cs="Arial" w:ascii="Arial" w:hAnsi="Arial"/>
                <w:sz w:val="20"/>
                <w:szCs w:val="20"/>
              </w:rPr>
              <w:t>81</w:t>
            </w:r>
            <w:r>
              <w:rPr>
                <w:rFonts w:cs="Arial" w:ascii="Arial" w:hAnsi="Arial"/>
                <w:sz w:val="20"/>
                <w:szCs w:val="20"/>
                <w:lang w:val="ro-RO"/>
              </w:rPr>
              <w:t xml:space="preserve"> </w:t>
            </w:r>
            <w:r>
              <w:rPr>
                <w:rFonts w:cs="Arial" w:ascii="Arial" w:hAnsi="Arial"/>
                <w:sz w:val="20"/>
                <w:szCs w:val="20"/>
              </w:rPr>
              <w:t>30</w:t>
            </w:r>
          </w:p>
        </w:tc>
      </w:tr>
      <w:tr>
        <w:trPr>
          <w:trHeight w:val="65" w:hRule="atLeast"/>
        </w:trPr>
        <w:tc>
          <w:tcPr>
            <w:tcW w:w="983"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pPr>
            <w:r>
              <w:rPr>
                <w:bCs/>
                <w:sz w:val="22"/>
                <w:szCs w:val="22"/>
              </w:rPr>
              <w:t>1.5.2.</w:t>
            </w:r>
          </w:p>
        </w:tc>
        <w:tc>
          <w:tcPr>
            <w:tcW w:w="345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bCs/>
                <w:sz w:val="22"/>
                <w:szCs w:val="22"/>
              </w:rPr>
              <w:t>Fax</w:t>
            </w:r>
          </w:p>
        </w:tc>
        <w:tc>
          <w:tcPr>
            <w:tcW w:w="522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rFonts w:cs="Arial" w:ascii="Arial" w:hAnsi="Arial"/>
                <w:sz w:val="20"/>
                <w:szCs w:val="20"/>
              </w:rPr>
              <w:t>022</w:t>
            </w:r>
            <w:r>
              <w:rPr>
                <w:rFonts w:cs="Arial" w:ascii="Arial" w:hAnsi="Arial"/>
                <w:sz w:val="20"/>
                <w:szCs w:val="20"/>
                <w:lang w:val="ro-RO"/>
              </w:rPr>
              <w:t xml:space="preserve"> </w:t>
            </w:r>
            <w:r>
              <w:rPr>
                <w:rFonts w:cs="Arial" w:ascii="Arial" w:hAnsi="Arial"/>
                <w:sz w:val="20"/>
                <w:szCs w:val="20"/>
              </w:rPr>
              <w:t>73</w:t>
            </w:r>
            <w:r>
              <w:rPr>
                <w:rFonts w:cs="Arial" w:ascii="Arial" w:hAnsi="Arial"/>
                <w:sz w:val="20"/>
                <w:szCs w:val="20"/>
                <w:lang w:val="ro-RO"/>
              </w:rPr>
              <w:t xml:space="preserve"> </w:t>
            </w:r>
            <w:r>
              <w:rPr>
                <w:rFonts w:cs="Arial" w:ascii="Arial" w:hAnsi="Arial"/>
                <w:sz w:val="20"/>
                <w:szCs w:val="20"/>
              </w:rPr>
              <w:t>80</w:t>
            </w:r>
            <w:r>
              <w:rPr>
                <w:rFonts w:cs="Arial" w:ascii="Arial" w:hAnsi="Arial"/>
                <w:sz w:val="20"/>
                <w:szCs w:val="20"/>
                <w:lang w:val="ro-RO"/>
              </w:rPr>
              <w:t xml:space="preserve"> </w:t>
            </w:r>
            <w:r>
              <w:rPr>
                <w:rFonts w:cs="Arial" w:ascii="Arial" w:hAnsi="Arial"/>
                <w:sz w:val="20"/>
                <w:szCs w:val="20"/>
              </w:rPr>
              <w:t>27</w:t>
            </w:r>
          </w:p>
        </w:tc>
      </w:tr>
      <w:tr>
        <w:trPr>
          <w:trHeight w:val="81" w:hRule="atLeast"/>
        </w:trPr>
        <w:tc>
          <w:tcPr>
            <w:tcW w:w="983"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pPr>
            <w:r>
              <w:rPr>
                <w:bCs/>
                <w:sz w:val="22"/>
                <w:szCs w:val="22"/>
              </w:rPr>
              <w:t>1.5.3.</w:t>
            </w:r>
          </w:p>
        </w:tc>
        <w:tc>
          <w:tcPr>
            <w:tcW w:w="345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bCs/>
                <w:sz w:val="22"/>
                <w:szCs w:val="22"/>
              </w:rPr>
              <w:t xml:space="preserve">E-mail </w:t>
            </w:r>
          </w:p>
        </w:tc>
        <w:tc>
          <w:tcPr>
            <w:tcW w:w="522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hyperlink r:id="rId121">
              <w:r>
                <w:rPr>
                  <w:webHidden/>
                  <w:rStyle w:val="Style5"/>
                  <w:bCs/>
                  <w:color w:val="0000FF"/>
                  <w:sz w:val="22"/>
                  <w:szCs w:val="22"/>
                  <w:u w:val="single"/>
                  <w:lang w:val="ro-RO"/>
                </w:rPr>
                <w:t>secrieru</w:t>
              </w:r>
              <w:r>
                <w:rPr>
                  <w:rStyle w:val="Style5"/>
                  <w:bCs/>
                  <w:color w:val="0000FF"/>
                  <w:sz w:val="22"/>
                  <w:szCs w:val="22"/>
                  <w:u w:val="single"/>
                </w:rPr>
                <w:t>@ma</w:t>
              </w:r>
              <w:r>
                <w:rPr>
                  <w:rStyle w:val="Style5"/>
                  <w:bCs/>
                  <w:color w:val="0000FF"/>
                  <w:sz w:val="22"/>
                  <w:szCs w:val="22"/>
                  <w:u w:val="single"/>
                  <w:lang w:val="ro-RO"/>
                </w:rPr>
                <w:t>th.md</w:t>
              </w:r>
            </w:hyperlink>
          </w:p>
        </w:tc>
      </w:tr>
      <w:tr>
        <w:trPr>
          <w:trHeight w:val="65" w:hRule="atLeast"/>
        </w:trPr>
        <w:tc>
          <w:tcPr>
            <w:tcW w:w="983"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pPr>
            <w:r>
              <w:rPr>
                <w:bCs/>
                <w:sz w:val="22"/>
                <w:szCs w:val="22"/>
              </w:rPr>
              <w:t>1.5.4.</w:t>
            </w:r>
          </w:p>
        </w:tc>
        <w:tc>
          <w:tcPr>
            <w:tcW w:w="345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bCs/>
                <w:sz w:val="22"/>
                <w:szCs w:val="22"/>
              </w:rPr>
              <w:t>Pagina WEB a subdiviziunii</w:t>
            </w:r>
          </w:p>
        </w:tc>
        <w:tc>
          <w:tcPr>
            <w:tcW w:w="522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bCs/>
                <w:sz w:val="22"/>
                <w:szCs w:val="22"/>
              </w:rPr>
              <w:t> </w:t>
            </w:r>
            <w:r>
              <w:rPr>
                <w:bCs/>
                <w:sz w:val="22"/>
                <w:szCs w:val="22"/>
                <w:lang w:val="ro-RO"/>
              </w:rPr>
              <w:t>www.math.md</w:t>
            </w:r>
          </w:p>
        </w:tc>
      </w:tr>
      <w:tr>
        <w:trPr>
          <w:trHeight w:val="65" w:hRule="atLeast"/>
        </w:trPr>
        <w:tc>
          <w:tcPr>
            <w:tcW w:w="983" w:type="dxa"/>
            <w:tcBorders>
              <w:left w:val="single" w:sz="8" w:space="0" w:color="000001"/>
              <w:right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pPr>
            <w:r>
              <w:rPr>
                <w:b/>
                <w:bCs/>
                <w:sz w:val="22"/>
                <w:szCs w:val="22"/>
              </w:rPr>
              <w:t>1.6.</w:t>
            </w:r>
          </w:p>
        </w:tc>
        <w:tc>
          <w:tcPr>
            <w:tcW w:w="8681" w:type="dxa"/>
            <w:gridSpan w:val="2"/>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lang w:val="fr-FR"/>
              </w:rPr>
            </w:pPr>
            <w:r>
              <w:rPr>
                <w:rFonts w:cs="Times New Roman CE" w:ascii="Times New Roman CE" w:hAnsi="Times New Roman CE"/>
                <w:b/>
                <w:bCs/>
                <w:sz w:val="22"/>
                <w:szCs w:val="22"/>
                <w:lang w:val="fr-FR"/>
              </w:rPr>
              <w:t>Persoana responsabilă de completarea formularului:</w:t>
            </w:r>
          </w:p>
        </w:tc>
      </w:tr>
      <w:tr>
        <w:trPr>
          <w:trHeight w:val="65" w:hRule="atLeast"/>
        </w:trPr>
        <w:tc>
          <w:tcPr>
            <w:tcW w:w="983" w:type="dxa"/>
            <w:tcBorders>
              <w:top w:val="single" w:sz="8" w:space="0" w:color="000001"/>
              <w:left w:val="single" w:sz="8" w:space="0" w:color="000001"/>
              <w:right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pPr>
            <w:r>
              <w:rPr>
                <w:bCs/>
                <w:sz w:val="22"/>
                <w:szCs w:val="22"/>
              </w:rPr>
              <w:t>1.6.1.</w:t>
            </w:r>
          </w:p>
        </w:tc>
        <w:tc>
          <w:tcPr>
            <w:tcW w:w="345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bCs/>
                <w:sz w:val="22"/>
                <w:szCs w:val="22"/>
              </w:rPr>
              <w:t xml:space="preserve">Numele, prenumele </w:t>
            </w:r>
          </w:p>
        </w:tc>
        <w:tc>
          <w:tcPr>
            <w:tcW w:w="522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ro-RO"/>
              </w:rPr>
            </w:pPr>
            <w:r>
              <w:rPr>
                <w:bCs/>
                <w:sz w:val="22"/>
                <w:szCs w:val="22"/>
                <w:lang w:val="ro-RO"/>
              </w:rPr>
              <w:t>Secrieru Iulian</w:t>
            </w:r>
          </w:p>
        </w:tc>
      </w:tr>
      <w:tr>
        <w:trPr>
          <w:trHeight w:val="65" w:hRule="atLeast"/>
        </w:trPr>
        <w:tc>
          <w:tcPr>
            <w:tcW w:w="983"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pPr>
            <w:r>
              <w:rPr>
                <w:bCs/>
                <w:sz w:val="22"/>
                <w:szCs w:val="22"/>
              </w:rPr>
              <w:t>1.6.2.</w:t>
            </w:r>
          </w:p>
        </w:tc>
        <w:tc>
          <w:tcPr>
            <w:tcW w:w="345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bCs/>
                <w:sz w:val="22"/>
                <w:szCs w:val="22"/>
              </w:rPr>
              <w:t xml:space="preserve">Telefon </w:t>
            </w:r>
          </w:p>
        </w:tc>
        <w:tc>
          <w:tcPr>
            <w:tcW w:w="522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rFonts w:cs="Arial" w:ascii="Arial" w:hAnsi="Arial"/>
                <w:sz w:val="20"/>
                <w:szCs w:val="20"/>
              </w:rPr>
              <w:t>022</w:t>
            </w:r>
            <w:r>
              <w:rPr>
                <w:rFonts w:cs="Arial" w:ascii="Arial" w:hAnsi="Arial"/>
                <w:sz w:val="20"/>
                <w:szCs w:val="20"/>
                <w:lang w:val="ro-RO"/>
              </w:rPr>
              <w:t xml:space="preserve"> </w:t>
            </w:r>
            <w:r>
              <w:rPr>
                <w:rFonts w:cs="Arial" w:ascii="Arial" w:hAnsi="Arial"/>
                <w:sz w:val="20"/>
                <w:szCs w:val="20"/>
              </w:rPr>
              <w:t>73</w:t>
            </w:r>
            <w:r>
              <w:rPr>
                <w:rFonts w:cs="Arial" w:ascii="Arial" w:hAnsi="Arial"/>
                <w:sz w:val="20"/>
                <w:szCs w:val="20"/>
                <w:lang w:val="ro-RO"/>
              </w:rPr>
              <w:t xml:space="preserve"> </w:t>
            </w:r>
            <w:r>
              <w:rPr>
                <w:rFonts w:cs="Arial" w:ascii="Arial" w:hAnsi="Arial"/>
                <w:sz w:val="20"/>
                <w:szCs w:val="20"/>
              </w:rPr>
              <w:t>80</w:t>
            </w:r>
            <w:r>
              <w:rPr>
                <w:rFonts w:cs="Arial" w:ascii="Arial" w:hAnsi="Arial"/>
                <w:sz w:val="20"/>
                <w:szCs w:val="20"/>
                <w:lang w:val="ro-RO"/>
              </w:rPr>
              <w:t xml:space="preserve"> </w:t>
            </w:r>
            <w:r>
              <w:rPr>
                <w:rFonts w:cs="Arial" w:ascii="Arial" w:hAnsi="Arial"/>
                <w:sz w:val="20"/>
                <w:szCs w:val="20"/>
              </w:rPr>
              <w:t>27</w:t>
            </w:r>
          </w:p>
        </w:tc>
      </w:tr>
      <w:tr>
        <w:trPr>
          <w:trHeight w:val="81" w:hRule="atLeast"/>
        </w:trPr>
        <w:tc>
          <w:tcPr>
            <w:tcW w:w="983"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pPr>
            <w:r>
              <w:rPr>
                <w:bCs/>
                <w:sz w:val="22"/>
                <w:szCs w:val="22"/>
              </w:rPr>
              <w:t>1.6.3.</w:t>
            </w:r>
          </w:p>
        </w:tc>
        <w:tc>
          <w:tcPr>
            <w:tcW w:w="3454"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bCs/>
                <w:sz w:val="22"/>
                <w:szCs w:val="22"/>
              </w:rPr>
              <w:t xml:space="preserve">E-mail </w:t>
            </w:r>
          </w:p>
        </w:tc>
        <w:tc>
          <w:tcPr>
            <w:tcW w:w="522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hyperlink r:id="rId122">
              <w:r>
                <w:rPr>
                  <w:webHidden/>
                  <w:rStyle w:val="Style5"/>
                  <w:bCs/>
                  <w:color w:val="0000FF"/>
                  <w:sz w:val="22"/>
                  <w:szCs w:val="22"/>
                  <w:u w:val="single"/>
                  <w:lang w:val="ro-RO"/>
                </w:rPr>
                <w:t>secrieru</w:t>
              </w:r>
              <w:r>
                <w:rPr>
                  <w:rStyle w:val="Style5"/>
                  <w:bCs/>
                  <w:color w:val="0000FF"/>
                  <w:sz w:val="22"/>
                  <w:szCs w:val="22"/>
                  <w:u w:val="single"/>
                </w:rPr>
                <w:t>@ma</w:t>
              </w:r>
              <w:r>
                <w:rPr>
                  <w:rStyle w:val="Style5"/>
                  <w:bCs/>
                  <w:color w:val="0000FF"/>
                  <w:sz w:val="22"/>
                  <w:szCs w:val="22"/>
                  <w:u w:val="single"/>
                  <w:lang w:val="ro-RO"/>
                </w:rPr>
                <w:t>th.md</w:t>
              </w:r>
            </w:hyperlink>
          </w:p>
        </w:tc>
      </w:tr>
    </w:tbl>
    <w:p>
      <w:pPr>
        <w:pStyle w:val="Normal"/>
        <w:widowControl/>
        <w:bidi w:val="0"/>
        <w:ind w:left="0" w:right="0" w:hanging="0"/>
        <w:jc w:val="left"/>
        <w:textAlignment w:val="auto"/>
        <w:rPr>
          <w:rFonts w:ascii="Times New Roman" w:hAnsi="Times New Roman"/>
          <w:sz w:val="22"/>
          <w:szCs w:val="22"/>
          <w:lang w:val="ro-RO" w:eastAsia="en-US"/>
        </w:rPr>
      </w:pPr>
      <w:r>
        <w:rPr>
          <w:sz w:val="22"/>
          <w:szCs w:val="22"/>
          <w:lang w:val="ro-RO" w:eastAsia="en-US"/>
        </w:rPr>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tbl>
      <w:tblPr>
        <w:tblW w:w="9102" w:type="dxa"/>
        <w:jc w:val="left"/>
        <w:tblInd w:w="588" w:type="dxa"/>
        <w:tblBorders>
          <w:top w:val="single" w:sz="8" w:space="0" w:color="000001"/>
          <w:left w:val="single" w:sz="8" w:space="0" w:color="000001"/>
          <w:bottom w:val="single" w:sz="8" w:space="0" w:color="000001"/>
          <w:insideH w:val="single" w:sz="8" w:space="0" w:color="000001"/>
        </w:tblBorders>
        <w:tblCellMar>
          <w:top w:w="0" w:type="dxa"/>
          <w:left w:w="98" w:type="dxa"/>
          <w:bottom w:w="0" w:type="dxa"/>
          <w:right w:w="108" w:type="dxa"/>
        </w:tblCellMar>
      </w:tblPr>
      <w:tblGrid>
        <w:gridCol w:w="1476"/>
        <w:gridCol w:w="3893"/>
        <w:gridCol w:w="1905"/>
        <w:gridCol w:w="1"/>
        <w:gridCol w:w="1826"/>
      </w:tblGrid>
      <w:tr>
        <w:trPr>
          <w:trHeight w:val="333" w:hRule="atLeast"/>
        </w:trPr>
        <w:tc>
          <w:tcPr>
            <w:tcW w:w="7275" w:type="dxa"/>
            <w:gridSpan w:val="4"/>
            <w:tcBorders>
              <w:top w:val="single" w:sz="8" w:space="0" w:color="000001"/>
              <w:left w:val="single" w:sz="8" w:space="0" w:color="000001"/>
              <w:bottom w:val="single" w:sz="8" w:space="0" w:color="000001"/>
              <w:insideH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b/>
                <w:bCs/>
                <w:lang w:val="fr-FR"/>
              </w:rPr>
              <w:t>2.1. CADRUL TEMATIC DE CERCETARE PE ANUL 2016</w:t>
            </w:r>
          </w:p>
        </w:tc>
        <w:tc>
          <w:tcPr>
            <w:tcW w:w="1826" w:type="dxa"/>
            <w:tcBorders>
              <w:top w:val="single" w:sz="8" w:space="0" w:color="000001"/>
              <w:right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lang w:val="fr-FR"/>
              </w:rPr>
              <w:t> </w:t>
            </w:r>
          </w:p>
        </w:tc>
      </w:tr>
      <w:tr>
        <w:trPr>
          <w:trHeight w:val="575" w:hRule="atLeast"/>
        </w:trPr>
        <w:tc>
          <w:tcPr>
            <w:tcW w:w="1476" w:type="dxa"/>
            <w:vMerge w:val="restart"/>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pPr>
            <w:r>
              <w:rPr>
                <w:b/>
                <w:bCs/>
              </w:rPr>
              <w:t>Nr. d/o</w:t>
            </w:r>
          </w:p>
        </w:tc>
        <w:tc>
          <w:tcPr>
            <w:tcW w:w="3893" w:type="dxa"/>
            <w:vMerge w:val="restart"/>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center"/>
              <w:textAlignment w:val="auto"/>
              <w:rPr/>
            </w:pPr>
            <w:r>
              <w:rPr>
                <w:b/>
                <w:bCs/>
              </w:rPr>
              <w:t> </w:t>
            </w:r>
          </w:p>
        </w:tc>
        <w:tc>
          <w:tcPr>
            <w:tcW w:w="3732"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pPr>
            <w:r>
              <w:rPr>
                <w:rFonts w:cs="Times New Roman CE" w:ascii="Times New Roman CE" w:hAnsi="Times New Roman CE"/>
                <w:b/>
                <w:bCs/>
              </w:rPr>
              <w:t>Numărul de proiecte</w:t>
            </w:r>
          </w:p>
        </w:tc>
      </w:tr>
      <w:tr>
        <w:trPr>
          <w:trHeight w:val="378" w:hRule="atLeast"/>
        </w:trPr>
        <w:tc>
          <w:tcPr>
            <w:tcW w:w="1476" w:type="dxa"/>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b/>
                <w:b/>
                <w:bCs/>
              </w:rPr>
            </w:pPr>
            <w:r>
              <w:rPr>
                <w:b/>
                <w:bCs/>
              </w:rPr>
            </w:r>
          </w:p>
        </w:tc>
        <w:tc>
          <w:tcPr>
            <w:tcW w:w="3893" w:type="dxa"/>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b/>
                <w:b/>
                <w:bCs/>
              </w:rPr>
            </w:pPr>
            <w:r>
              <w:rPr>
                <w:b/>
                <w:bCs/>
              </w:rPr>
            </w:r>
          </w:p>
        </w:tc>
        <w:tc>
          <w:tcPr>
            <w:tcW w:w="1905" w:type="dxa"/>
            <w:tcBorders>
              <w:bottom w:val="single" w:sz="8" w:space="0" w:color="000001"/>
              <w:insideH w:val="single" w:sz="8" w:space="0" w:color="000001"/>
            </w:tcBorders>
            <w:shd w:fill="auto" w:val="clear"/>
            <w:vAlign w:val="center"/>
          </w:tcPr>
          <w:p>
            <w:pPr>
              <w:pStyle w:val="Normal"/>
              <w:widowControl/>
              <w:bidi w:val="0"/>
              <w:ind w:left="0" w:right="0" w:hanging="0"/>
              <w:jc w:val="center"/>
              <w:textAlignment w:val="auto"/>
              <w:rPr/>
            </w:pPr>
            <w:r>
              <w:rPr>
                <w:b/>
                <w:bCs/>
              </w:rPr>
              <w:t>fundamentale</w:t>
            </w:r>
          </w:p>
        </w:tc>
        <w:tc>
          <w:tcPr>
            <w:tcW w:w="1827" w:type="dxa"/>
            <w:gridSpan w:val="2"/>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pPr>
            <w:r>
              <w:rPr>
                <w:b/>
                <w:bCs/>
              </w:rPr>
              <w:t>aplicative</w:t>
            </w:r>
          </w:p>
        </w:tc>
      </w:tr>
      <w:tr>
        <w:trPr>
          <w:trHeight w:val="318" w:hRule="atLeast"/>
        </w:trPr>
        <w:tc>
          <w:tcPr>
            <w:tcW w:w="14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b/>
                <w:bCs/>
              </w:rPr>
              <w:t>2.1.</w:t>
            </w:r>
          </w:p>
        </w:tc>
        <w:tc>
          <w:tcPr>
            <w:tcW w:w="3893"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b/>
                <w:bCs/>
              </w:rPr>
              <w:t xml:space="preserve">TOTAL </w:t>
            </w:r>
          </w:p>
        </w:tc>
        <w:tc>
          <w:tcPr>
            <w:tcW w:w="1905" w:type="dxa"/>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b/>
                <w:bCs/>
              </w:rPr>
              <w:t>0</w:t>
            </w:r>
          </w:p>
        </w:tc>
        <w:tc>
          <w:tcPr>
            <w:tcW w:w="1827"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ro-RO"/>
              </w:rPr>
            </w:pPr>
            <w:r>
              <w:rPr>
                <w:b/>
                <w:bCs/>
                <w:lang w:val="ro-RO"/>
              </w:rPr>
              <w:t>4</w:t>
            </w:r>
          </w:p>
        </w:tc>
      </w:tr>
      <w:tr>
        <w:trPr>
          <w:trHeight w:val="318" w:hRule="atLeast"/>
        </w:trPr>
        <w:tc>
          <w:tcPr>
            <w:tcW w:w="14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b/>
                <w:bCs/>
              </w:rPr>
              <w:t>2.1.1.</w:t>
            </w:r>
          </w:p>
        </w:tc>
        <w:tc>
          <w:tcPr>
            <w:tcW w:w="3893"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rFonts w:cs="Times New Roman CE" w:ascii="Times New Roman CE" w:hAnsi="Times New Roman CE"/>
                <w:b/>
                <w:bCs/>
              </w:rPr>
              <w:t>Cercetări ştiinţifice, total</w:t>
            </w:r>
          </w:p>
        </w:tc>
        <w:tc>
          <w:tcPr>
            <w:tcW w:w="1905" w:type="dxa"/>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b/>
                <w:bCs/>
              </w:rPr>
              <w:t>0</w:t>
            </w:r>
          </w:p>
        </w:tc>
        <w:tc>
          <w:tcPr>
            <w:tcW w:w="1827"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ro-RO"/>
              </w:rPr>
            </w:pPr>
            <w:r>
              <w:rPr>
                <w:b/>
                <w:bCs/>
                <w:lang w:val="ro-RO"/>
              </w:rPr>
              <w:t>2</w:t>
            </w:r>
          </w:p>
        </w:tc>
      </w:tr>
      <w:tr>
        <w:trPr>
          <w:trHeight w:val="318" w:hRule="atLeast"/>
        </w:trPr>
        <w:tc>
          <w:tcPr>
            <w:tcW w:w="14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 </w:t>
            </w:r>
          </w:p>
        </w:tc>
        <w:tc>
          <w:tcPr>
            <w:tcW w:w="3893"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 xml:space="preserve">Inclusiv </w:t>
            </w:r>
          </w:p>
        </w:tc>
        <w:tc>
          <w:tcPr>
            <w:tcW w:w="1905" w:type="dxa"/>
            <w:tcBorders>
              <w:bottom w:val="single" w:sz="8" w:space="0" w:color="000001"/>
              <w:insideH w:val="single" w:sz="8" w:space="0" w:color="000001"/>
            </w:tcBorders>
            <w:shd w:color="auto" w:fill="C0C0C0"/>
          </w:tcPr>
          <w:p>
            <w:pPr>
              <w:pStyle w:val="Normal"/>
              <w:widowControl/>
              <w:bidi w:val="0"/>
              <w:ind w:left="0" w:right="0" w:hanging="0"/>
              <w:jc w:val="center"/>
              <w:textAlignment w:val="auto"/>
              <w:rPr/>
            </w:pPr>
            <w:r>
              <w:rPr>
                <w:b/>
                <w:bCs/>
              </w:rPr>
              <w:t> </w:t>
            </w:r>
          </w:p>
        </w:tc>
        <w:tc>
          <w:tcPr>
            <w:tcW w:w="1827" w:type="dxa"/>
            <w:gridSpan w:val="2"/>
            <w:tcBorders>
              <w:left w:val="single" w:sz="8" w:space="0" w:color="000001"/>
              <w:bottom w:val="single" w:sz="8" w:space="0" w:color="000001"/>
              <w:right w:val="single" w:sz="8" w:space="0" w:color="000001"/>
              <w:insideH w:val="single" w:sz="8" w:space="0" w:color="000001"/>
              <w:insideV w:val="single" w:sz="8" w:space="0" w:color="000001"/>
            </w:tcBorders>
            <w:shd w:color="auto" w:fill="C0C0C0"/>
            <w:tcMar>
              <w:left w:w="98" w:type="dxa"/>
            </w:tcMar>
          </w:tcPr>
          <w:p>
            <w:pPr>
              <w:pStyle w:val="Normal"/>
              <w:widowControl/>
              <w:bidi w:val="0"/>
              <w:ind w:left="0" w:right="0" w:hanging="0"/>
              <w:jc w:val="center"/>
              <w:textAlignment w:val="auto"/>
              <w:rPr/>
            </w:pPr>
            <w:r>
              <w:rPr>
                <w:b/>
                <w:bCs/>
              </w:rPr>
              <w:t> </w:t>
            </w:r>
          </w:p>
        </w:tc>
      </w:tr>
      <w:tr>
        <w:trPr>
          <w:trHeight w:val="302" w:hRule="atLeast"/>
        </w:trPr>
        <w:tc>
          <w:tcPr>
            <w:tcW w:w="14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2.1.1.1.</w:t>
            </w:r>
          </w:p>
        </w:tc>
        <w:tc>
          <w:tcPr>
            <w:tcW w:w="3893"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rFonts w:cs="Times New Roman CE" w:ascii="Times New Roman CE" w:hAnsi="Times New Roman CE"/>
              </w:rPr>
              <w:t>Proiecte de cercetări instituţionale</w:t>
            </w:r>
          </w:p>
        </w:tc>
        <w:tc>
          <w:tcPr>
            <w:tcW w:w="1905"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 </w:t>
            </w:r>
          </w:p>
        </w:tc>
        <w:tc>
          <w:tcPr>
            <w:tcW w:w="1827"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 </w:t>
            </w:r>
            <w:r>
              <w:rPr>
                <w:lang w:val="ro-RO"/>
              </w:rPr>
              <w:t>1</w:t>
            </w:r>
          </w:p>
        </w:tc>
      </w:tr>
      <w:tr>
        <w:trPr>
          <w:trHeight w:val="302" w:hRule="atLeast"/>
        </w:trPr>
        <w:tc>
          <w:tcPr>
            <w:tcW w:w="14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2.1.1.2.</w:t>
            </w:r>
          </w:p>
        </w:tc>
        <w:tc>
          <w:tcPr>
            <w:tcW w:w="3893"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fr-FR"/>
              </w:rPr>
            </w:pPr>
            <w:r>
              <w:rPr>
                <w:lang w:val="fr-FR"/>
              </w:rPr>
              <w:t>Proiecte din cadrul programelor de stat</w:t>
            </w:r>
          </w:p>
        </w:tc>
        <w:tc>
          <w:tcPr>
            <w:tcW w:w="1905"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fr-FR"/>
              </w:rPr>
            </w:pPr>
            <w:r>
              <w:rPr>
                <w:lang w:val="fr-FR"/>
              </w:rPr>
              <w:t> </w:t>
            </w:r>
          </w:p>
        </w:tc>
        <w:tc>
          <w:tcPr>
            <w:tcW w:w="1827"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fr-FR"/>
              </w:rPr>
            </w:pPr>
            <w:r>
              <w:rPr>
                <w:lang w:val="fr-FR"/>
              </w:rPr>
              <w:t> </w:t>
            </w:r>
            <w:r>
              <w:rPr>
                <w:lang w:val="fr-FR"/>
              </w:rPr>
              <w:t>1</w:t>
            </w:r>
          </w:p>
        </w:tc>
      </w:tr>
      <w:tr>
        <w:trPr>
          <w:trHeight w:val="302" w:hRule="atLeast"/>
        </w:trPr>
        <w:tc>
          <w:tcPr>
            <w:tcW w:w="14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2.1.1.3.</w:t>
            </w:r>
          </w:p>
        </w:tc>
        <w:tc>
          <w:tcPr>
            <w:tcW w:w="3893"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rFonts w:cs="Times New Roman CE" w:ascii="Times New Roman CE" w:hAnsi="Times New Roman CE"/>
              </w:rPr>
              <w:t>Proiecte pentru tineri cercetători</w:t>
            </w:r>
          </w:p>
        </w:tc>
        <w:tc>
          <w:tcPr>
            <w:tcW w:w="1905"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 </w:t>
            </w:r>
          </w:p>
        </w:tc>
        <w:tc>
          <w:tcPr>
            <w:tcW w:w="1827"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rPr>
            </w:pPr>
            <w:r>
              <w:rPr/>
            </w:r>
          </w:p>
        </w:tc>
      </w:tr>
      <w:tr>
        <w:trPr>
          <w:trHeight w:val="302" w:hRule="atLeast"/>
        </w:trPr>
        <w:tc>
          <w:tcPr>
            <w:tcW w:w="14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2.1.1.4.</w:t>
            </w:r>
          </w:p>
        </w:tc>
        <w:tc>
          <w:tcPr>
            <w:tcW w:w="3893"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t>Proiecte pentru procurarea echipamentului</w:t>
            </w:r>
          </w:p>
        </w:tc>
        <w:tc>
          <w:tcPr>
            <w:tcW w:w="1905"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 </w:t>
            </w:r>
          </w:p>
        </w:tc>
        <w:tc>
          <w:tcPr>
            <w:tcW w:w="1827"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 </w:t>
            </w:r>
          </w:p>
        </w:tc>
      </w:tr>
      <w:tr>
        <w:trPr>
          <w:trHeight w:val="302" w:hRule="atLeast"/>
        </w:trPr>
        <w:tc>
          <w:tcPr>
            <w:tcW w:w="14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ro-RO"/>
              </w:rPr>
            </w:pPr>
            <w:r>
              <w:rPr>
                <w:lang w:val="ro-RO"/>
              </w:rPr>
              <w:t>2.1.1.5.</w:t>
            </w:r>
          </w:p>
        </w:tc>
        <w:tc>
          <w:tcPr>
            <w:tcW w:w="3893"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ro-RO"/>
              </w:rPr>
            </w:pPr>
            <w:r>
              <w:rPr>
                <w:lang w:val="ro-RO"/>
              </w:rPr>
              <w:t>Proecte de transfer tehnologic</w:t>
            </w:r>
          </w:p>
        </w:tc>
        <w:tc>
          <w:tcPr>
            <w:tcW w:w="1905"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rPr>
            </w:pPr>
            <w:r>
              <w:rPr/>
            </w:r>
          </w:p>
        </w:tc>
        <w:tc>
          <w:tcPr>
            <w:tcW w:w="1827"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lang w:val="ro-RO"/>
              </w:rPr>
            </w:pPr>
            <w:r>
              <w:rPr>
                <w:lang w:val="ro-RO"/>
              </w:rPr>
            </w:r>
          </w:p>
        </w:tc>
      </w:tr>
      <w:tr>
        <w:trPr>
          <w:trHeight w:val="318" w:hRule="atLeast"/>
        </w:trPr>
        <w:tc>
          <w:tcPr>
            <w:tcW w:w="14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2.1.2.</w:t>
            </w:r>
          </w:p>
        </w:tc>
        <w:tc>
          <w:tcPr>
            <w:tcW w:w="3893"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41"/>
              <w:jc w:val="left"/>
              <w:textAlignment w:val="auto"/>
              <w:rPr/>
            </w:pPr>
            <w:r>
              <w:rPr>
                <w:rFonts w:cs="Times New Roman CE" w:ascii="Times New Roman CE" w:hAnsi="Times New Roman CE"/>
                <w:b/>
                <w:bCs/>
              </w:rPr>
              <w:t>Proiecte/granturi internaţionale</w:t>
            </w:r>
          </w:p>
        </w:tc>
        <w:tc>
          <w:tcPr>
            <w:tcW w:w="1905" w:type="dxa"/>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b/>
                <w:bCs/>
              </w:rPr>
              <w:t>0</w:t>
            </w:r>
          </w:p>
        </w:tc>
        <w:tc>
          <w:tcPr>
            <w:tcW w:w="1827" w:type="dxa"/>
            <w:gridSpan w:val="2"/>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ro-RO"/>
              </w:rPr>
            </w:pPr>
            <w:r>
              <w:rPr>
                <w:b/>
                <w:bCs/>
                <w:lang w:val="ro-RO"/>
              </w:rPr>
              <w:t>2</w:t>
            </w:r>
          </w:p>
        </w:tc>
      </w:tr>
      <w:tr>
        <w:trPr>
          <w:trHeight w:val="302" w:hRule="atLeast"/>
        </w:trPr>
        <w:tc>
          <w:tcPr>
            <w:tcW w:w="14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2.1.2.1.</w:t>
            </w:r>
          </w:p>
        </w:tc>
        <w:tc>
          <w:tcPr>
            <w:tcW w:w="3893"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40"/>
              <w:jc w:val="left"/>
              <w:textAlignment w:val="auto"/>
              <w:rPr/>
            </w:pPr>
            <w:r>
              <w:rPr/>
              <w:t xml:space="preserve">  </w:t>
            </w:r>
            <w:r>
              <w:rPr/>
              <w:t>Bilaterale</w:t>
            </w:r>
          </w:p>
        </w:tc>
        <w:tc>
          <w:tcPr>
            <w:tcW w:w="1905"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 </w:t>
            </w:r>
          </w:p>
        </w:tc>
        <w:tc>
          <w:tcPr>
            <w:tcW w:w="1827"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ro-RO"/>
              </w:rPr>
            </w:pPr>
            <w:r>
              <w:rPr>
                <w:lang w:val="ro-RO"/>
              </w:rPr>
              <w:t>1</w:t>
            </w:r>
          </w:p>
        </w:tc>
      </w:tr>
      <w:tr>
        <w:trPr>
          <w:trHeight w:val="302" w:hRule="atLeast"/>
        </w:trPr>
        <w:tc>
          <w:tcPr>
            <w:tcW w:w="14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2.1.2.2.</w:t>
            </w:r>
          </w:p>
        </w:tc>
        <w:tc>
          <w:tcPr>
            <w:tcW w:w="3893"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40"/>
              <w:jc w:val="left"/>
              <w:textAlignment w:val="auto"/>
              <w:rPr/>
            </w:pPr>
            <w:r>
              <w:rPr/>
              <w:t xml:space="preserve">  </w:t>
            </w:r>
            <w:r>
              <w:rPr/>
              <w:t>PC6/PC7</w:t>
            </w:r>
          </w:p>
        </w:tc>
        <w:tc>
          <w:tcPr>
            <w:tcW w:w="1905"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 </w:t>
            </w:r>
          </w:p>
        </w:tc>
        <w:tc>
          <w:tcPr>
            <w:tcW w:w="1827"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 </w:t>
            </w:r>
          </w:p>
        </w:tc>
      </w:tr>
      <w:tr>
        <w:trPr>
          <w:trHeight w:val="302" w:hRule="atLeast"/>
        </w:trPr>
        <w:tc>
          <w:tcPr>
            <w:tcW w:w="14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2.1.2.3.</w:t>
            </w:r>
          </w:p>
        </w:tc>
        <w:tc>
          <w:tcPr>
            <w:tcW w:w="3893"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40"/>
              <w:jc w:val="left"/>
              <w:textAlignment w:val="auto"/>
              <w:rPr>
                <w:lang w:val="fr-FR"/>
              </w:rPr>
            </w:pPr>
            <w:r>
              <w:rPr>
                <w:lang w:val="fr-FR"/>
              </w:rPr>
              <w:t xml:space="preserve">  </w:t>
            </w:r>
            <w:r>
              <w:rPr>
                <w:lang w:val="fr-FR"/>
              </w:rPr>
              <w:t>Alte proiecte/granturi (NATO)</w:t>
            </w:r>
          </w:p>
        </w:tc>
        <w:tc>
          <w:tcPr>
            <w:tcW w:w="1905"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fr-FR"/>
              </w:rPr>
            </w:pPr>
            <w:r>
              <w:rPr>
                <w:lang w:val="fr-FR"/>
              </w:rPr>
              <w:t> </w:t>
            </w:r>
          </w:p>
        </w:tc>
        <w:tc>
          <w:tcPr>
            <w:tcW w:w="1827"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fr-FR"/>
              </w:rPr>
            </w:pPr>
            <w:r>
              <w:rPr>
                <w:lang w:val="fr-FR"/>
              </w:rPr>
              <w:t> </w:t>
            </w:r>
            <w:r>
              <w:rPr>
                <w:lang w:val="fr-FR"/>
              </w:rPr>
              <w:t>1</w:t>
            </w:r>
          </w:p>
        </w:tc>
      </w:tr>
      <w:tr>
        <w:trPr>
          <w:trHeight w:val="302" w:hRule="atLeast"/>
        </w:trPr>
        <w:tc>
          <w:tcPr>
            <w:tcW w:w="14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2.1.3.</w:t>
            </w:r>
          </w:p>
        </w:tc>
        <w:tc>
          <w:tcPr>
            <w:tcW w:w="3893"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rFonts w:cs="Times New Roman CE" w:ascii="Times New Roman CE" w:hAnsi="Times New Roman CE"/>
                <w:b/>
                <w:bCs/>
              </w:rPr>
              <w:t>Proiecte/granturi naţionale</w:t>
            </w:r>
          </w:p>
        </w:tc>
        <w:tc>
          <w:tcPr>
            <w:tcW w:w="1905"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 </w:t>
            </w:r>
          </w:p>
        </w:tc>
        <w:tc>
          <w:tcPr>
            <w:tcW w:w="1827"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 </w:t>
            </w:r>
          </w:p>
        </w:tc>
      </w:tr>
      <w:tr>
        <w:trPr>
          <w:trHeight w:val="302" w:hRule="atLeast"/>
        </w:trPr>
        <w:tc>
          <w:tcPr>
            <w:tcW w:w="1476"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t>2.1.4.</w:t>
            </w:r>
          </w:p>
        </w:tc>
        <w:tc>
          <w:tcPr>
            <w:tcW w:w="3893"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pPr>
            <w:r>
              <w:rPr>
                <w:rFonts w:cs="Times New Roman CE" w:ascii="Times New Roman CE" w:hAnsi="Times New Roman CE"/>
                <w:b/>
                <w:bCs/>
              </w:rPr>
              <w:t>Contracte cu agenţi economici</w:t>
            </w:r>
          </w:p>
        </w:tc>
        <w:tc>
          <w:tcPr>
            <w:tcW w:w="1905"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 </w:t>
            </w:r>
          </w:p>
        </w:tc>
        <w:tc>
          <w:tcPr>
            <w:tcW w:w="1827"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t> </w:t>
            </w:r>
          </w:p>
        </w:tc>
      </w:tr>
    </w:tbl>
    <w:p>
      <w:pPr>
        <w:pStyle w:val="Normal"/>
        <w:widowControl/>
        <w:bidi w:val="0"/>
        <w:spacing w:before="0" w:after="240"/>
        <w:ind w:left="0" w:right="-2016" w:hanging="0"/>
        <w:jc w:val="left"/>
        <w:textAlignment w:val="auto"/>
        <w:rPr>
          <w:rFonts w:ascii="Times New Roman" w:hAnsi="Times New Roman"/>
          <w:lang w:val="ro-RO"/>
        </w:rPr>
      </w:pPr>
      <w:r>
        <w:rPr>
          <w:lang w:val="ro-RO"/>
        </w:rPr>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center"/>
        <w:textAlignment w:val="auto"/>
        <w:rPr>
          <w:rFonts w:ascii="Times New Roman" w:hAnsi="Times New Roman"/>
          <w:sz w:val="22"/>
          <w:szCs w:val="22"/>
          <w:lang w:val="en-US"/>
        </w:rPr>
      </w:pPr>
      <w:r>
        <w:rPr>
          <w:sz w:val="22"/>
          <w:szCs w:val="22"/>
          <w:lang w:val="en-US"/>
        </w:rPr>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center"/>
        <w:textAlignment w:val="auto"/>
        <w:rPr>
          <w:rFonts w:ascii="Times New Roman" w:hAnsi="Times New Roman"/>
          <w:sz w:val="22"/>
          <w:szCs w:val="22"/>
          <w:lang w:val="en-US"/>
        </w:rPr>
      </w:pPr>
      <w:r>
        <w:rPr>
          <w:sz w:val="22"/>
          <w:szCs w:val="22"/>
          <w:lang w:val="en-US"/>
        </w:rPr>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tbl>
      <w:tblPr>
        <w:tblW w:w="10925" w:type="dxa"/>
        <w:jc w:val="left"/>
        <w:tblInd w:w="-101" w:type="dxa"/>
        <w:tblBorders>
          <w:bottom w:val="single" w:sz="8" w:space="0" w:color="000001"/>
          <w:insideH w:val="single" w:sz="8" w:space="0" w:color="000001"/>
        </w:tblBorders>
        <w:tblCellMar>
          <w:top w:w="0" w:type="dxa"/>
          <w:left w:w="108" w:type="dxa"/>
          <w:bottom w:w="0" w:type="dxa"/>
          <w:right w:w="108" w:type="dxa"/>
        </w:tblCellMar>
      </w:tblPr>
      <w:tblGrid>
        <w:gridCol w:w="679"/>
        <w:gridCol w:w="1740"/>
        <w:gridCol w:w="705"/>
        <w:gridCol w:w="4"/>
        <w:gridCol w:w="126"/>
        <w:gridCol w:w="16"/>
        <w:gridCol w:w="551"/>
        <w:gridCol w:w="296"/>
        <w:gridCol w:w="3"/>
        <w:gridCol w:w="274"/>
        <w:gridCol w:w="567"/>
        <w:gridCol w:w="277"/>
        <w:gridCol w:w="4"/>
        <w:gridCol w:w="437"/>
        <w:gridCol w:w="709"/>
        <w:gridCol w:w="267"/>
        <w:gridCol w:w="5"/>
        <w:gridCol w:w="295"/>
        <w:gridCol w:w="708"/>
        <w:gridCol w:w="1"/>
        <w:gridCol w:w="567"/>
        <w:gridCol w:w="277"/>
        <w:gridCol w:w="427"/>
        <w:gridCol w:w="146"/>
        <w:gridCol w:w="567"/>
        <w:gridCol w:w="142"/>
        <w:gridCol w:w="425"/>
        <w:gridCol w:w="283"/>
        <w:gridCol w:w="2"/>
        <w:gridCol w:w="425"/>
      </w:tblGrid>
      <w:tr>
        <w:trPr>
          <w:trHeight w:val="80" w:hRule="atLeast"/>
        </w:trPr>
        <w:tc>
          <w:tcPr>
            <w:tcW w:w="8508" w:type="dxa"/>
            <w:gridSpan w:val="22"/>
            <w:tcBorders>
              <w:bottom w:val="single" w:sz="8" w:space="0" w:color="000001"/>
              <w:insideH w:val="single" w:sz="8" w:space="0" w:color="000001"/>
            </w:tcBorders>
            <w:shd w:fill="auto" w:val="clear"/>
            <w:vAlign w:val="bottom"/>
          </w:tcPr>
          <w:p>
            <w:pPr>
              <w:pStyle w:val="Normal"/>
              <w:widowControl/>
              <w:bidi w:val="0"/>
              <w:ind w:left="0" w:right="0" w:hanging="0"/>
              <w:jc w:val="center"/>
              <w:textAlignment w:val="auto"/>
              <w:rPr>
                <w:lang w:val="fr-FR"/>
              </w:rPr>
            </w:pPr>
            <w:r>
              <w:rPr>
                <w:rFonts w:cs="Times New Roman CE" w:ascii="Times New Roman CE" w:hAnsi="Times New Roman CE"/>
                <w:b/>
                <w:bCs/>
                <w:sz w:val="20"/>
                <w:szCs w:val="20"/>
                <w:lang w:val="fr-FR"/>
              </w:rPr>
              <w:t>3.1. Resurse umane şi structura personalului după ocupaţie, v</w:t>
            </w:r>
            <w:r>
              <w:rPr>
                <w:b/>
                <w:bCs/>
                <w:sz w:val="20"/>
                <w:szCs w:val="20"/>
                <w:lang w:val="fr-FR"/>
              </w:rPr>
              <w:t>â</w:t>
            </w:r>
            <w:r>
              <w:rPr>
                <w:rFonts w:cs="Times New Roman CE" w:ascii="Times New Roman CE" w:hAnsi="Times New Roman CE"/>
                <w:b/>
                <w:bCs/>
                <w:sz w:val="20"/>
                <w:szCs w:val="20"/>
                <w:lang w:val="fr-FR"/>
              </w:rPr>
              <w:t>rstă şi gen</w:t>
            </w:r>
            <w:r>
              <w:rPr>
                <w:b/>
                <w:bCs/>
                <w:sz w:val="20"/>
                <w:szCs w:val="20"/>
                <w:lang w:val="fr-FR"/>
              </w:rPr>
              <w:t xml:space="preserve"> 2016</w:t>
            </w:r>
          </w:p>
        </w:tc>
        <w:tc>
          <w:tcPr>
            <w:tcW w:w="2417" w:type="dxa"/>
            <w:gridSpan w:val="8"/>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rFonts w:ascii="Times New Roman" w:hAnsi="Times New Roman"/>
                <w:lang w:val="fr-FR"/>
              </w:rPr>
            </w:pPr>
            <w:r>
              <w:rPr>
                <w:lang w:val="fr-FR"/>
              </w:rPr>
            </w:r>
          </w:p>
        </w:tc>
      </w:tr>
      <w:tr>
        <w:trPr>
          <w:trHeight w:val="270" w:hRule="atLeast"/>
        </w:trPr>
        <w:tc>
          <w:tcPr>
            <w:tcW w:w="2419" w:type="dxa"/>
            <w:gridSpan w:val="2"/>
            <w:vMerge w:val="restart"/>
            <w:tcBorders>
              <w:top w:val="single" w:sz="8" w:space="0" w:color="000001"/>
              <w:left w:val="single" w:sz="8" w:space="0" w:color="000001"/>
              <w:bottom w:val="single" w:sz="8" w:space="0" w:color="000001"/>
              <w:insideH w:val="single" w:sz="8" w:space="0" w:color="000001"/>
            </w:tcBorders>
            <w:shd w:fill="auto" w:val="clear"/>
            <w:tcMar>
              <w:left w:w="98" w:type="dxa"/>
            </w:tcMar>
            <w:vAlign w:val="center"/>
          </w:tcPr>
          <w:p>
            <w:pPr>
              <w:pStyle w:val="Normal"/>
              <w:widowControl/>
              <w:bidi w:val="0"/>
              <w:ind w:left="0" w:right="0" w:hanging="0"/>
              <w:jc w:val="center"/>
              <w:textAlignment w:val="auto"/>
              <w:rPr/>
            </w:pPr>
            <w:r>
              <w:rPr>
                <w:color w:val="000000"/>
                <w:sz w:val="20"/>
                <w:szCs w:val="20"/>
              </w:rPr>
              <w:t>Categorii de personal</w:t>
            </w:r>
          </w:p>
        </w:tc>
        <w:tc>
          <w:tcPr>
            <w:tcW w:w="835" w:type="dxa"/>
            <w:gridSpan w:val="3"/>
            <w:vMerge w:val="restart"/>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extDirection w:val="btLr"/>
            <w:vAlign w:val="center"/>
          </w:tcPr>
          <w:p>
            <w:pPr>
              <w:pStyle w:val="Normal"/>
              <w:widowControl/>
              <w:bidi w:val="0"/>
              <w:ind w:left="0" w:right="0" w:hanging="0"/>
              <w:jc w:val="center"/>
              <w:textAlignment w:val="auto"/>
              <w:rPr>
                <w:lang w:val="en-US"/>
              </w:rPr>
            </w:pPr>
            <w:r>
              <w:rPr>
                <w:sz w:val="20"/>
                <w:szCs w:val="20"/>
                <w:lang w:val="en-US"/>
              </w:rPr>
              <w:t>Unitati conform statelor de personal</w:t>
            </w:r>
          </w:p>
        </w:tc>
        <w:tc>
          <w:tcPr>
            <w:tcW w:w="7244" w:type="dxa"/>
            <w:gridSpan w:val="23"/>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b/>
                <w:bCs/>
                <w:sz w:val="20"/>
                <w:szCs w:val="20"/>
              </w:rPr>
              <w:t>Persoane fizice</w:t>
            </w:r>
          </w:p>
        </w:tc>
        <w:tc>
          <w:tcPr>
            <w:tcW w:w="427" w:type="dxa"/>
            <w:gridSpan w:val="2"/>
            <w:vMerge w:val="restart"/>
            <w:tcBorders>
              <w:top w:val="single" w:sz="8" w:space="0" w:color="000001"/>
              <w:left w:val="single" w:sz="8" w:space="0" w:color="000001"/>
              <w:bottom w:val="single" w:sz="8" w:space="0" w:color="000001"/>
              <w:insideH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rPr>
            </w:pPr>
            <w:r>
              <w:rPr/>
            </w:r>
          </w:p>
        </w:tc>
      </w:tr>
      <w:tr>
        <w:trPr>
          <w:trHeight w:val="285" w:hRule="atLeast"/>
        </w:trPr>
        <w:tc>
          <w:tcPr>
            <w:tcW w:w="2419" w:type="dxa"/>
            <w:gridSpan w:val="2"/>
            <w:vMerge w:val="continue"/>
            <w:tcBorders>
              <w:top w:val="single" w:sz="8" w:space="0" w:color="000001"/>
              <w:left w:val="single" w:sz="8" w:space="0" w:color="000001"/>
              <w:bottom w:val="single" w:sz="8" w:space="0" w:color="000001"/>
              <w:insideH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color w:val="000000"/>
                <w:sz w:val="20"/>
                <w:szCs w:val="20"/>
              </w:rPr>
            </w:pPr>
            <w:r>
              <w:rPr>
                <w:color w:val="000000"/>
                <w:sz w:val="20"/>
                <w:szCs w:val="20"/>
              </w:rPr>
            </w:r>
          </w:p>
        </w:tc>
        <w:tc>
          <w:tcPr>
            <w:tcW w:w="835" w:type="dxa"/>
            <w:gridSpan w:val="3"/>
            <w:vMerge w:val="continue"/>
            <w:tcBorders>
              <w:left w:val="single" w:sz="8" w:space="0" w:color="000001"/>
              <w:bottom w:val="single" w:sz="8" w:space="0" w:color="000001"/>
              <w:right w:val="single" w:sz="4" w:space="0" w:color="000001"/>
              <w:insideH w:val="single" w:sz="8" w:space="0" w:color="000001"/>
              <w:insideV w:val="single" w:sz="4"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rPr>
            </w:pPr>
            <w:r>
              <w:rPr>
                <w:sz w:val="20"/>
                <w:szCs w:val="20"/>
              </w:rPr>
            </w:r>
          </w:p>
        </w:tc>
        <w:tc>
          <w:tcPr>
            <w:tcW w:w="567" w:type="dxa"/>
            <w:gridSpan w:val="2"/>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extDirection w:val="btLr"/>
            <w:vAlign w:val="center"/>
          </w:tcPr>
          <w:p>
            <w:pPr>
              <w:pStyle w:val="Normal"/>
              <w:widowControl/>
              <w:bidi w:val="0"/>
              <w:ind w:left="0" w:right="0" w:hanging="0"/>
              <w:jc w:val="center"/>
              <w:textAlignment w:val="auto"/>
              <w:rPr/>
            </w:pPr>
            <w:r>
              <w:rPr>
                <w:rFonts w:cs="Times New Roman CE" w:ascii="Times New Roman CE" w:hAnsi="Times New Roman CE"/>
                <w:sz w:val="20"/>
                <w:szCs w:val="20"/>
              </w:rPr>
              <w:t>De bază</w:t>
            </w:r>
          </w:p>
        </w:tc>
        <w:tc>
          <w:tcPr>
            <w:tcW w:w="3843" w:type="dxa"/>
            <w:gridSpan w:val="1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center"/>
          </w:tcPr>
          <w:p>
            <w:pPr>
              <w:pStyle w:val="Normal"/>
              <w:widowControl/>
              <w:bidi w:val="0"/>
              <w:ind w:left="0" w:right="-2518" w:hanging="0"/>
              <w:jc w:val="center"/>
              <w:textAlignment w:val="auto"/>
              <w:rPr/>
            </w:pPr>
            <w:r>
              <w:rPr>
                <w:sz w:val="20"/>
                <w:szCs w:val="20"/>
              </w:rPr>
              <w:t>inclusiv</w:t>
            </w:r>
          </w:p>
        </w:tc>
        <w:tc>
          <w:tcPr>
            <w:tcW w:w="567"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extDirection w:val="btLr"/>
            <w:vAlign w:val="center"/>
          </w:tcPr>
          <w:p>
            <w:pPr>
              <w:pStyle w:val="Normal"/>
              <w:widowControl/>
              <w:bidi w:val="0"/>
              <w:ind w:left="0" w:right="0" w:hanging="0"/>
              <w:jc w:val="center"/>
              <w:textAlignment w:val="auto"/>
              <w:rPr/>
            </w:pPr>
            <w:r>
              <w:rPr>
                <w:sz w:val="20"/>
                <w:szCs w:val="20"/>
              </w:rPr>
              <w:t>Cumul intern</w:t>
            </w:r>
          </w:p>
        </w:tc>
        <w:tc>
          <w:tcPr>
            <w:tcW w:w="850" w:type="dxa"/>
            <w:gridSpan w:val="3"/>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extDirection w:val="btLr"/>
            <w:vAlign w:val="center"/>
          </w:tcPr>
          <w:p>
            <w:pPr>
              <w:pStyle w:val="Normal"/>
              <w:widowControl/>
              <w:bidi w:val="0"/>
              <w:ind w:left="0" w:right="0" w:hanging="0"/>
              <w:jc w:val="center"/>
              <w:textAlignment w:val="auto"/>
              <w:rPr/>
            </w:pPr>
            <w:r>
              <w:rPr>
                <w:sz w:val="20"/>
                <w:szCs w:val="20"/>
              </w:rPr>
              <w:t>Cumul extern</w:t>
            </w:r>
          </w:p>
        </w:tc>
        <w:tc>
          <w:tcPr>
            <w:tcW w:w="709" w:type="dxa"/>
            <w:gridSpan w:val="2"/>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extDirection w:val="btLr"/>
            <w:vAlign w:val="center"/>
          </w:tcPr>
          <w:p>
            <w:pPr>
              <w:pStyle w:val="Normal"/>
              <w:widowControl/>
              <w:bidi w:val="0"/>
              <w:ind w:left="0" w:right="0" w:hanging="0"/>
              <w:jc w:val="center"/>
              <w:textAlignment w:val="auto"/>
              <w:rPr/>
            </w:pPr>
            <w:r>
              <w:rPr>
                <w:sz w:val="20"/>
                <w:szCs w:val="20"/>
              </w:rPr>
              <w:t>Acord</w:t>
            </w:r>
            <w:r>
              <w:rPr>
                <w:rFonts w:cs="Times New Roman CE" w:ascii="Times New Roman CE" w:hAnsi="Times New Roman CE"/>
                <w:sz w:val="20"/>
                <w:szCs w:val="20"/>
              </w:rPr>
              <w:t xml:space="preserve"> de muncă (netitulari)</w:t>
            </w:r>
          </w:p>
        </w:tc>
        <w:tc>
          <w:tcPr>
            <w:tcW w:w="710" w:type="dxa"/>
            <w:gridSpan w:val="3"/>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textDirection w:val="btLr"/>
            <w:vAlign w:val="center"/>
          </w:tcPr>
          <w:p>
            <w:pPr>
              <w:pStyle w:val="Normal"/>
              <w:widowControl/>
              <w:bidi w:val="0"/>
              <w:ind w:left="0" w:right="0" w:hanging="0"/>
              <w:jc w:val="center"/>
              <w:textAlignment w:val="auto"/>
              <w:rPr>
                <w:lang w:val="fr-FR"/>
              </w:rPr>
            </w:pPr>
            <w:r>
              <w:rPr>
                <w:rFonts w:cs="Times New Roman CE" w:ascii="Times New Roman CE" w:hAnsi="Times New Roman CE"/>
                <w:sz w:val="20"/>
                <w:szCs w:val="20"/>
                <w:lang w:val="fr-FR"/>
              </w:rPr>
              <w:t>Total (fară cumul intern şi acord de muncă)</w:t>
            </w:r>
          </w:p>
        </w:tc>
        <w:tc>
          <w:tcPr>
            <w:tcW w:w="425" w:type="dxa"/>
            <w:vMerge w:val="continue"/>
            <w:tcBorders>
              <w:top w:val="single" w:sz="8" w:space="0" w:color="000001"/>
              <w:left w:val="single" w:sz="8" w:space="0" w:color="000001"/>
              <w:bottom w:val="single" w:sz="8" w:space="0" w:color="000001"/>
              <w:insideH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lang w:val="fr-FR"/>
              </w:rPr>
            </w:pPr>
            <w:r>
              <w:rPr>
                <w:lang w:val="fr-FR"/>
              </w:rPr>
            </w:r>
          </w:p>
        </w:tc>
      </w:tr>
      <w:tr>
        <w:trPr>
          <w:trHeight w:val="1548" w:hRule="atLeast"/>
        </w:trPr>
        <w:tc>
          <w:tcPr>
            <w:tcW w:w="2419" w:type="dxa"/>
            <w:gridSpan w:val="2"/>
            <w:vMerge w:val="continue"/>
            <w:tcBorders>
              <w:top w:val="single" w:sz="8" w:space="0" w:color="000001"/>
              <w:left w:val="single" w:sz="8" w:space="0" w:color="000001"/>
              <w:bottom w:val="single" w:sz="8" w:space="0" w:color="000001"/>
              <w:insideH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color w:val="000000"/>
                <w:sz w:val="20"/>
                <w:szCs w:val="20"/>
                <w:lang w:val="fr-FR"/>
              </w:rPr>
            </w:pPr>
            <w:r>
              <w:rPr>
                <w:color w:val="000000"/>
                <w:sz w:val="20"/>
                <w:szCs w:val="20"/>
                <w:lang w:val="fr-FR"/>
              </w:rPr>
            </w:r>
          </w:p>
        </w:tc>
        <w:tc>
          <w:tcPr>
            <w:tcW w:w="835" w:type="dxa"/>
            <w:gridSpan w:val="3"/>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fr-FR"/>
              </w:rPr>
            </w:pPr>
            <w:r>
              <w:rPr>
                <w:sz w:val="20"/>
                <w:szCs w:val="20"/>
                <w:lang w:val="fr-FR"/>
              </w:rPr>
            </w:r>
          </w:p>
        </w:tc>
        <w:tc>
          <w:tcPr>
            <w:tcW w:w="567" w:type="dxa"/>
            <w:gridSpan w:val="2"/>
            <w:vMerge w:val="continue"/>
            <w:tcBorders>
              <w:top w:val="single" w:sz="4"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fr-FR"/>
              </w:rPr>
            </w:pPr>
            <w:r>
              <w:rPr>
                <w:sz w:val="20"/>
                <w:szCs w:val="20"/>
                <w:lang w:val="fr-FR"/>
              </w:rPr>
            </w:r>
          </w:p>
        </w:tc>
        <w:tc>
          <w:tcPr>
            <w:tcW w:w="573" w:type="dxa"/>
            <w:gridSpan w:val="3"/>
            <w:tcBorders>
              <w:top w:val="single" w:sz="4" w:space="0" w:color="000001"/>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rFonts w:cs="Times New Roman CE" w:ascii="Times New Roman CE" w:hAnsi="Times New Roman CE"/>
                <w:sz w:val="20"/>
                <w:szCs w:val="20"/>
              </w:rPr>
              <w:t>Pînă la 25</w:t>
            </w:r>
          </w:p>
        </w:tc>
        <w:tc>
          <w:tcPr>
            <w:tcW w:w="567" w:type="dxa"/>
            <w:tcBorders>
              <w:top w:val="single" w:sz="4" w:space="0" w:color="000001"/>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20"/>
                <w:szCs w:val="20"/>
              </w:rPr>
              <w:t>25-34</w:t>
            </w:r>
          </w:p>
        </w:tc>
        <w:tc>
          <w:tcPr>
            <w:tcW w:w="718" w:type="dxa"/>
            <w:gridSpan w:val="3"/>
            <w:tcBorders>
              <w:top w:val="single" w:sz="4" w:space="0" w:color="000001"/>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20"/>
                <w:szCs w:val="20"/>
              </w:rPr>
              <w:t>35-44</w:t>
            </w:r>
          </w:p>
        </w:tc>
        <w:tc>
          <w:tcPr>
            <w:tcW w:w="709" w:type="dxa"/>
            <w:tcBorders>
              <w:top w:val="single" w:sz="4" w:space="0" w:color="000001"/>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20"/>
                <w:szCs w:val="20"/>
              </w:rPr>
              <w:t>45-54</w:t>
            </w:r>
          </w:p>
        </w:tc>
        <w:tc>
          <w:tcPr>
            <w:tcW w:w="567" w:type="dxa"/>
            <w:gridSpan w:val="3"/>
            <w:tcBorders>
              <w:top w:val="single" w:sz="4" w:space="0" w:color="000001"/>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20"/>
                <w:szCs w:val="20"/>
              </w:rPr>
              <w:t>55-64</w:t>
            </w:r>
          </w:p>
        </w:tc>
        <w:tc>
          <w:tcPr>
            <w:tcW w:w="709" w:type="dxa"/>
            <w:gridSpan w:val="2"/>
            <w:tcBorders>
              <w:top w:val="single" w:sz="4" w:space="0" w:color="000001"/>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rFonts w:cs="Times New Roman CE" w:ascii="Times New Roman CE" w:hAnsi="Times New Roman CE"/>
                <w:sz w:val="20"/>
                <w:szCs w:val="20"/>
              </w:rPr>
              <w:t>65 şi peste</w:t>
            </w:r>
          </w:p>
        </w:tc>
        <w:tc>
          <w:tcPr>
            <w:tcW w:w="567" w:type="dxa"/>
            <w:vMerge w:val="continue"/>
            <w:tcBorders>
              <w:top w:val="single" w:sz="4"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rPr>
            </w:pPr>
            <w:r>
              <w:rPr>
                <w:sz w:val="20"/>
                <w:szCs w:val="20"/>
              </w:rPr>
            </w:r>
          </w:p>
        </w:tc>
        <w:tc>
          <w:tcPr>
            <w:tcW w:w="850" w:type="dxa"/>
            <w:gridSpan w:val="3"/>
            <w:vMerge w:val="continue"/>
            <w:tcBorders>
              <w:top w:val="single" w:sz="4"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rPr>
            </w:pPr>
            <w:r>
              <w:rPr>
                <w:sz w:val="20"/>
                <w:szCs w:val="20"/>
              </w:rPr>
            </w:r>
          </w:p>
        </w:tc>
        <w:tc>
          <w:tcPr>
            <w:tcW w:w="709" w:type="dxa"/>
            <w:gridSpan w:val="2"/>
            <w:vMerge w:val="continue"/>
            <w:tcBorders>
              <w:top w:val="single" w:sz="4"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rPr>
            </w:pPr>
            <w:r>
              <w:rPr>
                <w:sz w:val="20"/>
                <w:szCs w:val="20"/>
              </w:rPr>
            </w:r>
          </w:p>
        </w:tc>
        <w:tc>
          <w:tcPr>
            <w:tcW w:w="710" w:type="dxa"/>
            <w:gridSpan w:val="3"/>
            <w:vMerge w:val="continue"/>
            <w:tcBorders>
              <w:top w:val="single" w:sz="4"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rPr>
            </w:pPr>
            <w:r>
              <w:rPr>
                <w:sz w:val="20"/>
                <w:szCs w:val="20"/>
              </w:rPr>
            </w:r>
          </w:p>
        </w:tc>
        <w:tc>
          <w:tcPr>
            <w:tcW w:w="425" w:type="dxa"/>
            <w:vMerge w:val="continue"/>
            <w:tcBorders>
              <w:top w:val="single" w:sz="8" w:space="0" w:color="000001"/>
              <w:left w:val="single" w:sz="8" w:space="0" w:color="000001"/>
              <w:bottom w:val="single" w:sz="8" w:space="0" w:color="000001"/>
              <w:insideH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rPr>
            </w:pPr>
            <w:r>
              <w:rPr/>
            </w:r>
          </w:p>
        </w:tc>
      </w:tr>
      <w:tr>
        <w:trPr>
          <w:trHeight w:val="266" w:hRule="atLeast"/>
        </w:trPr>
        <w:tc>
          <w:tcPr>
            <w:tcW w:w="2419"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pPr>
            <w:r>
              <w:rPr>
                <w:color w:val="000000"/>
                <w:sz w:val="20"/>
                <w:szCs w:val="20"/>
              </w:rPr>
              <w:t>Conducatori</w:t>
            </w:r>
          </w:p>
        </w:tc>
        <w:tc>
          <w:tcPr>
            <w:tcW w:w="835" w:type="dxa"/>
            <w:gridSpan w:val="3"/>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pPr>
            <w:r>
              <w:rPr>
                <w:sz w:val="20"/>
                <w:szCs w:val="20"/>
              </w:rPr>
              <w:t>1</w:t>
            </w:r>
          </w:p>
        </w:tc>
        <w:tc>
          <w:tcPr>
            <w:tcW w:w="567"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20"/>
                <w:szCs w:val="20"/>
              </w:rPr>
              <w:t>1</w:t>
            </w:r>
          </w:p>
        </w:tc>
        <w:tc>
          <w:tcPr>
            <w:tcW w:w="573" w:type="dxa"/>
            <w:gridSpan w:val="3"/>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20"/>
                <w:szCs w:val="20"/>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20"/>
                <w:szCs w:val="20"/>
              </w:rPr>
              <w:t> </w:t>
            </w:r>
          </w:p>
        </w:tc>
        <w:tc>
          <w:tcPr>
            <w:tcW w:w="718" w:type="dxa"/>
            <w:gridSpan w:val="3"/>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709" w:type="dxa"/>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pPr>
            <w:r>
              <w:rPr>
                <w:sz w:val="20"/>
                <w:szCs w:val="20"/>
              </w:rPr>
              <w:t> </w:t>
            </w:r>
            <w:r>
              <w:rPr>
                <w:sz w:val="20"/>
                <w:szCs w:val="20"/>
              </w:rPr>
              <w:t>1</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20"/>
                <w:szCs w:val="20"/>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20"/>
                <w:szCs w:val="20"/>
              </w:rPr>
              <w:t> </w:t>
            </w:r>
          </w:p>
        </w:tc>
        <w:tc>
          <w:tcPr>
            <w:tcW w:w="850" w:type="dxa"/>
            <w:gridSpan w:val="3"/>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20"/>
                <w:szCs w:val="20"/>
              </w:rPr>
              <w:t> </w:t>
            </w:r>
          </w:p>
        </w:tc>
        <w:tc>
          <w:tcPr>
            <w:tcW w:w="710"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sz w:val="20"/>
                <w:szCs w:val="20"/>
              </w:rPr>
              <w:t>1</w:t>
            </w:r>
          </w:p>
        </w:tc>
        <w:tc>
          <w:tcPr>
            <w:tcW w:w="42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rPr>
            </w:pPr>
            <w:r>
              <w:rPr/>
            </w:r>
          </w:p>
        </w:tc>
      </w:tr>
      <w:tr>
        <w:trPr>
          <w:trHeight w:val="187" w:hRule="atLeast"/>
        </w:trPr>
        <w:tc>
          <w:tcPr>
            <w:tcW w:w="679" w:type="dxa"/>
            <w:tcBorders>
              <w:left w:val="single" w:sz="8" w:space="0" w:color="000001"/>
              <w:bottom w:val="single" w:sz="8" w:space="0" w:color="000001"/>
              <w:insideH w:val="single" w:sz="8" w:space="0" w:color="000001"/>
            </w:tcBorders>
            <w:shd w:fill="auto" w:val="clear"/>
            <w:tcMar>
              <w:left w:w="98" w:type="dxa"/>
            </w:tcMar>
            <w:vAlign w:val="center"/>
          </w:tcPr>
          <w:p>
            <w:pPr>
              <w:pStyle w:val="Normal"/>
              <w:widowControl/>
              <w:bidi w:val="0"/>
              <w:ind w:left="0" w:right="0" w:hanging="0"/>
              <w:jc w:val="left"/>
              <w:textAlignment w:val="auto"/>
              <w:rPr/>
            </w:pPr>
            <w:r>
              <w:rPr>
                <w:color w:val="000000"/>
                <w:sz w:val="20"/>
                <w:szCs w:val="20"/>
              </w:rPr>
              <w:t> </w:t>
            </w:r>
          </w:p>
        </w:tc>
        <w:tc>
          <w:tcPr>
            <w:tcW w:w="1740"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pPr>
            <w:r>
              <w:rPr>
                <w:color w:val="000000"/>
                <w:sz w:val="20"/>
                <w:szCs w:val="20"/>
              </w:rPr>
              <w:t>Femei</w:t>
            </w:r>
          </w:p>
        </w:tc>
        <w:tc>
          <w:tcPr>
            <w:tcW w:w="835" w:type="dxa"/>
            <w:gridSpan w:val="3"/>
            <w:tcBorders>
              <w:bottom w:val="single" w:sz="8" w:space="0" w:color="000001"/>
              <w:right w:val="single" w:sz="8" w:space="0" w:color="000001"/>
              <w:insideH w:val="single" w:sz="8" w:space="0" w:color="000001"/>
              <w:insideV w:val="single" w:sz="8" w:space="0" w:color="000001"/>
            </w:tcBorders>
            <w:shd w:color="auto" w:fill="C0C0C0"/>
            <w:textDirection w:val="btLr"/>
            <w:vAlign w:val="center"/>
          </w:tcPr>
          <w:p>
            <w:pPr>
              <w:pStyle w:val="Normal"/>
              <w:widowControl/>
              <w:bidi w:val="0"/>
              <w:ind w:left="0" w:right="0" w:hanging="0"/>
              <w:jc w:val="center"/>
              <w:textAlignment w:val="auto"/>
              <w:rPr/>
            </w:pPr>
            <w:r>
              <w:rPr>
                <w:sz w:val="20"/>
                <w:szCs w:val="20"/>
              </w:rPr>
              <w:t> </w:t>
            </w:r>
          </w:p>
        </w:tc>
        <w:tc>
          <w:tcPr>
            <w:tcW w:w="567"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20"/>
                <w:szCs w:val="20"/>
              </w:rPr>
              <w:t>0</w:t>
            </w:r>
          </w:p>
        </w:tc>
        <w:tc>
          <w:tcPr>
            <w:tcW w:w="573" w:type="dxa"/>
            <w:gridSpan w:val="3"/>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20"/>
                <w:szCs w:val="20"/>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20"/>
                <w:szCs w:val="20"/>
              </w:rPr>
              <w:t> </w:t>
            </w:r>
          </w:p>
        </w:tc>
        <w:tc>
          <w:tcPr>
            <w:tcW w:w="718" w:type="dxa"/>
            <w:gridSpan w:val="3"/>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20"/>
                <w:szCs w:val="20"/>
              </w:rPr>
              <w:t> </w:t>
            </w:r>
          </w:p>
        </w:tc>
        <w:tc>
          <w:tcPr>
            <w:tcW w:w="709" w:type="dxa"/>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20"/>
                <w:szCs w:val="20"/>
              </w:rPr>
              <w:t> </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20"/>
                <w:szCs w:val="20"/>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20"/>
                <w:szCs w:val="20"/>
              </w:rPr>
              <w:t> </w:t>
            </w:r>
          </w:p>
        </w:tc>
        <w:tc>
          <w:tcPr>
            <w:tcW w:w="850" w:type="dxa"/>
            <w:gridSpan w:val="3"/>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textDirection w:val="btLr"/>
            <w:vAlign w:val="center"/>
          </w:tcPr>
          <w:p>
            <w:pPr>
              <w:pStyle w:val="Normal"/>
              <w:widowControl/>
              <w:bidi w:val="0"/>
              <w:ind w:left="0" w:right="0" w:hanging="0"/>
              <w:jc w:val="center"/>
              <w:textAlignment w:val="auto"/>
              <w:rPr/>
            </w:pPr>
            <w:r>
              <w:rPr>
                <w:sz w:val="20"/>
                <w:szCs w:val="20"/>
              </w:rPr>
              <w:t> </w:t>
            </w:r>
          </w:p>
        </w:tc>
        <w:tc>
          <w:tcPr>
            <w:tcW w:w="710"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sz w:val="20"/>
                <w:szCs w:val="20"/>
              </w:rPr>
              <w:t>0</w:t>
            </w:r>
          </w:p>
        </w:tc>
        <w:tc>
          <w:tcPr>
            <w:tcW w:w="425" w:type="dxa"/>
            <w:tcBorders>
              <w:left w:val="single" w:sz="8" w:space="0" w:color="000001"/>
              <w:bottom w:val="single" w:sz="8" w:space="0" w:color="000001"/>
              <w:insideH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rPr>
            </w:pPr>
            <w:r>
              <w:rPr/>
            </w:r>
          </w:p>
        </w:tc>
      </w:tr>
      <w:tr>
        <w:trPr>
          <w:trHeight w:val="315" w:hRule="atLeast"/>
        </w:trPr>
        <w:tc>
          <w:tcPr>
            <w:tcW w:w="2419"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pPr>
            <w:r>
              <w:rPr>
                <w:rFonts w:cs="Times New Roman CE" w:ascii="Times New Roman CE" w:hAnsi="Times New Roman CE"/>
                <w:sz w:val="20"/>
                <w:szCs w:val="20"/>
              </w:rPr>
              <w:t>Cercetători</w:t>
            </w:r>
          </w:p>
        </w:tc>
        <w:tc>
          <w:tcPr>
            <w:tcW w:w="835" w:type="dxa"/>
            <w:gridSpan w:val="3"/>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ro-RO"/>
              </w:rPr>
            </w:pPr>
            <w:r>
              <w:rPr>
                <w:sz w:val="20"/>
                <w:szCs w:val="20"/>
                <w:lang w:val="ro-RO"/>
              </w:rPr>
              <w:t>9</w:t>
            </w:r>
            <w:r>
              <w:rPr>
                <w:sz w:val="20"/>
                <w:szCs w:val="20"/>
              </w:rPr>
              <w:t>,</w:t>
            </w:r>
            <w:r>
              <w:rPr>
                <w:sz w:val="20"/>
                <w:szCs w:val="20"/>
                <w:lang w:val="ro-RO"/>
              </w:rPr>
              <w:t>2</w:t>
            </w:r>
            <w:r>
              <w:rPr>
                <w:sz w:val="20"/>
                <w:szCs w:val="20"/>
              </w:rPr>
              <w:t>5</w:t>
            </w:r>
          </w:p>
        </w:tc>
        <w:tc>
          <w:tcPr>
            <w:tcW w:w="567" w:type="dxa"/>
            <w:gridSpan w:val="2"/>
            <w:tcBorders>
              <w:bottom w:val="single" w:sz="8" w:space="0" w:color="000001"/>
              <w:right w:val="single" w:sz="8" w:space="0" w:color="000001"/>
              <w:insideH w:val="single" w:sz="8" w:space="0" w:color="000001"/>
              <w:insideV w:val="single" w:sz="8" w:space="0" w:color="000001"/>
            </w:tcBorders>
            <w:shd w:color="auto" w:fill="CCFFCC"/>
            <w:vAlign w:val="center"/>
          </w:tcPr>
          <w:p>
            <w:pPr>
              <w:pStyle w:val="Normal"/>
              <w:widowControl/>
              <w:bidi w:val="0"/>
              <w:ind w:left="0" w:right="0" w:hanging="0"/>
              <w:jc w:val="center"/>
              <w:textAlignment w:val="auto"/>
              <w:rPr>
                <w:lang w:val="ro-RO"/>
              </w:rPr>
            </w:pPr>
            <w:r>
              <w:rPr>
                <w:sz w:val="20"/>
                <w:szCs w:val="20"/>
                <w:lang w:val="ro-RO"/>
              </w:rPr>
              <w:t>11</w:t>
            </w:r>
          </w:p>
        </w:tc>
        <w:tc>
          <w:tcPr>
            <w:tcW w:w="573" w:type="dxa"/>
            <w:gridSpan w:val="3"/>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ro-RO"/>
              </w:rPr>
            </w:pPr>
            <w:r>
              <w:rPr>
                <w:sz w:val="20"/>
                <w:szCs w:val="20"/>
                <w:lang w:val="ro-RO"/>
              </w:rPr>
              <w:t>2</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ro-RO"/>
              </w:rPr>
            </w:pPr>
            <w:r>
              <w:rPr>
                <w:sz w:val="20"/>
                <w:szCs w:val="20"/>
                <w:lang w:val="ro-RO"/>
              </w:rPr>
              <w:t>1</w:t>
            </w:r>
          </w:p>
        </w:tc>
        <w:tc>
          <w:tcPr>
            <w:tcW w:w="718" w:type="dxa"/>
            <w:gridSpan w:val="3"/>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ro-RO"/>
              </w:rPr>
            </w:pPr>
            <w:r>
              <w:rPr>
                <w:sz w:val="20"/>
                <w:szCs w:val="20"/>
                <w:lang w:val="ro-RO"/>
              </w:rPr>
              <w:t>3</w:t>
            </w:r>
          </w:p>
        </w:tc>
        <w:tc>
          <w:tcPr>
            <w:tcW w:w="709" w:type="dxa"/>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ro-RO"/>
              </w:rPr>
            </w:pPr>
            <w:r>
              <w:rPr>
                <w:sz w:val="20"/>
                <w:szCs w:val="20"/>
                <w:lang w:val="ro-RO"/>
              </w:rPr>
              <w:t>2</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ro-RO"/>
              </w:rPr>
            </w:pPr>
            <w:r>
              <w:rPr>
                <w:sz w:val="20"/>
                <w:szCs w:val="20"/>
                <w:lang w:val="ro-RO"/>
              </w:rPr>
              <w:t>1</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pPr>
            <w:r>
              <w:rPr>
                <w:sz w:val="20"/>
                <w:szCs w:val="20"/>
              </w:rPr>
              <w:t>1</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850" w:type="dxa"/>
            <w:gridSpan w:val="3"/>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pPr>
            <w:r>
              <w:rPr>
                <w:sz w:val="20"/>
                <w:szCs w:val="20"/>
              </w:rPr>
              <w:t>1</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710" w:type="dxa"/>
            <w:gridSpan w:val="3"/>
            <w:tcBorders>
              <w:bottom w:val="single" w:sz="8" w:space="0" w:color="000001"/>
              <w:right w:val="single" w:sz="8" w:space="0" w:color="000001"/>
              <w:insideH w:val="single" w:sz="8" w:space="0" w:color="000001"/>
              <w:insideV w:val="single" w:sz="8" w:space="0" w:color="000001"/>
            </w:tcBorders>
            <w:shd w:color="auto" w:fill="CCFFCC"/>
            <w:vAlign w:val="center"/>
          </w:tcPr>
          <w:p>
            <w:pPr>
              <w:pStyle w:val="Normal"/>
              <w:widowControl/>
              <w:bidi w:val="0"/>
              <w:ind w:left="0" w:right="0" w:hanging="0"/>
              <w:jc w:val="center"/>
              <w:textAlignment w:val="auto"/>
              <w:rPr>
                <w:lang w:val="ro-RO"/>
              </w:rPr>
            </w:pPr>
            <w:r>
              <w:rPr>
                <w:sz w:val="20"/>
                <w:szCs w:val="20"/>
                <w:lang w:val="ro-RO"/>
              </w:rPr>
              <w:t>12</w:t>
            </w:r>
          </w:p>
        </w:tc>
        <w:tc>
          <w:tcPr>
            <w:tcW w:w="42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rPr>
            </w:pPr>
            <w:r>
              <w:rPr/>
            </w:r>
          </w:p>
        </w:tc>
      </w:tr>
      <w:tr>
        <w:trPr>
          <w:trHeight w:val="109" w:hRule="atLeast"/>
        </w:trPr>
        <w:tc>
          <w:tcPr>
            <w:tcW w:w="6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pPr>
            <w:r>
              <w:rPr>
                <w:sz w:val="20"/>
                <w:szCs w:val="20"/>
              </w:rPr>
              <w:t> </w:t>
            </w:r>
          </w:p>
        </w:tc>
        <w:tc>
          <w:tcPr>
            <w:tcW w:w="1740"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0"/>
              <w:jc w:val="left"/>
              <w:textAlignment w:val="auto"/>
              <w:rPr/>
            </w:pPr>
            <w:r>
              <w:rPr>
                <w:sz w:val="20"/>
                <w:szCs w:val="20"/>
              </w:rPr>
              <w:t>Femei</w:t>
            </w:r>
          </w:p>
        </w:tc>
        <w:tc>
          <w:tcPr>
            <w:tcW w:w="835" w:type="dxa"/>
            <w:gridSpan w:val="3"/>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lang w:val="ro-RO"/>
              </w:rPr>
            </w:pPr>
            <w:r>
              <w:rPr>
                <w:sz w:val="20"/>
                <w:szCs w:val="20"/>
                <w:lang w:val="ro-RO"/>
              </w:rPr>
              <w:t>1,5</w:t>
            </w:r>
          </w:p>
        </w:tc>
        <w:tc>
          <w:tcPr>
            <w:tcW w:w="567"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20"/>
                <w:szCs w:val="20"/>
              </w:rPr>
              <w:t>2</w:t>
            </w:r>
          </w:p>
        </w:tc>
        <w:tc>
          <w:tcPr>
            <w:tcW w:w="57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lang w:val="ro-RO"/>
              </w:rPr>
            </w:pPr>
            <w:r>
              <w:rPr>
                <w:sz w:val="20"/>
                <w:szCs w:val="20"/>
                <w:lang w:val="ro-RO"/>
              </w:rPr>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718"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2</w:t>
            </w:r>
          </w:p>
        </w:tc>
        <w:tc>
          <w:tcPr>
            <w:tcW w:w="709"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85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710"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sz w:val="20"/>
                <w:szCs w:val="20"/>
              </w:rPr>
              <w:t>2</w:t>
            </w:r>
          </w:p>
        </w:tc>
        <w:tc>
          <w:tcPr>
            <w:tcW w:w="42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rPr>
            </w:pPr>
            <w:r>
              <w:rPr/>
            </w:r>
          </w:p>
        </w:tc>
      </w:tr>
      <w:tr>
        <w:trPr>
          <w:trHeight w:val="141" w:hRule="atLeast"/>
        </w:trPr>
        <w:tc>
          <w:tcPr>
            <w:tcW w:w="2419"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right"/>
              <w:textAlignment w:val="auto"/>
              <w:rPr/>
            </w:pPr>
            <w:r>
              <w:rPr>
                <w:i/>
                <w:iCs/>
                <w:sz w:val="20"/>
                <w:szCs w:val="20"/>
              </w:rPr>
              <w:t>din ei</w:t>
            </w:r>
            <w:r>
              <w:rPr>
                <w:sz w:val="20"/>
                <w:szCs w:val="20"/>
              </w:rPr>
              <w:t>:</w:t>
            </w:r>
          </w:p>
        </w:tc>
        <w:tc>
          <w:tcPr>
            <w:tcW w:w="835" w:type="dxa"/>
            <w:gridSpan w:val="3"/>
            <w:tcBorders>
              <w:bottom w:val="single" w:sz="8" w:space="0" w:color="000001"/>
              <w:insideH w:val="single" w:sz="8" w:space="0" w:color="000001"/>
            </w:tcBorders>
            <w:shd w:color="auto" w:fill="C0C0C0"/>
          </w:tcPr>
          <w:p>
            <w:pPr>
              <w:pStyle w:val="Normal"/>
              <w:widowControl/>
              <w:bidi w:val="0"/>
              <w:ind w:left="0" w:right="0" w:firstLine="200"/>
              <w:jc w:val="right"/>
              <w:textAlignment w:val="auto"/>
              <w:rPr/>
            </w:pPr>
            <w:r>
              <w:rPr>
                <w:i/>
                <w:iCs/>
                <w:sz w:val="20"/>
                <w:szCs w:val="20"/>
              </w:rPr>
              <w:t> </w:t>
            </w:r>
          </w:p>
        </w:tc>
        <w:tc>
          <w:tcPr>
            <w:tcW w:w="567" w:type="dxa"/>
            <w:gridSpan w:val="2"/>
            <w:tcBorders>
              <w:bottom w:val="single" w:sz="8" w:space="0" w:color="000001"/>
              <w:insideH w:val="single" w:sz="8" w:space="0" w:color="000001"/>
            </w:tcBorders>
            <w:shd w:color="auto" w:fill="C0C0C0"/>
          </w:tcPr>
          <w:p>
            <w:pPr>
              <w:pStyle w:val="Normal"/>
              <w:widowControl/>
              <w:bidi w:val="0"/>
              <w:ind w:left="0" w:right="0" w:firstLine="200"/>
              <w:jc w:val="right"/>
              <w:textAlignment w:val="auto"/>
              <w:rPr/>
            </w:pPr>
            <w:r>
              <w:rPr>
                <w:i/>
                <w:iCs/>
                <w:sz w:val="20"/>
                <w:szCs w:val="20"/>
              </w:rPr>
              <w:t> </w:t>
            </w:r>
          </w:p>
        </w:tc>
        <w:tc>
          <w:tcPr>
            <w:tcW w:w="573" w:type="dxa"/>
            <w:gridSpan w:val="3"/>
            <w:tcBorders>
              <w:bottom w:val="single" w:sz="8" w:space="0" w:color="000001"/>
              <w:insideH w:val="single" w:sz="8" w:space="0" w:color="000001"/>
            </w:tcBorders>
            <w:shd w:color="auto" w:fill="C0C0C0"/>
          </w:tcPr>
          <w:p>
            <w:pPr>
              <w:pStyle w:val="Normal"/>
              <w:widowControl/>
              <w:bidi w:val="0"/>
              <w:ind w:left="0" w:right="0" w:firstLine="200"/>
              <w:jc w:val="right"/>
              <w:textAlignment w:val="auto"/>
              <w:rPr/>
            </w:pPr>
            <w:r>
              <w:rPr>
                <w:i/>
                <w:iCs/>
                <w:sz w:val="20"/>
                <w:szCs w:val="20"/>
              </w:rPr>
              <w:t> </w:t>
            </w:r>
          </w:p>
        </w:tc>
        <w:tc>
          <w:tcPr>
            <w:tcW w:w="567" w:type="dxa"/>
            <w:tcBorders>
              <w:bottom w:val="single" w:sz="8" w:space="0" w:color="000001"/>
              <w:insideH w:val="single" w:sz="8" w:space="0" w:color="000001"/>
            </w:tcBorders>
            <w:shd w:color="auto" w:fill="C0C0C0"/>
          </w:tcPr>
          <w:p>
            <w:pPr>
              <w:pStyle w:val="Normal"/>
              <w:widowControl/>
              <w:bidi w:val="0"/>
              <w:ind w:left="0" w:right="0" w:firstLine="200"/>
              <w:jc w:val="right"/>
              <w:textAlignment w:val="auto"/>
              <w:rPr/>
            </w:pPr>
            <w:r>
              <w:rPr>
                <w:i/>
                <w:iCs/>
                <w:sz w:val="20"/>
                <w:szCs w:val="20"/>
              </w:rPr>
              <w:t> </w:t>
            </w:r>
          </w:p>
        </w:tc>
        <w:tc>
          <w:tcPr>
            <w:tcW w:w="718" w:type="dxa"/>
            <w:gridSpan w:val="3"/>
            <w:tcBorders>
              <w:bottom w:val="single" w:sz="8" w:space="0" w:color="000001"/>
              <w:insideH w:val="single" w:sz="8" w:space="0" w:color="000001"/>
            </w:tcBorders>
            <w:shd w:color="auto" w:fill="C0C0C0"/>
          </w:tcPr>
          <w:p>
            <w:pPr>
              <w:pStyle w:val="Normal"/>
              <w:widowControl/>
              <w:bidi w:val="0"/>
              <w:ind w:left="0" w:right="0" w:firstLine="200"/>
              <w:jc w:val="right"/>
              <w:textAlignment w:val="auto"/>
              <w:rPr/>
            </w:pPr>
            <w:r>
              <w:rPr>
                <w:i/>
                <w:iCs/>
                <w:sz w:val="20"/>
                <w:szCs w:val="20"/>
              </w:rPr>
              <w:t> </w:t>
            </w:r>
          </w:p>
        </w:tc>
        <w:tc>
          <w:tcPr>
            <w:tcW w:w="709" w:type="dxa"/>
            <w:tcBorders>
              <w:bottom w:val="single" w:sz="8" w:space="0" w:color="000001"/>
              <w:insideH w:val="single" w:sz="8" w:space="0" w:color="000001"/>
            </w:tcBorders>
            <w:shd w:color="auto" w:fill="C0C0C0"/>
          </w:tcPr>
          <w:p>
            <w:pPr>
              <w:pStyle w:val="Normal"/>
              <w:widowControl/>
              <w:bidi w:val="0"/>
              <w:ind w:left="0" w:right="0" w:firstLine="200"/>
              <w:jc w:val="right"/>
              <w:textAlignment w:val="auto"/>
              <w:rPr/>
            </w:pPr>
            <w:r>
              <w:rPr>
                <w:i/>
                <w:iCs/>
                <w:sz w:val="20"/>
                <w:szCs w:val="20"/>
              </w:rPr>
              <w:t> </w:t>
            </w:r>
          </w:p>
        </w:tc>
        <w:tc>
          <w:tcPr>
            <w:tcW w:w="567" w:type="dxa"/>
            <w:gridSpan w:val="3"/>
            <w:tcBorders>
              <w:bottom w:val="single" w:sz="8" w:space="0" w:color="000001"/>
              <w:insideH w:val="single" w:sz="8" w:space="0" w:color="000001"/>
            </w:tcBorders>
            <w:shd w:color="auto" w:fill="C0C0C0"/>
          </w:tcPr>
          <w:p>
            <w:pPr>
              <w:pStyle w:val="Normal"/>
              <w:widowControl/>
              <w:bidi w:val="0"/>
              <w:ind w:left="0" w:right="0" w:firstLine="200"/>
              <w:jc w:val="right"/>
              <w:textAlignment w:val="auto"/>
              <w:rPr/>
            </w:pPr>
            <w:r>
              <w:rPr>
                <w:i/>
                <w:iCs/>
                <w:sz w:val="20"/>
                <w:szCs w:val="20"/>
              </w:rPr>
              <w:t> </w:t>
            </w:r>
          </w:p>
        </w:tc>
        <w:tc>
          <w:tcPr>
            <w:tcW w:w="709" w:type="dxa"/>
            <w:gridSpan w:val="2"/>
            <w:tcBorders>
              <w:bottom w:val="single" w:sz="8" w:space="0" w:color="000001"/>
              <w:insideH w:val="single" w:sz="8" w:space="0" w:color="000001"/>
            </w:tcBorders>
            <w:shd w:color="auto" w:fill="C0C0C0"/>
          </w:tcPr>
          <w:p>
            <w:pPr>
              <w:pStyle w:val="Normal"/>
              <w:widowControl/>
              <w:bidi w:val="0"/>
              <w:ind w:left="0" w:right="0" w:firstLine="200"/>
              <w:jc w:val="right"/>
              <w:textAlignment w:val="auto"/>
              <w:rPr/>
            </w:pPr>
            <w:r>
              <w:rPr>
                <w:i/>
                <w:iCs/>
                <w:sz w:val="20"/>
                <w:szCs w:val="20"/>
              </w:rPr>
              <w:t> </w:t>
            </w:r>
          </w:p>
        </w:tc>
        <w:tc>
          <w:tcPr>
            <w:tcW w:w="567" w:type="dxa"/>
            <w:tcBorders>
              <w:bottom w:val="single" w:sz="8" w:space="0" w:color="000001"/>
              <w:insideH w:val="single" w:sz="8" w:space="0" w:color="000001"/>
            </w:tcBorders>
            <w:shd w:color="auto" w:fill="C0C0C0"/>
          </w:tcPr>
          <w:p>
            <w:pPr>
              <w:pStyle w:val="Normal"/>
              <w:widowControl/>
              <w:bidi w:val="0"/>
              <w:ind w:left="0" w:right="0" w:firstLine="200"/>
              <w:jc w:val="right"/>
              <w:textAlignment w:val="auto"/>
              <w:rPr/>
            </w:pPr>
            <w:r>
              <w:rPr>
                <w:i/>
                <w:iCs/>
                <w:sz w:val="20"/>
                <w:szCs w:val="20"/>
              </w:rPr>
              <w:t> </w:t>
            </w:r>
          </w:p>
        </w:tc>
        <w:tc>
          <w:tcPr>
            <w:tcW w:w="850" w:type="dxa"/>
            <w:gridSpan w:val="3"/>
            <w:tcBorders>
              <w:bottom w:val="single" w:sz="8" w:space="0" w:color="000001"/>
              <w:insideH w:val="single" w:sz="8" w:space="0" w:color="000001"/>
            </w:tcBorders>
            <w:shd w:color="auto" w:fill="C0C0C0"/>
          </w:tcPr>
          <w:p>
            <w:pPr>
              <w:pStyle w:val="Normal"/>
              <w:widowControl/>
              <w:bidi w:val="0"/>
              <w:ind w:left="0" w:right="0" w:firstLine="200"/>
              <w:jc w:val="right"/>
              <w:textAlignment w:val="auto"/>
              <w:rPr/>
            </w:pPr>
            <w:r>
              <w:rPr>
                <w:i/>
                <w:iCs/>
                <w:sz w:val="20"/>
                <w:szCs w:val="20"/>
              </w:rPr>
              <w:t> </w:t>
            </w:r>
          </w:p>
        </w:tc>
        <w:tc>
          <w:tcPr>
            <w:tcW w:w="709" w:type="dxa"/>
            <w:gridSpan w:val="2"/>
            <w:tcBorders>
              <w:bottom w:val="single" w:sz="8" w:space="0" w:color="000001"/>
              <w:insideH w:val="single" w:sz="8" w:space="0" w:color="000001"/>
            </w:tcBorders>
            <w:shd w:color="auto" w:fill="C0C0C0"/>
          </w:tcPr>
          <w:p>
            <w:pPr>
              <w:pStyle w:val="Normal"/>
              <w:widowControl/>
              <w:bidi w:val="0"/>
              <w:ind w:left="0" w:right="0" w:firstLine="200"/>
              <w:jc w:val="right"/>
              <w:textAlignment w:val="auto"/>
              <w:rPr/>
            </w:pPr>
            <w:r>
              <w:rPr>
                <w:i/>
                <w:iCs/>
                <w:sz w:val="20"/>
                <w:szCs w:val="20"/>
              </w:rPr>
              <w:t> </w:t>
            </w:r>
          </w:p>
        </w:tc>
        <w:tc>
          <w:tcPr>
            <w:tcW w:w="710" w:type="dxa"/>
            <w:gridSpan w:val="3"/>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right"/>
              <w:textAlignment w:val="auto"/>
              <w:rPr/>
            </w:pPr>
            <w:r>
              <w:rPr>
                <w:i/>
                <w:iCs/>
                <w:sz w:val="20"/>
                <w:szCs w:val="20"/>
              </w:rPr>
              <w:t> </w:t>
            </w:r>
          </w:p>
        </w:tc>
        <w:tc>
          <w:tcPr>
            <w:tcW w:w="42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rPr>
            </w:pPr>
            <w:r>
              <w:rPr/>
            </w:r>
          </w:p>
        </w:tc>
      </w:tr>
      <w:tr>
        <w:trPr>
          <w:trHeight w:val="186" w:hRule="atLeast"/>
        </w:trPr>
        <w:tc>
          <w:tcPr>
            <w:tcW w:w="2419"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pPr>
            <w:r>
              <w:rPr>
                <w:rFonts w:cs="Times New Roman CE" w:ascii="Times New Roman CE" w:hAnsi="Times New Roman CE"/>
                <w:sz w:val="20"/>
                <w:szCs w:val="20"/>
              </w:rPr>
              <w:t>Doctori habilitaţi</w:t>
            </w:r>
          </w:p>
        </w:tc>
        <w:tc>
          <w:tcPr>
            <w:tcW w:w="835" w:type="dxa"/>
            <w:gridSpan w:val="3"/>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pPr>
            <w:r>
              <w:rPr>
                <w:sz w:val="20"/>
                <w:szCs w:val="20"/>
              </w:rPr>
              <w:t> </w:t>
            </w:r>
            <w:r>
              <w:rPr>
                <w:sz w:val="20"/>
                <w:szCs w:val="20"/>
                <w:lang w:val="ro-RO"/>
              </w:rPr>
              <w:t>1</w:t>
            </w:r>
          </w:p>
        </w:tc>
        <w:tc>
          <w:tcPr>
            <w:tcW w:w="567"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20"/>
                <w:szCs w:val="20"/>
              </w:rPr>
              <w:t>1</w:t>
            </w:r>
          </w:p>
        </w:tc>
        <w:tc>
          <w:tcPr>
            <w:tcW w:w="57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18"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1</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85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710"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sz w:val="20"/>
                <w:szCs w:val="20"/>
              </w:rPr>
              <w:t>1</w:t>
            </w:r>
          </w:p>
        </w:tc>
        <w:tc>
          <w:tcPr>
            <w:tcW w:w="42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rPr>
            </w:pPr>
            <w:r>
              <w:rPr/>
            </w:r>
          </w:p>
        </w:tc>
      </w:tr>
      <w:tr>
        <w:trPr>
          <w:trHeight w:val="205" w:hRule="atLeast"/>
        </w:trPr>
        <w:tc>
          <w:tcPr>
            <w:tcW w:w="6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pPr>
            <w:r>
              <w:rPr>
                <w:sz w:val="20"/>
                <w:szCs w:val="20"/>
              </w:rPr>
              <w:t> </w:t>
            </w:r>
          </w:p>
        </w:tc>
        <w:tc>
          <w:tcPr>
            <w:tcW w:w="1740"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0"/>
              <w:jc w:val="left"/>
              <w:textAlignment w:val="auto"/>
              <w:rPr/>
            </w:pPr>
            <w:r>
              <w:rPr>
                <w:sz w:val="20"/>
                <w:szCs w:val="20"/>
              </w:rPr>
              <w:t>Femei</w:t>
            </w:r>
          </w:p>
        </w:tc>
        <w:tc>
          <w:tcPr>
            <w:tcW w:w="835" w:type="dxa"/>
            <w:gridSpan w:val="3"/>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pPr>
            <w:r>
              <w:rPr>
                <w:sz w:val="20"/>
                <w:szCs w:val="20"/>
              </w:rPr>
              <w:t> </w:t>
            </w:r>
          </w:p>
        </w:tc>
        <w:tc>
          <w:tcPr>
            <w:tcW w:w="567"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20"/>
                <w:szCs w:val="20"/>
              </w:rPr>
              <w:t>0</w:t>
            </w:r>
          </w:p>
        </w:tc>
        <w:tc>
          <w:tcPr>
            <w:tcW w:w="57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18"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85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710"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sz w:val="20"/>
                <w:szCs w:val="20"/>
              </w:rPr>
              <w:t>0</w:t>
            </w:r>
          </w:p>
        </w:tc>
        <w:tc>
          <w:tcPr>
            <w:tcW w:w="42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rPr>
            </w:pPr>
            <w:r>
              <w:rPr/>
            </w:r>
          </w:p>
        </w:tc>
      </w:tr>
      <w:tr>
        <w:trPr>
          <w:trHeight w:val="236" w:hRule="atLeast"/>
        </w:trPr>
        <w:tc>
          <w:tcPr>
            <w:tcW w:w="2419"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pPr>
            <w:r>
              <w:rPr>
                <w:rFonts w:cs="Times New Roman CE" w:ascii="Times New Roman CE" w:hAnsi="Times New Roman CE"/>
                <w:sz w:val="20"/>
                <w:szCs w:val="20"/>
              </w:rPr>
              <w:t>Doctori în ştiinţe</w:t>
            </w:r>
          </w:p>
        </w:tc>
        <w:tc>
          <w:tcPr>
            <w:tcW w:w="835" w:type="dxa"/>
            <w:gridSpan w:val="3"/>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pPr>
            <w:r>
              <w:rPr>
                <w:sz w:val="20"/>
                <w:szCs w:val="20"/>
              </w:rPr>
              <w:t> </w:t>
            </w:r>
            <w:r>
              <w:rPr>
                <w:sz w:val="20"/>
                <w:szCs w:val="20"/>
                <w:lang w:val="ro-RO"/>
              </w:rPr>
              <w:t>2</w:t>
            </w:r>
          </w:p>
        </w:tc>
        <w:tc>
          <w:tcPr>
            <w:tcW w:w="567"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20"/>
                <w:szCs w:val="20"/>
              </w:rPr>
              <w:t>3</w:t>
            </w:r>
          </w:p>
        </w:tc>
        <w:tc>
          <w:tcPr>
            <w:tcW w:w="57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18"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2</w:t>
            </w:r>
          </w:p>
        </w:tc>
        <w:tc>
          <w:tcPr>
            <w:tcW w:w="709"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1</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r>
              <w:rPr>
                <w:sz w:val="20"/>
                <w:szCs w:val="20"/>
                <w:lang w:val="ro-RO"/>
              </w:rPr>
              <w:t>1</w:t>
            </w:r>
          </w:p>
        </w:tc>
        <w:tc>
          <w:tcPr>
            <w:tcW w:w="85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710"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ro-RO"/>
              </w:rPr>
            </w:pPr>
            <w:r>
              <w:rPr>
                <w:sz w:val="20"/>
                <w:szCs w:val="20"/>
                <w:lang w:val="ro-RO"/>
              </w:rPr>
              <w:t>3</w:t>
            </w:r>
          </w:p>
        </w:tc>
        <w:tc>
          <w:tcPr>
            <w:tcW w:w="42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rPr>
            </w:pPr>
            <w:r>
              <w:rPr/>
            </w:r>
          </w:p>
        </w:tc>
      </w:tr>
      <w:tr>
        <w:trPr>
          <w:trHeight w:val="127" w:hRule="atLeast"/>
        </w:trPr>
        <w:tc>
          <w:tcPr>
            <w:tcW w:w="6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pPr>
            <w:r>
              <w:rPr>
                <w:sz w:val="20"/>
                <w:szCs w:val="20"/>
              </w:rPr>
              <w:t> </w:t>
            </w:r>
          </w:p>
        </w:tc>
        <w:tc>
          <w:tcPr>
            <w:tcW w:w="1740"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0"/>
              <w:jc w:val="left"/>
              <w:textAlignment w:val="auto"/>
              <w:rPr/>
            </w:pPr>
            <w:r>
              <w:rPr>
                <w:sz w:val="20"/>
                <w:szCs w:val="20"/>
              </w:rPr>
              <w:t>Femei</w:t>
            </w:r>
          </w:p>
        </w:tc>
        <w:tc>
          <w:tcPr>
            <w:tcW w:w="835" w:type="dxa"/>
            <w:gridSpan w:val="3"/>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pPr>
            <w:r>
              <w:rPr>
                <w:sz w:val="20"/>
                <w:szCs w:val="20"/>
              </w:rPr>
              <w:t> </w:t>
            </w:r>
            <w:r>
              <w:rPr>
                <w:sz w:val="20"/>
                <w:szCs w:val="20"/>
                <w:lang w:val="ro-RO"/>
              </w:rPr>
              <w:t>0,5</w:t>
            </w:r>
          </w:p>
        </w:tc>
        <w:tc>
          <w:tcPr>
            <w:tcW w:w="567"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20"/>
                <w:szCs w:val="20"/>
              </w:rPr>
              <w:t>1</w:t>
            </w:r>
          </w:p>
        </w:tc>
        <w:tc>
          <w:tcPr>
            <w:tcW w:w="57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18"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1</w:t>
            </w:r>
          </w:p>
        </w:tc>
        <w:tc>
          <w:tcPr>
            <w:tcW w:w="709"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85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710"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sz w:val="20"/>
                <w:szCs w:val="20"/>
              </w:rPr>
              <w:t>1</w:t>
            </w:r>
          </w:p>
        </w:tc>
        <w:tc>
          <w:tcPr>
            <w:tcW w:w="42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rPr>
            </w:pPr>
            <w:r>
              <w:rPr/>
            </w:r>
          </w:p>
        </w:tc>
      </w:tr>
      <w:tr>
        <w:trPr>
          <w:trHeight w:val="172" w:hRule="atLeast"/>
        </w:trPr>
        <w:tc>
          <w:tcPr>
            <w:tcW w:w="2419"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pPr>
            <w:r>
              <w:rPr>
                <w:sz w:val="20"/>
                <w:szCs w:val="20"/>
              </w:rPr>
              <w:t xml:space="preserve">Postdoctoranzi </w:t>
            </w:r>
          </w:p>
        </w:tc>
        <w:tc>
          <w:tcPr>
            <w:tcW w:w="835" w:type="dxa"/>
            <w:gridSpan w:val="3"/>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pPr>
            <w:r>
              <w:rPr>
                <w:sz w:val="20"/>
                <w:szCs w:val="20"/>
              </w:rPr>
              <w:t> </w:t>
            </w:r>
          </w:p>
        </w:tc>
        <w:tc>
          <w:tcPr>
            <w:tcW w:w="567"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20"/>
                <w:szCs w:val="20"/>
              </w:rPr>
              <w:t>0</w:t>
            </w:r>
          </w:p>
        </w:tc>
        <w:tc>
          <w:tcPr>
            <w:tcW w:w="57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18"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85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 </w:t>
            </w:r>
          </w:p>
        </w:tc>
        <w:tc>
          <w:tcPr>
            <w:tcW w:w="710"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sz w:val="20"/>
                <w:szCs w:val="20"/>
              </w:rPr>
              <w:t>0</w:t>
            </w:r>
          </w:p>
        </w:tc>
        <w:tc>
          <w:tcPr>
            <w:tcW w:w="42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rPr>
            </w:pPr>
            <w:r>
              <w:rPr/>
            </w:r>
          </w:p>
        </w:tc>
      </w:tr>
      <w:tr>
        <w:trPr>
          <w:trHeight w:val="205" w:hRule="atLeast"/>
        </w:trPr>
        <w:tc>
          <w:tcPr>
            <w:tcW w:w="6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pPr>
            <w:r>
              <w:rPr>
                <w:sz w:val="20"/>
                <w:szCs w:val="20"/>
              </w:rPr>
              <w:t> </w:t>
            </w:r>
          </w:p>
        </w:tc>
        <w:tc>
          <w:tcPr>
            <w:tcW w:w="1740"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0"/>
              <w:jc w:val="left"/>
              <w:textAlignment w:val="auto"/>
              <w:rPr/>
            </w:pPr>
            <w:r>
              <w:rPr>
                <w:sz w:val="20"/>
                <w:szCs w:val="20"/>
              </w:rPr>
              <w:t>Femei</w:t>
            </w:r>
          </w:p>
        </w:tc>
        <w:tc>
          <w:tcPr>
            <w:tcW w:w="835" w:type="dxa"/>
            <w:gridSpan w:val="3"/>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pPr>
            <w:r>
              <w:rPr>
                <w:sz w:val="20"/>
                <w:szCs w:val="20"/>
              </w:rPr>
              <w:t> </w:t>
            </w:r>
          </w:p>
        </w:tc>
        <w:tc>
          <w:tcPr>
            <w:tcW w:w="567"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20"/>
                <w:szCs w:val="20"/>
              </w:rPr>
              <w:t>0</w:t>
            </w:r>
          </w:p>
        </w:tc>
        <w:tc>
          <w:tcPr>
            <w:tcW w:w="57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18"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85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 </w:t>
            </w:r>
          </w:p>
        </w:tc>
        <w:tc>
          <w:tcPr>
            <w:tcW w:w="710"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sz w:val="20"/>
                <w:szCs w:val="20"/>
              </w:rPr>
              <w:t>0</w:t>
            </w:r>
          </w:p>
        </w:tc>
        <w:tc>
          <w:tcPr>
            <w:tcW w:w="42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rPr>
            </w:pPr>
            <w:r>
              <w:rPr/>
            </w:r>
          </w:p>
        </w:tc>
      </w:tr>
      <w:tr>
        <w:trPr>
          <w:trHeight w:val="222" w:hRule="atLeast"/>
        </w:trPr>
        <w:tc>
          <w:tcPr>
            <w:tcW w:w="2419"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pPr>
            <w:r>
              <w:rPr>
                <w:sz w:val="20"/>
                <w:szCs w:val="20"/>
              </w:rPr>
              <w:t xml:space="preserve">Doctoranzi </w:t>
            </w:r>
          </w:p>
        </w:tc>
        <w:tc>
          <w:tcPr>
            <w:tcW w:w="835" w:type="dxa"/>
            <w:gridSpan w:val="3"/>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lang w:val="ro-RO"/>
              </w:rPr>
            </w:pPr>
            <w:r>
              <w:rPr>
                <w:sz w:val="20"/>
                <w:szCs w:val="20"/>
                <w:lang w:val="ro-RO"/>
              </w:rPr>
              <w:t>3</w:t>
            </w:r>
          </w:p>
        </w:tc>
        <w:tc>
          <w:tcPr>
            <w:tcW w:w="567"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ro-RO"/>
              </w:rPr>
            </w:pPr>
            <w:r>
              <w:rPr>
                <w:sz w:val="20"/>
                <w:szCs w:val="20"/>
                <w:lang w:val="ro-RO"/>
              </w:rPr>
              <w:t>3</w:t>
            </w:r>
          </w:p>
        </w:tc>
        <w:tc>
          <w:tcPr>
            <w:tcW w:w="57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ro-RO"/>
              </w:rPr>
            </w:pPr>
            <w:r>
              <w:rPr>
                <w:sz w:val="20"/>
                <w:szCs w:val="20"/>
                <w:lang w:val="ro-RO"/>
              </w:rPr>
              <w:t>3</w:t>
            </w:r>
            <w:r>
              <w:rPr>
                <w:sz w:val="20"/>
                <w:szCs w:val="20"/>
              </w:rPr>
              <w:t> </w:t>
            </w:r>
          </w:p>
        </w:tc>
        <w:tc>
          <w:tcPr>
            <w:tcW w:w="718"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85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 </w:t>
            </w:r>
          </w:p>
        </w:tc>
        <w:tc>
          <w:tcPr>
            <w:tcW w:w="710"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ro-RO"/>
              </w:rPr>
            </w:pPr>
            <w:r>
              <w:rPr>
                <w:sz w:val="20"/>
                <w:szCs w:val="20"/>
                <w:lang w:val="ro-RO"/>
              </w:rPr>
              <w:t>3</w:t>
            </w:r>
          </w:p>
        </w:tc>
        <w:tc>
          <w:tcPr>
            <w:tcW w:w="42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rPr>
            </w:pPr>
            <w:r>
              <w:rPr/>
            </w:r>
          </w:p>
        </w:tc>
      </w:tr>
      <w:tr>
        <w:trPr>
          <w:trHeight w:val="268" w:hRule="atLeast"/>
        </w:trPr>
        <w:tc>
          <w:tcPr>
            <w:tcW w:w="6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pPr>
            <w:r>
              <w:rPr>
                <w:sz w:val="20"/>
                <w:szCs w:val="20"/>
              </w:rPr>
              <w:t> </w:t>
            </w:r>
          </w:p>
        </w:tc>
        <w:tc>
          <w:tcPr>
            <w:tcW w:w="1740"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0"/>
              <w:jc w:val="left"/>
              <w:textAlignment w:val="auto"/>
              <w:rPr/>
            </w:pPr>
            <w:r>
              <w:rPr>
                <w:sz w:val="20"/>
                <w:szCs w:val="20"/>
              </w:rPr>
              <w:t>Femei</w:t>
            </w:r>
          </w:p>
        </w:tc>
        <w:tc>
          <w:tcPr>
            <w:tcW w:w="835" w:type="dxa"/>
            <w:gridSpan w:val="3"/>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pPr>
            <w:r>
              <w:rPr>
                <w:sz w:val="20"/>
                <w:szCs w:val="20"/>
              </w:rPr>
              <w:t> </w:t>
            </w:r>
          </w:p>
        </w:tc>
        <w:tc>
          <w:tcPr>
            <w:tcW w:w="567"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20"/>
                <w:szCs w:val="20"/>
              </w:rPr>
              <w:t>0</w:t>
            </w:r>
          </w:p>
        </w:tc>
        <w:tc>
          <w:tcPr>
            <w:tcW w:w="57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18"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85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 </w:t>
            </w:r>
          </w:p>
        </w:tc>
        <w:tc>
          <w:tcPr>
            <w:tcW w:w="710"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sz w:val="20"/>
                <w:szCs w:val="20"/>
              </w:rPr>
              <w:t>0</w:t>
            </w:r>
          </w:p>
        </w:tc>
        <w:tc>
          <w:tcPr>
            <w:tcW w:w="42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rPr>
            </w:pPr>
            <w:r>
              <w:rPr/>
            </w:r>
          </w:p>
        </w:tc>
      </w:tr>
      <w:tr>
        <w:trPr>
          <w:trHeight w:val="116" w:hRule="atLeast"/>
        </w:trPr>
        <w:tc>
          <w:tcPr>
            <w:tcW w:w="2419"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pPr>
            <w:r>
              <w:rPr>
                <w:sz w:val="20"/>
                <w:szCs w:val="20"/>
              </w:rPr>
              <w:t xml:space="preserve">Masteranzi </w:t>
            </w:r>
          </w:p>
        </w:tc>
        <w:tc>
          <w:tcPr>
            <w:tcW w:w="835" w:type="dxa"/>
            <w:gridSpan w:val="3"/>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lang w:val="ro-RO"/>
              </w:rPr>
            </w:pPr>
            <w:r>
              <w:rPr>
                <w:sz w:val="20"/>
                <w:szCs w:val="20"/>
                <w:lang w:val="ro-RO"/>
              </w:rPr>
              <w:t>4</w:t>
            </w:r>
            <w:r>
              <w:rPr>
                <w:sz w:val="20"/>
                <w:szCs w:val="20"/>
              </w:rPr>
              <w:t> </w:t>
            </w:r>
          </w:p>
        </w:tc>
        <w:tc>
          <w:tcPr>
            <w:tcW w:w="567"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ro-RO"/>
              </w:rPr>
            </w:pPr>
            <w:r>
              <w:rPr>
                <w:sz w:val="20"/>
                <w:szCs w:val="20"/>
                <w:lang w:val="ro-RO"/>
              </w:rPr>
              <w:t>4</w:t>
            </w:r>
          </w:p>
        </w:tc>
        <w:tc>
          <w:tcPr>
            <w:tcW w:w="57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r>
              <w:rPr>
                <w:sz w:val="20"/>
                <w:szCs w:val="20"/>
                <w:lang w:val="ro-RO"/>
              </w:rPr>
              <w:t>4</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18"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85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 </w:t>
            </w:r>
          </w:p>
        </w:tc>
        <w:tc>
          <w:tcPr>
            <w:tcW w:w="710"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ro-RO"/>
              </w:rPr>
            </w:pPr>
            <w:r>
              <w:rPr>
                <w:sz w:val="20"/>
                <w:szCs w:val="20"/>
                <w:lang w:val="ro-RO"/>
              </w:rPr>
              <w:t>4</w:t>
            </w:r>
          </w:p>
        </w:tc>
        <w:tc>
          <w:tcPr>
            <w:tcW w:w="42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rPr>
            </w:pPr>
            <w:r>
              <w:rPr/>
            </w:r>
          </w:p>
        </w:tc>
      </w:tr>
      <w:tr>
        <w:trPr>
          <w:trHeight w:val="162" w:hRule="atLeast"/>
        </w:trPr>
        <w:tc>
          <w:tcPr>
            <w:tcW w:w="6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pPr>
            <w:r>
              <w:rPr>
                <w:sz w:val="20"/>
                <w:szCs w:val="20"/>
              </w:rPr>
              <w:t> </w:t>
            </w:r>
          </w:p>
        </w:tc>
        <w:tc>
          <w:tcPr>
            <w:tcW w:w="1740"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0"/>
              <w:jc w:val="left"/>
              <w:textAlignment w:val="auto"/>
              <w:rPr/>
            </w:pPr>
            <w:r>
              <w:rPr>
                <w:sz w:val="20"/>
                <w:szCs w:val="20"/>
              </w:rPr>
              <w:t>Femei</w:t>
            </w:r>
          </w:p>
        </w:tc>
        <w:tc>
          <w:tcPr>
            <w:tcW w:w="835" w:type="dxa"/>
            <w:gridSpan w:val="3"/>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pPr>
            <w:r>
              <w:rPr>
                <w:sz w:val="20"/>
                <w:szCs w:val="20"/>
              </w:rPr>
              <w:t> </w:t>
            </w:r>
          </w:p>
        </w:tc>
        <w:tc>
          <w:tcPr>
            <w:tcW w:w="567"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20"/>
                <w:szCs w:val="20"/>
              </w:rPr>
              <w:t>0</w:t>
            </w:r>
          </w:p>
        </w:tc>
        <w:tc>
          <w:tcPr>
            <w:tcW w:w="57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18"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85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 </w:t>
            </w:r>
          </w:p>
        </w:tc>
        <w:tc>
          <w:tcPr>
            <w:tcW w:w="710"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sz w:val="20"/>
                <w:szCs w:val="20"/>
              </w:rPr>
              <w:t>0</w:t>
            </w:r>
          </w:p>
        </w:tc>
        <w:tc>
          <w:tcPr>
            <w:tcW w:w="42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rPr>
            </w:pPr>
            <w:r>
              <w:rPr/>
            </w:r>
          </w:p>
        </w:tc>
      </w:tr>
      <w:tr>
        <w:trPr>
          <w:trHeight w:val="330" w:hRule="atLeast"/>
        </w:trPr>
        <w:tc>
          <w:tcPr>
            <w:tcW w:w="2419"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rPr>
              <w:t xml:space="preserve">Ingineri şi specialişti cu </w:t>
            </w:r>
            <w:r>
              <w:rPr>
                <w:color w:val="000000"/>
                <w:sz w:val="20"/>
                <w:szCs w:val="20"/>
                <w:lang w:val="en-US"/>
              </w:rPr>
              <w:t>studii superioare</w:t>
            </w:r>
            <w:r>
              <w:rPr>
                <w:sz w:val="20"/>
                <w:szCs w:val="20"/>
                <w:lang w:val="en-US"/>
              </w:rPr>
              <w:t xml:space="preserve"> </w:t>
            </w:r>
          </w:p>
        </w:tc>
        <w:tc>
          <w:tcPr>
            <w:tcW w:w="835"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ro-RO"/>
              </w:rPr>
            </w:pPr>
            <w:r>
              <w:rPr>
                <w:sz w:val="20"/>
                <w:szCs w:val="20"/>
                <w:lang w:val="ro-RO"/>
              </w:rPr>
              <w:t>2</w:t>
            </w:r>
          </w:p>
        </w:tc>
        <w:tc>
          <w:tcPr>
            <w:tcW w:w="567"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ro-RO"/>
              </w:rPr>
            </w:pPr>
            <w:r>
              <w:rPr>
                <w:sz w:val="20"/>
                <w:szCs w:val="20"/>
                <w:lang w:val="ro-RO"/>
              </w:rPr>
              <w:t>3</w:t>
            </w:r>
          </w:p>
        </w:tc>
        <w:tc>
          <w:tcPr>
            <w:tcW w:w="57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ro-RO"/>
              </w:rPr>
            </w:pPr>
            <w:r>
              <w:rPr>
                <w:sz w:val="20"/>
                <w:szCs w:val="20"/>
                <w:lang w:val="ro-RO"/>
              </w:rPr>
              <w:t>2</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ro-RO"/>
              </w:rPr>
            </w:pPr>
            <w:r>
              <w:rPr>
                <w:sz w:val="20"/>
                <w:szCs w:val="20"/>
                <w:lang w:val="ro-RO"/>
              </w:rPr>
              <w:t>1</w:t>
            </w:r>
          </w:p>
        </w:tc>
        <w:tc>
          <w:tcPr>
            <w:tcW w:w="718"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85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710"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ro-RO"/>
              </w:rPr>
            </w:pPr>
            <w:r>
              <w:rPr>
                <w:sz w:val="20"/>
                <w:szCs w:val="20"/>
                <w:lang w:val="ro-RO"/>
              </w:rPr>
              <w:t>3</w:t>
            </w:r>
          </w:p>
        </w:tc>
        <w:tc>
          <w:tcPr>
            <w:tcW w:w="42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rPr>
            </w:pPr>
            <w:r>
              <w:rPr/>
            </w:r>
          </w:p>
        </w:tc>
      </w:tr>
      <w:tr>
        <w:trPr>
          <w:trHeight w:val="131" w:hRule="atLeast"/>
        </w:trPr>
        <w:tc>
          <w:tcPr>
            <w:tcW w:w="6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pPr>
            <w:r>
              <w:rPr>
                <w:sz w:val="20"/>
                <w:szCs w:val="20"/>
              </w:rPr>
              <w:t> </w:t>
            </w:r>
          </w:p>
        </w:tc>
        <w:tc>
          <w:tcPr>
            <w:tcW w:w="1740"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0"/>
              <w:jc w:val="left"/>
              <w:textAlignment w:val="auto"/>
              <w:rPr/>
            </w:pPr>
            <w:r>
              <w:rPr>
                <w:sz w:val="20"/>
                <w:szCs w:val="20"/>
              </w:rPr>
              <w:t>Femei</w:t>
            </w:r>
          </w:p>
        </w:tc>
        <w:tc>
          <w:tcPr>
            <w:tcW w:w="835" w:type="dxa"/>
            <w:gridSpan w:val="3"/>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lang w:val="ro-RO"/>
              </w:rPr>
            </w:pPr>
            <w:r>
              <w:rPr>
                <w:sz w:val="20"/>
                <w:szCs w:val="20"/>
                <w:lang w:val="ro-RO"/>
              </w:rPr>
              <w:t>2</w:t>
            </w:r>
          </w:p>
        </w:tc>
        <w:tc>
          <w:tcPr>
            <w:tcW w:w="567"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ro-RO"/>
              </w:rPr>
            </w:pPr>
            <w:r>
              <w:rPr>
                <w:sz w:val="20"/>
                <w:szCs w:val="20"/>
                <w:lang w:val="ro-RO"/>
              </w:rPr>
              <w:t>3</w:t>
            </w:r>
          </w:p>
        </w:tc>
        <w:tc>
          <w:tcPr>
            <w:tcW w:w="57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r>
              <w:rPr>
                <w:sz w:val="20"/>
                <w:szCs w:val="20"/>
                <w:lang w:val="ro-RO"/>
              </w:rPr>
              <w:t>2</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ro-RO"/>
              </w:rPr>
            </w:pPr>
            <w:r>
              <w:rPr>
                <w:sz w:val="20"/>
                <w:szCs w:val="20"/>
                <w:lang w:val="ro-RO"/>
              </w:rPr>
              <w:t>1</w:t>
            </w:r>
            <w:r>
              <w:rPr>
                <w:sz w:val="20"/>
                <w:szCs w:val="20"/>
              </w:rPr>
              <w:t> </w:t>
            </w:r>
          </w:p>
        </w:tc>
        <w:tc>
          <w:tcPr>
            <w:tcW w:w="718"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lang w:val="ro-RO"/>
              </w:rPr>
            </w:pPr>
            <w:r>
              <w:rPr>
                <w:sz w:val="20"/>
                <w:szCs w:val="20"/>
                <w:lang w:val="ro-RO"/>
              </w:rPr>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85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 </w:t>
            </w:r>
          </w:p>
        </w:tc>
        <w:tc>
          <w:tcPr>
            <w:tcW w:w="710"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lang w:val="ro-RO"/>
              </w:rPr>
            </w:pPr>
            <w:r>
              <w:rPr>
                <w:sz w:val="20"/>
                <w:szCs w:val="20"/>
                <w:lang w:val="ro-RO"/>
              </w:rPr>
              <w:t>3</w:t>
            </w:r>
          </w:p>
        </w:tc>
        <w:tc>
          <w:tcPr>
            <w:tcW w:w="42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rPr>
            </w:pPr>
            <w:r>
              <w:rPr/>
            </w:r>
          </w:p>
        </w:tc>
      </w:tr>
      <w:tr>
        <w:trPr>
          <w:trHeight w:val="162" w:hRule="atLeast"/>
        </w:trPr>
        <w:tc>
          <w:tcPr>
            <w:tcW w:w="2419"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pPr>
            <w:r>
              <w:rPr>
                <w:rFonts w:cs="Times New Roman CE" w:ascii="Times New Roman CE" w:hAnsi="Times New Roman CE"/>
                <w:sz w:val="20"/>
                <w:szCs w:val="20"/>
              </w:rPr>
              <w:t xml:space="preserve">Tehnicieni, laboranţi </w:t>
            </w:r>
          </w:p>
        </w:tc>
        <w:tc>
          <w:tcPr>
            <w:tcW w:w="835"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0"/>
              <w:jc w:val="left"/>
              <w:textAlignment w:val="auto"/>
              <w:rPr/>
            </w:pPr>
            <w:r>
              <w:rPr>
                <w:sz w:val="20"/>
                <w:szCs w:val="20"/>
              </w:rPr>
              <w:t> </w:t>
            </w:r>
          </w:p>
        </w:tc>
        <w:tc>
          <w:tcPr>
            <w:tcW w:w="567"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20"/>
                <w:szCs w:val="20"/>
              </w:rPr>
              <w:t>0</w:t>
            </w:r>
          </w:p>
        </w:tc>
        <w:tc>
          <w:tcPr>
            <w:tcW w:w="57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18"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85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 </w:t>
            </w:r>
          </w:p>
        </w:tc>
        <w:tc>
          <w:tcPr>
            <w:tcW w:w="710"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sz w:val="20"/>
                <w:szCs w:val="20"/>
              </w:rPr>
              <w:t>0</w:t>
            </w:r>
          </w:p>
        </w:tc>
        <w:tc>
          <w:tcPr>
            <w:tcW w:w="42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rPr>
            </w:pPr>
            <w:r>
              <w:rPr/>
            </w:r>
          </w:p>
        </w:tc>
      </w:tr>
      <w:tr>
        <w:trPr>
          <w:trHeight w:val="195" w:hRule="atLeast"/>
        </w:trPr>
        <w:tc>
          <w:tcPr>
            <w:tcW w:w="6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pPr>
            <w:r>
              <w:rPr>
                <w:sz w:val="20"/>
                <w:szCs w:val="20"/>
              </w:rPr>
              <w:t> </w:t>
            </w:r>
          </w:p>
        </w:tc>
        <w:tc>
          <w:tcPr>
            <w:tcW w:w="1740"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0"/>
              <w:jc w:val="left"/>
              <w:textAlignment w:val="auto"/>
              <w:rPr/>
            </w:pPr>
            <w:r>
              <w:rPr>
                <w:sz w:val="20"/>
                <w:szCs w:val="20"/>
              </w:rPr>
              <w:t>Femei</w:t>
            </w:r>
          </w:p>
        </w:tc>
        <w:tc>
          <w:tcPr>
            <w:tcW w:w="835" w:type="dxa"/>
            <w:gridSpan w:val="3"/>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pPr>
            <w:r>
              <w:rPr>
                <w:sz w:val="20"/>
                <w:szCs w:val="20"/>
              </w:rPr>
              <w:t> </w:t>
            </w:r>
          </w:p>
        </w:tc>
        <w:tc>
          <w:tcPr>
            <w:tcW w:w="567"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ro-RO"/>
              </w:rPr>
            </w:pPr>
            <w:r>
              <w:rPr>
                <w:sz w:val="20"/>
                <w:szCs w:val="20"/>
                <w:lang w:val="ro-RO"/>
              </w:rPr>
              <w:t>0</w:t>
            </w:r>
          </w:p>
        </w:tc>
        <w:tc>
          <w:tcPr>
            <w:tcW w:w="57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18"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85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 </w:t>
            </w:r>
          </w:p>
        </w:tc>
        <w:tc>
          <w:tcPr>
            <w:tcW w:w="710"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sz w:val="20"/>
                <w:szCs w:val="20"/>
              </w:rPr>
              <w:t>0</w:t>
            </w:r>
          </w:p>
        </w:tc>
        <w:tc>
          <w:tcPr>
            <w:tcW w:w="42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rPr>
            </w:pPr>
            <w:r>
              <w:rPr/>
            </w:r>
          </w:p>
        </w:tc>
      </w:tr>
      <w:tr>
        <w:trPr>
          <w:trHeight w:val="226" w:hRule="atLeast"/>
        </w:trPr>
        <w:tc>
          <w:tcPr>
            <w:tcW w:w="2419"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pPr>
            <w:r>
              <w:rPr>
                <w:rFonts w:cs="Times New Roman CE" w:ascii="Times New Roman CE" w:hAnsi="Times New Roman CE"/>
                <w:sz w:val="20"/>
                <w:szCs w:val="20"/>
              </w:rPr>
              <w:t xml:space="preserve">Alte categorii de salariaţi </w:t>
            </w:r>
          </w:p>
        </w:tc>
        <w:tc>
          <w:tcPr>
            <w:tcW w:w="835" w:type="dxa"/>
            <w:gridSpan w:val="3"/>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rFonts w:ascii="Times New Roman" w:hAnsi="Times New Roman"/>
                <w:sz w:val="20"/>
                <w:szCs w:val="20"/>
              </w:rPr>
            </w:pPr>
            <w:r>
              <w:rPr>
                <w:sz w:val="20"/>
                <w:szCs w:val="20"/>
              </w:rPr>
            </w:r>
          </w:p>
        </w:tc>
        <w:tc>
          <w:tcPr>
            <w:tcW w:w="567"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rFonts w:ascii="Times New Roman" w:hAnsi="Times New Roman"/>
                <w:sz w:val="20"/>
                <w:szCs w:val="20"/>
                <w:lang w:val="ro-RO"/>
              </w:rPr>
            </w:pPr>
            <w:r>
              <w:rPr>
                <w:sz w:val="20"/>
                <w:szCs w:val="20"/>
                <w:lang w:val="ro-RO"/>
              </w:rPr>
            </w:r>
          </w:p>
        </w:tc>
        <w:tc>
          <w:tcPr>
            <w:tcW w:w="57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718"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709"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lang w:val="ro-RO"/>
              </w:rPr>
            </w:pPr>
            <w:r>
              <w:rPr>
                <w:sz w:val="20"/>
                <w:szCs w:val="20"/>
                <w:lang w:val="ro-RO"/>
              </w:rPr>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85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710"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rFonts w:ascii="Times New Roman" w:hAnsi="Times New Roman"/>
                <w:sz w:val="20"/>
                <w:szCs w:val="20"/>
                <w:lang w:val="ro-RO"/>
              </w:rPr>
            </w:pPr>
            <w:r>
              <w:rPr>
                <w:sz w:val="20"/>
                <w:szCs w:val="20"/>
                <w:lang w:val="ro-RO"/>
              </w:rPr>
            </w:r>
          </w:p>
        </w:tc>
        <w:tc>
          <w:tcPr>
            <w:tcW w:w="42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rPr>
            </w:pPr>
            <w:r>
              <w:rPr/>
            </w:r>
          </w:p>
        </w:tc>
      </w:tr>
      <w:tr>
        <w:trPr>
          <w:trHeight w:val="116" w:hRule="atLeast"/>
        </w:trPr>
        <w:tc>
          <w:tcPr>
            <w:tcW w:w="6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pPr>
            <w:r>
              <w:rPr>
                <w:sz w:val="20"/>
                <w:szCs w:val="20"/>
              </w:rPr>
              <w:t> </w:t>
            </w:r>
          </w:p>
        </w:tc>
        <w:tc>
          <w:tcPr>
            <w:tcW w:w="1740"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0"/>
              <w:jc w:val="left"/>
              <w:textAlignment w:val="auto"/>
              <w:rPr/>
            </w:pPr>
            <w:r>
              <w:rPr>
                <w:sz w:val="20"/>
                <w:szCs w:val="20"/>
              </w:rPr>
              <w:t>Femei</w:t>
            </w:r>
          </w:p>
        </w:tc>
        <w:tc>
          <w:tcPr>
            <w:tcW w:w="835" w:type="dxa"/>
            <w:gridSpan w:val="3"/>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hanging="0"/>
              <w:jc w:val="left"/>
              <w:textAlignment w:val="auto"/>
              <w:rPr>
                <w:rFonts w:ascii="Times New Roman" w:hAnsi="Times New Roman"/>
                <w:sz w:val="20"/>
                <w:szCs w:val="20"/>
              </w:rPr>
            </w:pPr>
            <w:r>
              <w:rPr>
                <w:sz w:val="20"/>
                <w:szCs w:val="20"/>
              </w:rPr>
            </w:r>
          </w:p>
        </w:tc>
        <w:tc>
          <w:tcPr>
            <w:tcW w:w="567"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rFonts w:ascii="Times New Roman" w:hAnsi="Times New Roman"/>
                <w:sz w:val="20"/>
                <w:szCs w:val="20"/>
                <w:lang w:val="ro-RO"/>
              </w:rPr>
            </w:pPr>
            <w:r>
              <w:rPr>
                <w:sz w:val="20"/>
                <w:szCs w:val="20"/>
                <w:lang w:val="ro-RO"/>
              </w:rPr>
            </w:r>
          </w:p>
        </w:tc>
        <w:tc>
          <w:tcPr>
            <w:tcW w:w="57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718"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lang w:val="ro-RO"/>
              </w:rPr>
            </w:pPr>
            <w:r>
              <w:rPr>
                <w:sz w:val="20"/>
                <w:szCs w:val="20"/>
                <w:lang w:val="ro-RO"/>
              </w:rPr>
            </w:r>
          </w:p>
        </w:tc>
        <w:tc>
          <w:tcPr>
            <w:tcW w:w="709"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lang w:val="ro-RO"/>
              </w:rPr>
            </w:pPr>
            <w:r>
              <w:rPr>
                <w:sz w:val="20"/>
                <w:szCs w:val="20"/>
                <w:lang w:val="ro-RO"/>
              </w:rPr>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lang w:val="ro-RO"/>
              </w:rPr>
            </w:pPr>
            <w:r>
              <w:rPr>
                <w:sz w:val="20"/>
                <w:szCs w:val="20"/>
                <w:lang w:val="ro-RO"/>
              </w:rPr>
            </w:r>
          </w:p>
        </w:tc>
        <w:tc>
          <w:tcPr>
            <w:tcW w:w="85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sz w:val="20"/>
                <w:szCs w:val="20"/>
              </w:rPr>
            </w:pPr>
            <w:r>
              <w:rPr>
                <w:sz w:val="20"/>
                <w:szCs w:val="20"/>
              </w:rPr>
            </w:r>
          </w:p>
        </w:tc>
        <w:tc>
          <w:tcPr>
            <w:tcW w:w="710"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rFonts w:ascii="Times New Roman" w:hAnsi="Times New Roman"/>
                <w:sz w:val="20"/>
                <w:szCs w:val="20"/>
                <w:lang w:val="ro-RO"/>
              </w:rPr>
            </w:pPr>
            <w:r>
              <w:rPr>
                <w:sz w:val="20"/>
                <w:szCs w:val="20"/>
                <w:lang w:val="ro-RO"/>
              </w:rPr>
            </w:r>
          </w:p>
        </w:tc>
        <w:tc>
          <w:tcPr>
            <w:tcW w:w="42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rPr>
            </w:pPr>
            <w:r>
              <w:rPr/>
            </w:r>
          </w:p>
        </w:tc>
      </w:tr>
      <w:tr>
        <w:trPr>
          <w:trHeight w:val="139" w:hRule="atLeast"/>
        </w:trPr>
        <w:tc>
          <w:tcPr>
            <w:tcW w:w="2419"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1"/>
              <w:jc w:val="left"/>
              <w:textAlignment w:val="auto"/>
              <w:rPr/>
            </w:pPr>
            <w:r>
              <w:rPr>
                <w:b/>
                <w:bCs/>
                <w:sz w:val="20"/>
                <w:szCs w:val="20"/>
              </w:rPr>
              <w:t>Total</w:t>
            </w:r>
          </w:p>
        </w:tc>
        <w:tc>
          <w:tcPr>
            <w:tcW w:w="851" w:type="dxa"/>
            <w:gridSpan w:val="4"/>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ro-RO"/>
              </w:rPr>
            </w:pPr>
            <w:r>
              <w:rPr>
                <w:bCs/>
                <w:sz w:val="20"/>
                <w:szCs w:val="20"/>
                <w:lang w:val="ro-RO"/>
              </w:rPr>
              <w:t>9</w:t>
            </w:r>
            <w:r>
              <w:rPr>
                <w:bCs/>
                <w:sz w:val="20"/>
                <w:szCs w:val="20"/>
              </w:rPr>
              <w:t>,</w:t>
            </w:r>
            <w:r>
              <w:rPr>
                <w:bCs/>
                <w:sz w:val="20"/>
                <w:szCs w:val="20"/>
                <w:lang w:val="ro-RO"/>
              </w:rPr>
              <w:t>2</w:t>
            </w:r>
            <w:r>
              <w:rPr>
                <w:bCs/>
                <w:sz w:val="20"/>
                <w:szCs w:val="20"/>
              </w:rPr>
              <w:t xml:space="preserve"> 5</w:t>
            </w:r>
          </w:p>
        </w:tc>
        <w:tc>
          <w:tcPr>
            <w:tcW w:w="551" w:type="dxa"/>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20"/>
                <w:szCs w:val="20"/>
              </w:rPr>
              <w:t>1</w:t>
            </w:r>
            <w:r>
              <w:rPr>
                <w:sz w:val="20"/>
                <w:szCs w:val="20"/>
                <w:lang w:val="ro-RO"/>
              </w:rPr>
              <w:t>4</w:t>
            </w:r>
          </w:p>
        </w:tc>
        <w:tc>
          <w:tcPr>
            <w:tcW w:w="573"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ro-RO"/>
              </w:rPr>
            </w:pPr>
            <w:r>
              <w:rPr>
                <w:sz w:val="20"/>
                <w:szCs w:val="20"/>
                <w:lang w:val="ro-RO"/>
              </w:rPr>
              <w:t>4</w:t>
            </w:r>
          </w:p>
        </w:tc>
        <w:tc>
          <w:tcPr>
            <w:tcW w:w="567" w:type="dxa"/>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20"/>
                <w:szCs w:val="20"/>
              </w:rPr>
              <w:t>2</w:t>
            </w:r>
          </w:p>
        </w:tc>
        <w:tc>
          <w:tcPr>
            <w:tcW w:w="718"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ro-RO"/>
              </w:rPr>
            </w:pPr>
            <w:r>
              <w:rPr>
                <w:sz w:val="20"/>
                <w:szCs w:val="20"/>
                <w:lang w:val="ro-RO"/>
              </w:rPr>
              <w:t>3</w:t>
            </w:r>
          </w:p>
        </w:tc>
        <w:tc>
          <w:tcPr>
            <w:tcW w:w="709" w:type="dxa"/>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ro-RO"/>
              </w:rPr>
            </w:pPr>
            <w:r>
              <w:rPr>
                <w:sz w:val="20"/>
                <w:szCs w:val="20"/>
                <w:lang w:val="ro-RO"/>
              </w:rPr>
              <w:t>2</w:t>
            </w:r>
          </w:p>
        </w:tc>
        <w:tc>
          <w:tcPr>
            <w:tcW w:w="567"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ro-RO"/>
              </w:rPr>
            </w:pPr>
            <w:r>
              <w:rPr>
                <w:sz w:val="20"/>
                <w:szCs w:val="20"/>
                <w:lang w:val="ro-RO"/>
              </w:rPr>
              <w:t>2</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ro-RO"/>
              </w:rPr>
            </w:pPr>
            <w:r>
              <w:rPr>
                <w:sz w:val="20"/>
                <w:szCs w:val="20"/>
                <w:lang w:val="ro-RO"/>
              </w:rPr>
              <w:t>1</w:t>
            </w:r>
          </w:p>
        </w:tc>
        <w:tc>
          <w:tcPr>
            <w:tcW w:w="567" w:type="dxa"/>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ro-RO"/>
              </w:rPr>
            </w:pPr>
            <w:r>
              <w:rPr>
                <w:sz w:val="20"/>
                <w:szCs w:val="20"/>
                <w:lang w:val="ro-RO"/>
              </w:rPr>
              <w:t>0</w:t>
            </w:r>
          </w:p>
        </w:tc>
        <w:tc>
          <w:tcPr>
            <w:tcW w:w="850"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ro-RO"/>
              </w:rPr>
            </w:pPr>
            <w:r>
              <w:rPr>
                <w:sz w:val="20"/>
                <w:szCs w:val="20"/>
                <w:lang w:val="ro-RO"/>
              </w:rPr>
              <w:t>2</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ro-RO"/>
              </w:rPr>
            </w:pPr>
            <w:r>
              <w:rPr>
                <w:sz w:val="20"/>
                <w:szCs w:val="20"/>
                <w:lang w:val="ro-RO"/>
              </w:rPr>
              <w:t>0</w:t>
            </w:r>
          </w:p>
        </w:tc>
        <w:tc>
          <w:tcPr>
            <w:tcW w:w="710"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20"/>
                <w:szCs w:val="20"/>
              </w:rPr>
              <w:t>1</w:t>
            </w:r>
            <w:r>
              <w:rPr>
                <w:sz w:val="20"/>
                <w:szCs w:val="20"/>
                <w:lang w:val="ro-RO"/>
              </w:rPr>
              <w:t>6</w:t>
            </w:r>
          </w:p>
        </w:tc>
        <w:tc>
          <w:tcPr>
            <w:tcW w:w="42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rPr>
            </w:pPr>
            <w:r>
              <w:rPr/>
            </w:r>
          </w:p>
        </w:tc>
      </w:tr>
      <w:tr>
        <w:trPr>
          <w:trHeight w:val="252" w:hRule="atLeast"/>
        </w:trPr>
        <w:tc>
          <w:tcPr>
            <w:tcW w:w="6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pPr>
            <w:r>
              <w:rPr>
                <w:sz w:val="20"/>
                <w:szCs w:val="20"/>
              </w:rPr>
              <w:t> </w:t>
            </w:r>
          </w:p>
        </w:tc>
        <w:tc>
          <w:tcPr>
            <w:tcW w:w="1740"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1"/>
              <w:jc w:val="left"/>
              <w:textAlignment w:val="auto"/>
              <w:rPr/>
            </w:pPr>
            <w:r>
              <w:rPr>
                <w:b/>
                <w:bCs/>
                <w:sz w:val="20"/>
                <w:szCs w:val="20"/>
              </w:rPr>
              <w:t>Total femei</w:t>
            </w:r>
          </w:p>
        </w:tc>
        <w:tc>
          <w:tcPr>
            <w:tcW w:w="835" w:type="dxa"/>
            <w:gridSpan w:val="3"/>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hanging="0"/>
              <w:jc w:val="left"/>
              <w:textAlignment w:val="auto"/>
              <w:rPr>
                <w:lang w:val="ro-RO"/>
              </w:rPr>
            </w:pPr>
            <w:r>
              <w:rPr>
                <w:sz w:val="20"/>
                <w:szCs w:val="20"/>
                <w:lang w:val="ro-RO"/>
              </w:rPr>
              <w:t>3</w:t>
            </w:r>
            <w:r>
              <w:rPr>
                <w:sz w:val="20"/>
                <w:szCs w:val="20"/>
              </w:rPr>
              <w:t>,5</w:t>
            </w:r>
          </w:p>
        </w:tc>
        <w:tc>
          <w:tcPr>
            <w:tcW w:w="567"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ro-RO"/>
              </w:rPr>
            </w:pPr>
            <w:r>
              <w:rPr>
                <w:sz w:val="20"/>
                <w:szCs w:val="20"/>
                <w:lang w:val="ro-RO"/>
              </w:rPr>
              <w:t>5</w:t>
            </w:r>
          </w:p>
        </w:tc>
        <w:tc>
          <w:tcPr>
            <w:tcW w:w="573"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ro-RO"/>
              </w:rPr>
            </w:pPr>
            <w:r>
              <w:rPr>
                <w:sz w:val="20"/>
                <w:szCs w:val="20"/>
                <w:lang w:val="ro-RO"/>
              </w:rPr>
              <w:t>2</w:t>
            </w:r>
          </w:p>
        </w:tc>
        <w:tc>
          <w:tcPr>
            <w:tcW w:w="567" w:type="dxa"/>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ro-RO"/>
              </w:rPr>
            </w:pPr>
            <w:r>
              <w:rPr>
                <w:sz w:val="20"/>
                <w:szCs w:val="20"/>
                <w:lang w:val="ro-RO"/>
              </w:rPr>
              <w:t>1</w:t>
            </w:r>
          </w:p>
        </w:tc>
        <w:tc>
          <w:tcPr>
            <w:tcW w:w="718"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ro-RO"/>
              </w:rPr>
            </w:pPr>
            <w:r>
              <w:rPr>
                <w:sz w:val="20"/>
                <w:szCs w:val="20"/>
                <w:lang w:val="ro-RO"/>
              </w:rPr>
              <w:t>2</w:t>
            </w:r>
          </w:p>
        </w:tc>
        <w:tc>
          <w:tcPr>
            <w:tcW w:w="709" w:type="dxa"/>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20"/>
                <w:szCs w:val="20"/>
              </w:rPr>
              <w:t>0</w:t>
            </w:r>
          </w:p>
        </w:tc>
        <w:tc>
          <w:tcPr>
            <w:tcW w:w="567"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20"/>
                <w:szCs w:val="20"/>
              </w:rPr>
              <w:t>0</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ro-RO"/>
              </w:rPr>
            </w:pPr>
            <w:r>
              <w:rPr>
                <w:sz w:val="20"/>
                <w:szCs w:val="20"/>
                <w:lang w:val="ro-RO"/>
              </w:rPr>
              <w:t>0</w:t>
            </w:r>
          </w:p>
        </w:tc>
        <w:tc>
          <w:tcPr>
            <w:tcW w:w="567" w:type="dxa"/>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ro-RO"/>
              </w:rPr>
            </w:pPr>
            <w:r>
              <w:rPr>
                <w:sz w:val="20"/>
                <w:szCs w:val="20"/>
                <w:lang w:val="ro-RO"/>
              </w:rPr>
              <w:t>0</w:t>
            </w:r>
          </w:p>
        </w:tc>
        <w:tc>
          <w:tcPr>
            <w:tcW w:w="850"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ro-RO"/>
              </w:rPr>
            </w:pPr>
            <w:r>
              <w:rPr>
                <w:sz w:val="20"/>
                <w:szCs w:val="20"/>
                <w:lang w:val="ro-RO"/>
              </w:rPr>
              <w:t>0</w:t>
            </w:r>
          </w:p>
        </w:tc>
        <w:tc>
          <w:tcPr>
            <w:tcW w:w="709"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ro-RO"/>
              </w:rPr>
            </w:pPr>
            <w:r>
              <w:rPr>
                <w:sz w:val="20"/>
                <w:szCs w:val="20"/>
                <w:lang w:val="ro-RO"/>
              </w:rPr>
              <w:t>0</w:t>
            </w:r>
          </w:p>
        </w:tc>
        <w:tc>
          <w:tcPr>
            <w:tcW w:w="710" w:type="dxa"/>
            <w:gridSpan w:val="3"/>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lang w:val="ro-RO"/>
              </w:rPr>
            </w:pPr>
            <w:r>
              <w:rPr>
                <w:sz w:val="20"/>
                <w:szCs w:val="20"/>
                <w:lang w:val="ro-RO"/>
              </w:rPr>
              <w:t>5</w:t>
            </w:r>
          </w:p>
        </w:tc>
        <w:tc>
          <w:tcPr>
            <w:tcW w:w="42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rPr>
            </w:pPr>
            <w:r>
              <w:rPr/>
            </w:r>
          </w:p>
        </w:tc>
      </w:tr>
      <w:tr>
        <w:trPr>
          <w:trHeight w:val="270" w:hRule="atLeast"/>
        </w:trPr>
        <w:tc>
          <w:tcPr>
            <w:tcW w:w="2419"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pPr>
            <w:r>
              <w:rPr>
                <w:sz w:val="20"/>
                <w:szCs w:val="20"/>
              </w:rPr>
              <w:t>Din ei membrii academiei</w:t>
            </w:r>
          </w:p>
        </w:tc>
        <w:tc>
          <w:tcPr>
            <w:tcW w:w="835" w:type="dxa"/>
            <w:gridSpan w:val="3"/>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pPr>
            <w:r>
              <w:rPr>
                <w:sz w:val="20"/>
                <w:szCs w:val="20"/>
              </w:rPr>
              <w:t> </w:t>
            </w:r>
            <w:r>
              <w:rPr>
                <w:sz w:val="20"/>
                <w:szCs w:val="20"/>
                <w:lang w:val="ro-RO"/>
              </w:rPr>
              <w:t>1</w:t>
            </w:r>
          </w:p>
        </w:tc>
        <w:tc>
          <w:tcPr>
            <w:tcW w:w="567"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20"/>
                <w:szCs w:val="20"/>
              </w:rPr>
              <w:t>1</w:t>
            </w:r>
          </w:p>
        </w:tc>
        <w:tc>
          <w:tcPr>
            <w:tcW w:w="57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18"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1</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85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 </w:t>
            </w:r>
          </w:p>
        </w:tc>
        <w:tc>
          <w:tcPr>
            <w:tcW w:w="710"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sz w:val="20"/>
                <w:szCs w:val="20"/>
              </w:rPr>
              <w:t>1</w:t>
            </w:r>
          </w:p>
        </w:tc>
        <w:tc>
          <w:tcPr>
            <w:tcW w:w="42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rPr>
            </w:pPr>
            <w:r>
              <w:rPr/>
            </w:r>
          </w:p>
        </w:tc>
      </w:tr>
      <w:tr>
        <w:trPr>
          <w:trHeight w:val="274" w:hRule="atLeast"/>
        </w:trPr>
        <w:tc>
          <w:tcPr>
            <w:tcW w:w="67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firstLine="200"/>
              <w:jc w:val="left"/>
              <w:textAlignment w:val="auto"/>
              <w:rPr/>
            </w:pPr>
            <w:r>
              <w:rPr>
                <w:sz w:val="20"/>
                <w:szCs w:val="20"/>
              </w:rPr>
              <w:t> </w:t>
            </w:r>
          </w:p>
        </w:tc>
        <w:tc>
          <w:tcPr>
            <w:tcW w:w="1740"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firstLine="200"/>
              <w:jc w:val="left"/>
              <w:textAlignment w:val="auto"/>
              <w:rPr/>
            </w:pPr>
            <w:r>
              <w:rPr>
                <w:sz w:val="20"/>
                <w:szCs w:val="20"/>
              </w:rPr>
              <w:t>Femei</w:t>
            </w:r>
          </w:p>
        </w:tc>
        <w:tc>
          <w:tcPr>
            <w:tcW w:w="835" w:type="dxa"/>
            <w:gridSpan w:val="3"/>
            <w:tcBorders>
              <w:bottom w:val="single" w:sz="8" w:space="0" w:color="000001"/>
              <w:right w:val="single" w:sz="8" w:space="0" w:color="000001"/>
              <w:insideH w:val="single" w:sz="8" w:space="0" w:color="000001"/>
              <w:insideV w:val="single" w:sz="8" w:space="0" w:color="000001"/>
            </w:tcBorders>
            <w:shd w:color="auto" w:fill="C0C0C0"/>
          </w:tcPr>
          <w:p>
            <w:pPr>
              <w:pStyle w:val="Normal"/>
              <w:widowControl/>
              <w:bidi w:val="0"/>
              <w:ind w:left="0" w:right="0" w:firstLine="200"/>
              <w:jc w:val="left"/>
              <w:textAlignment w:val="auto"/>
              <w:rPr/>
            </w:pPr>
            <w:r>
              <w:rPr>
                <w:sz w:val="20"/>
                <w:szCs w:val="20"/>
              </w:rPr>
              <w:t> </w:t>
            </w:r>
          </w:p>
        </w:tc>
        <w:tc>
          <w:tcPr>
            <w:tcW w:w="567" w:type="dxa"/>
            <w:gridSpan w:val="2"/>
            <w:tcBorders>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center"/>
              <w:textAlignment w:val="auto"/>
              <w:rPr/>
            </w:pPr>
            <w:r>
              <w:rPr>
                <w:sz w:val="20"/>
                <w:szCs w:val="20"/>
              </w:rPr>
              <w:t>0</w:t>
            </w:r>
          </w:p>
        </w:tc>
        <w:tc>
          <w:tcPr>
            <w:tcW w:w="573"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18"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56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850" w:type="dxa"/>
            <w:gridSpan w:val="3"/>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 </w:t>
            </w:r>
          </w:p>
        </w:tc>
        <w:tc>
          <w:tcPr>
            <w:tcW w:w="709" w:type="dxa"/>
            <w:gridSpan w:val="2"/>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20"/>
                <w:szCs w:val="20"/>
              </w:rPr>
              <w:t> </w:t>
            </w:r>
          </w:p>
        </w:tc>
        <w:tc>
          <w:tcPr>
            <w:tcW w:w="710" w:type="dxa"/>
            <w:gridSpan w:val="3"/>
            <w:tcBorders>
              <w:bottom w:val="single" w:sz="8" w:space="0" w:color="000001"/>
              <w:right w:val="single" w:sz="8" w:space="0" w:color="000001"/>
              <w:insideH w:val="single" w:sz="8" w:space="0" w:color="000001"/>
              <w:insideV w:val="single" w:sz="8" w:space="0" w:color="000001"/>
            </w:tcBorders>
            <w:shd w:color="auto" w:fill="CCFFCC"/>
          </w:tcPr>
          <w:p>
            <w:pPr>
              <w:pStyle w:val="Normal"/>
              <w:widowControl/>
              <w:bidi w:val="0"/>
              <w:ind w:left="0" w:right="0" w:hanging="0"/>
              <w:jc w:val="center"/>
              <w:textAlignment w:val="auto"/>
              <w:rPr/>
            </w:pPr>
            <w:r>
              <w:rPr>
                <w:sz w:val="20"/>
                <w:szCs w:val="20"/>
              </w:rPr>
              <w:t>0</w:t>
            </w:r>
          </w:p>
        </w:tc>
        <w:tc>
          <w:tcPr>
            <w:tcW w:w="42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rPr>
            </w:pPr>
            <w:r>
              <w:rPr/>
            </w:r>
          </w:p>
        </w:tc>
      </w:tr>
      <w:tr>
        <w:trPr>
          <w:trHeight w:val="300" w:hRule="atLeast"/>
        </w:trPr>
        <w:tc>
          <w:tcPr>
            <w:tcW w:w="679" w:type="dxa"/>
            <w:tcBorders/>
            <w:shd w:fill="auto" w:val="clear"/>
          </w:tcPr>
          <w:p>
            <w:pPr>
              <w:pStyle w:val="Normal"/>
              <w:widowControl/>
              <w:bidi w:val="0"/>
              <w:ind w:left="0" w:right="0" w:firstLine="200"/>
              <w:jc w:val="left"/>
              <w:textAlignment w:val="auto"/>
              <w:rPr>
                <w:rFonts w:ascii="Arial" w:hAnsi="Arial" w:cs="Arial"/>
                <w:sz w:val="20"/>
                <w:szCs w:val="20"/>
              </w:rPr>
            </w:pPr>
            <w:r>
              <w:rPr>
                <w:rFonts w:cs="Arial" w:ascii="Arial" w:hAnsi="Arial"/>
                <w:sz w:val="20"/>
                <w:szCs w:val="20"/>
              </w:rPr>
            </w:r>
          </w:p>
        </w:tc>
        <w:tc>
          <w:tcPr>
            <w:tcW w:w="1740" w:type="dxa"/>
            <w:tcBorders/>
            <w:shd w:fill="auto" w:val="clear"/>
          </w:tcPr>
          <w:p>
            <w:pPr>
              <w:pStyle w:val="Normal"/>
              <w:widowControl/>
              <w:bidi w:val="0"/>
              <w:ind w:left="0" w:right="0" w:firstLine="201"/>
              <w:jc w:val="left"/>
              <w:textAlignment w:val="auto"/>
              <w:rPr>
                <w:rFonts w:ascii="Arial" w:hAnsi="Arial" w:cs="Arial"/>
                <w:b/>
                <w:b/>
                <w:bCs/>
                <w:sz w:val="20"/>
                <w:szCs w:val="20"/>
              </w:rPr>
            </w:pPr>
            <w:r>
              <w:rPr>
                <w:rFonts w:cs="Arial" w:ascii="Arial" w:hAnsi="Arial"/>
                <w:b/>
                <w:bCs/>
                <w:sz w:val="20"/>
                <w:szCs w:val="20"/>
              </w:rPr>
            </w:r>
          </w:p>
        </w:tc>
        <w:tc>
          <w:tcPr>
            <w:tcW w:w="835" w:type="dxa"/>
            <w:gridSpan w:val="3"/>
            <w:tcBorders/>
            <w:shd w:fill="auto" w:val="clear"/>
          </w:tcPr>
          <w:p>
            <w:pPr>
              <w:pStyle w:val="Normal"/>
              <w:widowControl/>
              <w:bidi w:val="0"/>
              <w:ind w:left="0" w:right="0" w:firstLine="240"/>
              <w:jc w:val="left"/>
              <w:textAlignment w:val="auto"/>
              <w:rPr>
                <w:rFonts w:ascii="Arial" w:hAnsi="Arial" w:cs="Arial"/>
              </w:rPr>
            </w:pPr>
            <w:r>
              <w:rPr>
                <w:rFonts w:cs="Arial" w:ascii="Arial" w:hAnsi="Arial"/>
              </w:rPr>
            </w:r>
          </w:p>
        </w:tc>
        <w:tc>
          <w:tcPr>
            <w:tcW w:w="567" w:type="dxa"/>
            <w:gridSpan w:val="2"/>
            <w:tcBorders/>
            <w:shd w:fill="auto" w:val="clear"/>
            <w:vAlign w:val="bottom"/>
          </w:tcPr>
          <w:p>
            <w:pPr>
              <w:pStyle w:val="Normal"/>
              <w:widowControl/>
              <w:bidi w:val="0"/>
              <w:ind w:left="0" w:right="0" w:hanging="0"/>
              <w:jc w:val="center"/>
              <w:textAlignment w:val="auto"/>
              <w:rPr>
                <w:rFonts w:ascii="Arial" w:hAnsi="Arial" w:cs="Arial"/>
                <w:sz w:val="20"/>
                <w:szCs w:val="20"/>
              </w:rPr>
            </w:pPr>
            <w:r>
              <w:rPr>
                <w:rFonts w:cs="Arial" w:ascii="Arial" w:hAnsi="Arial"/>
                <w:sz w:val="20"/>
                <w:szCs w:val="20"/>
              </w:rPr>
            </w:r>
          </w:p>
        </w:tc>
        <w:tc>
          <w:tcPr>
            <w:tcW w:w="573" w:type="dxa"/>
            <w:gridSpan w:val="3"/>
            <w:tcBorders/>
            <w:shd w:fill="auto" w:val="clear"/>
            <w:vAlign w:val="bottom"/>
          </w:tcPr>
          <w:p>
            <w:pPr>
              <w:pStyle w:val="Normal"/>
              <w:widowControl/>
              <w:bidi w:val="0"/>
              <w:ind w:left="0" w:right="0" w:hanging="0"/>
              <w:jc w:val="center"/>
              <w:textAlignment w:val="auto"/>
              <w:rPr>
                <w:rFonts w:ascii="Arial" w:hAnsi="Arial" w:cs="Arial"/>
                <w:sz w:val="20"/>
                <w:szCs w:val="20"/>
              </w:rPr>
            </w:pPr>
            <w:r>
              <w:rPr>
                <w:rFonts w:cs="Arial" w:ascii="Arial" w:hAnsi="Arial"/>
                <w:sz w:val="20"/>
                <w:szCs w:val="20"/>
              </w:rPr>
            </w:r>
          </w:p>
        </w:tc>
        <w:tc>
          <w:tcPr>
            <w:tcW w:w="567" w:type="dxa"/>
            <w:tcBorders/>
            <w:shd w:fill="auto" w:val="clear"/>
            <w:vAlign w:val="bottom"/>
          </w:tcPr>
          <w:p>
            <w:pPr>
              <w:pStyle w:val="Normal"/>
              <w:widowControl/>
              <w:bidi w:val="0"/>
              <w:ind w:left="0" w:right="0" w:hanging="0"/>
              <w:jc w:val="center"/>
              <w:textAlignment w:val="auto"/>
              <w:rPr>
                <w:rFonts w:ascii="Arial" w:hAnsi="Arial" w:cs="Arial"/>
                <w:sz w:val="20"/>
                <w:szCs w:val="20"/>
              </w:rPr>
            </w:pPr>
            <w:r>
              <w:rPr>
                <w:rFonts w:cs="Arial" w:ascii="Arial" w:hAnsi="Arial"/>
                <w:sz w:val="20"/>
                <w:szCs w:val="20"/>
              </w:rPr>
            </w:r>
          </w:p>
        </w:tc>
        <w:tc>
          <w:tcPr>
            <w:tcW w:w="718" w:type="dxa"/>
            <w:gridSpan w:val="3"/>
            <w:tcBorders/>
            <w:shd w:fill="auto" w:val="clear"/>
            <w:vAlign w:val="bottom"/>
          </w:tcPr>
          <w:p>
            <w:pPr>
              <w:pStyle w:val="Normal"/>
              <w:widowControl/>
              <w:bidi w:val="0"/>
              <w:ind w:left="0" w:right="0" w:hanging="0"/>
              <w:jc w:val="center"/>
              <w:textAlignment w:val="auto"/>
              <w:rPr>
                <w:rFonts w:ascii="Arial" w:hAnsi="Arial" w:cs="Arial"/>
                <w:sz w:val="20"/>
                <w:szCs w:val="20"/>
              </w:rPr>
            </w:pPr>
            <w:r>
              <w:rPr>
                <w:rFonts w:cs="Arial" w:ascii="Arial" w:hAnsi="Arial"/>
                <w:sz w:val="20"/>
                <w:szCs w:val="20"/>
              </w:rPr>
            </w:r>
          </w:p>
        </w:tc>
        <w:tc>
          <w:tcPr>
            <w:tcW w:w="709" w:type="dxa"/>
            <w:tcBorders/>
            <w:shd w:fill="auto" w:val="clear"/>
            <w:vAlign w:val="bottom"/>
          </w:tcPr>
          <w:p>
            <w:pPr>
              <w:pStyle w:val="Normal"/>
              <w:widowControl/>
              <w:bidi w:val="0"/>
              <w:ind w:left="0" w:right="0" w:hanging="0"/>
              <w:jc w:val="center"/>
              <w:textAlignment w:val="auto"/>
              <w:rPr>
                <w:rFonts w:ascii="Arial" w:hAnsi="Arial" w:cs="Arial"/>
                <w:sz w:val="20"/>
                <w:szCs w:val="20"/>
              </w:rPr>
            </w:pPr>
            <w:r>
              <w:rPr>
                <w:rFonts w:cs="Arial" w:ascii="Arial" w:hAnsi="Arial"/>
                <w:sz w:val="20"/>
                <w:szCs w:val="20"/>
              </w:rPr>
            </w:r>
          </w:p>
        </w:tc>
        <w:tc>
          <w:tcPr>
            <w:tcW w:w="567" w:type="dxa"/>
            <w:gridSpan w:val="3"/>
            <w:tcBorders/>
            <w:shd w:fill="auto" w:val="clear"/>
            <w:vAlign w:val="bottom"/>
          </w:tcPr>
          <w:p>
            <w:pPr>
              <w:pStyle w:val="Normal"/>
              <w:widowControl/>
              <w:bidi w:val="0"/>
              <w:ind w:left="0" w:right="0" w:hanging="0"/>
              <w:jc w:val="center"/>
              <w:textAlignment w:val="auto"/>
              <w:rPr>
                <w:rFonts w:ascii="Arial" w:hAnsi="Arial" w:cs="Arial"/>
                <w:sz w:val="20"/>
                <w:szCs w:val="20"/>
              </w:rPr>
            </w:pPr>
            <w:r>
              <w:rPr>
                <w:rFonts w:cs="Arial" w:ascii="Arial" w:hAnsi="Arial"/>
                <w:sz w:val="20"/>
                <w:szCs w:val="20"/>
              </w:rPr>
            </w:r>
          </w:p>
        </w:tc>
        <w:tc>
          <w:tcPr>
            <w:tcW w:w="709" w:type="dxa"/>
            <w:gridSpan w:val="2"/>
            <w:tcBorders/>
            <w:shd w:fill="auto" w:val="clear"/>
            <w:vAlign w:val="bottom"/>
          </w:tcPr>
          <w:p>
            <w:pPr>
              <w:pStyle w:val="Normal"/>
              <w:widowControl/>
              <w:bidi w:val="0"/>
              <w:ind w:left="0" w:right="0" w:hanging="0"/>
              <w:jc w:val="center"/>
              <w:textAlignment w:val="auto"/>
              <w:rPr>
                <w:rFonts w:ascii="Arial" w:hAnsi="Arial" w:cs="Arial"/>
                <w:sz w:val="20"/>
                <w:szCs w:val="20"/>
              </w:rPr>
            </w:pPr>
            <w:r>
              <w:rPr>
                <w:rFonts w:cs="Arial" w:ascii="Arial" w:hAnsi="Arial"/>
                <w:sz w:val="20"/>
                <w:szCs w:val="20"/>
              </w:rPr>
            </w:r>
          </w:p>
        </w:tc>
        <w:tc>
          <w:tcPr>
            <w:tcW w:w="567" w:type="dxa"/>
            <w:tcBorders/>
            <w:shd w:fill="auto" w:val="clear"/>
            <w:vAlign w:val="bottom"/>
          </w:tcPr>
          <w:p>
            <w:pPr>
              <w:pStyle w:val="Normal"/>
              <w:widowControl/>
              <w:bidi w:val="0"/>
              <w:ind w:left="0" w:right="0" w:hanging="0"/>
              <w:jc w:val="center"/>
              <w:textAlignment w:val="auto"/>
              <w:rPr>
                <w:rFonts w:ascii="Arial" w:hAnsi="Arial" w:cs="Arial"/>
                <w:sz w:val="20"/>
                <w:szCs w:val="20"/>
              </w:rPr>
            </w:pPr>
            <w:r>
              <w:rPr>
                <w:rFonts w:cs="Arial" w:ascii="Arial" w:hAnsi="Arial"/>
                <w:sz w:val="20"/>
                <w:szCs w:val="20"/>
              </w:rPr>
            </w:r>
          </w:p>
        </w:tc>
        <w:tc>
          <w:tcPr>
            <w:tcW w:w="850" w:type="dxa"/>
            <w:gridSpan w:val="3"/>
            <w:tcBorders/>
            <w:shd w:fill="auto" w:val="clear"/>
            <w:vAlign w:val="bottom"/>
          </w:tcPr>
          <w:p>
            <w:pPr>
              <w:pStyle w:val="Normal"/>
              <w:widowControl/>
              <w:bidi w:val="0"/>
              <w:ind w:left="0" w:right="0" w:hanging="0"/>
              <w:jc w:val="center"/>
              <w:textAlignment w:val="auto"/>
              <w:rPr>
                <w:rFonts w:ascii="Arial" w:hAnsi="Arial" w:cs="Arial"/>
                <w:sz w:val="20"/>
                <w:szCs w:val="20"/>
              </w:rPr>
            </w:pPr>
            <w:r>
              <w:rPr>
                <w:rFonts w:cs="Arial" w:ascii="Arial" w:hAnsi="Arial"/>
                <w:sz w:val="20"/>
                <w:szCs w:val="20"/>
              </w:rPr>
            </w:r>
          </w:p>
        </w:tc>
        <w:tc>
          <w:tcPr>
            <w:tcW w:w="709" w:type="dxa"/>
            <w:gridSpan w:val="2"/>
            <w:tcBorders/>
            <w:shd w:fill="auto" w:val="clear"/>
            <w:vAlign w:val="bottom"/>
          </w:tcPr>
          <w:p>
            <w:pPr>
              <w:pStyle w:val="Normal"/>
              <w:widowControl/>
              <w:bidi w:val="0"/>
              <w:ind w:left="0" w:right="0" w:hanging="0"/>
              <w:jc w:val="center"/>
              <w:textAlignment w:val="auto"/>
              <w:rPr>
                <w:rFonts w:ascii="Arial" w:hAnsi="Arial" w:cs="Arial"/>
                <w:sz w:val="20"/>
                <w:szCs w:val="20"/>
              </w:rPr>
            </w:pPr>
            <w:r>
              <w:rPr>
                <w:rFonts w:cs="Arial" w:ascii="Arial" w:hAnsi="Arial"/>
                <w:sz w:val="20"/>
                <w:szCs w:val="20"/>
              </w:rPr>
            </w:r>
          </w:p>
        </w:tc>
        <w:tc>
          <w:tcPr>
            <w:tcW w:w="710" w:type="dxa"/>
            <w:gridSpan w:val="3"/>
            <w:tcBorders/>
            <w:shd w:fill="auto" w:val="clear"/>
            <w:vAlign w:val="bottom"/>
          </w:tcPr>
          <w:p>
            <w:pPr>
              <w:pStyle w:val="Normal"/>
              <w:widowControl/>
              <w:bidi w:val="0"/>
              <w:ind w:left="0" w:right="0" w:hanging="0"/>
              <w:jc w:val="center"/>
              <w:textAlignment w:val="auto"/>
              <w:rPr>
                <w:rFonts w:ascii="Arial" w:hAnsi="Arial" w:cs="Arial"/>
                <w:sz w:val="20"/>
                <w:szCs w:val="20"/>
              </w:rPr>
            </w:pPr>
            <w:r>
              <w:rPr>
                <w:rFonts w:cs="Arial" w:ascii="Arial" w:hAnsi="Arial"/>
                <w:sz w:val="20"/>
                <w:szCs w:val="20"/>
              </w:rPr>
            </w:r>
          </w:p>
        </w:tc>
        <w:tc>
          <w:tcPr>
            <w:tcW w:w="425" w:type="dxa"/>
            <w:tcBorders/>
            <w:shd w:fill="auto" w:val="clear"/>
          </w:tcPr>
          <w:p>
            <w:pPr>
              <w:pStyle w:val="Normal"/>
              <w:widowControl/>
              <w:bidi w:val="0"/>
              <w:ind w:left="0" w:right="0" w:hanging="0"/>
              <w:jc w:val="left"/>
              <w:textAlignment w:val="auto"/>
              <w:rPr>
                <w:rFonts w:ascii="Times New Roman" w:hAnsi="Times New Roman"/>
              </w:rPr>
            </w:pPr>
            <w:r>
              <w:rPr/>
            </w:r>
          </w:p>
        </w:tc>
      </w:tr>
      <w:tr>
        <w:trPr>
          <w:trHeight w:val="270" w:hRule="atLeast"/>
        </w:trPr>
        <w:tc>
          <w:tcPr>
            <w:tcW w:w="7664" w:type="dxa"/>
            <w:gridSpan w:val="20"/>
            <w:tcBorders>
              <w:bottom w:val="single" w:sz="8" w:space="0" w:color="000001"/>
              <w:insideH w:val="single" w:sz="8" w:space="0" w:color="000001"/>
            </w:tcBorders>
            <w:shd w:fill="auto" w:val="clear"/>
            <w:vAlign w:val="bottom"/>
          </w:tcPr>
          <w:p>
            <w:pPr>
              <w:pStyle w:val="Normal"/>
              <w:widowControl/>
              <w:bidi w:val="0"/>
              <w:ind w:left="0" w:right="0" w:hanging="0"/>
              <w:jc w:val="center"/>
              <w:textAlignment w:val="auto"/>
              <w:rPr/>
            </w:pPr>
            <w:r>
              <w:rPr>
                <w:b/>
                <w:bCs/>
                <w:sz w:val="20"/>
                <w:szCs w:val="20"/>
              </w:rPr>
              <w:t>3.2. Retribuirea muncii colaboratorilor</w:t>
            </w:r>
            <w:r>
              <w:rPr>
                <w:b/>
                <w:bCs/>
                <w:sz w:val="20"/>
                <w:szCs w:val="20"/>
                <w:lang w:val="ro-RO"/>
              </w:rPr>
              <w:t xml:space="preserve"> 2016</w:t>
            </w:r>
          </w:p>
        </w:tc>
        <w:tc>
          <w:tcPr>
            <w:tcW w:w="567" w:type="dxa"/>
            <w:tcBorders/>
            <w:shd w:fill="auto" w:val="clear"/>
            <w:vAlign w:val="bottom"/>
          </w:tcPr>
          <w:p>
            <w:pPr>
              <w:pStyle w:val="Normal"/>
              <w:widowControl/>
              <w:bidi w:val="0"/>
              <w:ind w:left="0" w:right="0" w:hanging="0"/>
              <w:jc w:val="center"/>
              <w:textAlignment w:val="auto"/>
              <w:rPr>
                <w:rFonts w:ascii="Arial" w:hAnsi="Arial" w:cs="Arial"/>
                <w:b/>
                <w:b/>
                <w:bCs/>
                <w:sz w:val="20"/>
                <w:szCs w:val="20"/>
              </w:rPr>
            </w:pPr>
            <w:r>
              <w:rPr>
                <w:rFonts w:cs="Arial" w:ascii="Arial" w:hAnsi="Arial"/>
                <w:b/>
                <w:bCs/>
                <w:sz w:val="20"/>
                <w:szCs w:val="20"/>
              </w:rPr>
            </w:r>
          </w:p>
        </w:tc>
        <w:tc>
          <w:tcPr>
            <w:tcW w:w="850" w:type="dxa"/>
            <w:gridSpan w:val="3"/>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709" w:type="dxa"/>
            <w:gridSpan w:val="2"/>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710" w:type="dxa"/>
            <w:gridSpan w:val="3"/>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425"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rFonts w:ascii="Times New Roman" w:hAnsi="Times New Roman"/>
              </w:rPr>
            </w:pPr>
            <w:r>
              <w:rPr/>
            </w:r>
          </w:p>
        </w:tc>
      </w:tr>
      <w:tr>
        <w:trPr>
          <w:trHeight w:val="372" w:hRule="atLeast"/>
        </w:trPr>
        <w:tc>
          <w:tcPr>
            <w:tcW w:w="3128" w:type="dxa"/>
            <w:gridSpan w:val="4"/>
            <w:vMerge w:val="restart"/>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pPr>
            <w:r>
              <w:rPr>
                <w:sz w:val="20"/>
                <w:szCs w:val="20"/>
              </w:rPr>
              <w:t>Categorii de personal</w:t>
            </w:r>
          </w:p>
        </w:tc>
        <w:tc>
          <w:tcPr>
            <w:tcW w:w="4536" w:type="dxa"/>
            <w:gridSpan w:val="16"/>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rFonts w:cs="Times New Roman CE" w:ascii="Times New Roman CE" w:hAnsi="Times New Roman CE"/>
                <w:b/>
                <w:bCs/>
                <w:sz w:val="20"/>
                <w:szCs w:val="20"/>
                <w:lang w:val="en-US"/>
              </w:rPr>
              <w:t xml:space="preserve">Salariul mediu lunar calculat </w:t>
            </w:r>
            <w:r>
              <w:rPr/>
              <w:br/>
            </w:r>
            <w:r>
              <w:rPr>
                <w:rFonts w:cs="Times New Roman CE" w:ascii="Times New Roman CE" w:hAnsi="Times New Roman CE"/>
                <w:b/>
                <w:bCs/>
                <w:sz w:val="20"/>
                <w:szCs w:val="20"/>
                <w:lang w:val="en-US"/>
              </w:rPr>
              <w:t xml:space="preserve">(cu sporuri şi premii) </w:t>
            </w:r>
            <w:r>
              <w:rPr>
                <w:b/>
                <w:bCs/>
                <w:color w:val="FF0000"/>
                <w:sz w:val="20"/>
                <w:szCs w:val="20"/>
                <w:lang w:val="en-US"/>
              </w:rPr>
              <w:t xml:space="preserve"> per unitate</w:t>
            </w:r>
            <w:r>
              <w:rPr>
                <w:b/>
                <w:bCs/>
                <w:sz w:val="20"/>
                <w:szCs w:val="20"/>
                <w:lang w:val="en-US"/>
              </w:rPr>
              <w:t>, lei</w:t>
            </w:r>
          </w:p>
        </w:tc>
        <w:tc>
          <w:tcPr>
            <w:tcW w:w="567" w:type="dxa"/>
            <w:tcBorders/>
            <w:shd w:fill="auto" w:val="clear"/>
            <w:vAlign w:val="bottom"/>
          </w:tcPr>
          <w:p>
            <w:pPr>
              <w:pStyle w:val="Normal"/>
              <w:widowControl/>
              <w:bidi w:val="0"/>
              <w:ind w:left="0" w:right="0" w:hanging="0"/>
              <w:jc w:val="left"/>
              <w:textAlignment w:val="auto"/>
              <w:rPr>
                <w:rFonts w:ascii="Arial" w:hAnsi="Arial" w:cs="Arial"/>
                <w:sz w:val="20"/>
                <w:szCs w:val="20"/>
                <w:lang w:val="en-US"/>
              </w:rPr>
            </w:pPr>
            <w:r>
              <w:rPr>
                <w:rFonts w:cs="Arial" w:ascii="Arial" w:hAnsi="Arial"/>
                <w:sz w:val="20"/>
                <w:szCs w:val="20"/>
                <w:lang w:val="en-US"/>
              </w:rPr>
            </w:r>
          </w:p>
        </w:tc>
        <w:tc>
          <w:tcPr>
            <w:tcW w:w="850"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rPr>
            </w:pPr>
            <w:r>
              <w:rPr>
                <w:rFonts w:cs="Arial" w:ascii="Arial" w:hAnsi="Arial"/>
                <w:sz w:val="20"/>
                <w:szCs w:val="20"/>
                <w:lang w:val="en-US"/>
              </w:rPr>
            </w:r>
          </w:p>
        </w:tc>
        <w:tc>
          <w:tcPr>
            <w:tcW w:w="709" w:type="dxa"/>
            <w:gridSpan w:val="2"/>
            <w:tcBorders/>
            <w:shd w:fill="auto" w:val="clear"/>
            <w:vAlign w:val="bottom"/>
          </w:tcPr>
          <w:p>
            <w:pPr>
              <w:pStyle w:val="Normal"/>
              <w:widowControl/>
              <w:bidi w:val="0"/>
              <w:ind w:left="0" w:right="0" w:hanging="0"/>
              <w:jc w:val="left"/>
              <w:textAlignment w:val="auto"/>
              <w:rPr>
                <w:rFonts w:ascii="Arial" w:hAnsi="Arial" w:cs="Arial"/>
                <w:sz w:val="20"/>
                <w:szCs w:val="20"/>
                <w:lang w:val="en-US"/>
              </w:rPr>
            </w:pPr>
            <w:r>
              <w:rPr>
                <w:rFonts w:cs="Arial" w:ascii="Arial" w:hAnsi="Arial"/>
                <w:sz w:val="20"/>
                <w:szCs w:val="20"/>
                <w:lang w:val="en-US"/>
              </w:rPr>
            </w:r>
          </w:p>
        </w:tc>
        <w:tc>
          <w:tcPr>
            <w:tcW w:w="710" w:type="dxa"/>
            <w:gridSpan w:val="3"/>
            <w:tcBorders/>
            <w:shd w:fill="auto" w:val="clear"/>
            <w:vAlign w:val="bottom"/>
          </w:tcPr>
          <w:p>
            <w:pPr>
              <w:pStyle w:val="Normal"/>
              <w:widowControl/>
              <w:bidi w:val="0"/>
              <w:ind w:left="0" w:right="0" w:hanging="0"/>
              <w:jc w:val="left"/>
              <w:textAlignment w:val="auto"/>
              <w:rPr>
                <w:rFonts w:ascii="Arial" w:hAnsi="Arial" w:cs="Arial"/>
                <w:sz w:val="20"/>
                <w:szCs w:val="20"/>
                <w:lang w:val="en-US"/>
              </w:rPr>
            </w:pPr>
            <w:r>
              <w:rPr>
                <w:rFonts w:cs="Arial" w:ascii="Arial" w:hAnsi="Arial"/>
                <w:sz w:val="20"/>
                <w:szCs w:val="20"/>
                <w:lang w:val="en-US"/>
              </w:rPr>
            </w:r>
          </w:p>
        </w:tc>
        <w:tc>
          <w:tcPr>
            <w:tcW w:w="425" w:type="dxa"/>
            <w:vMerge w:val="restart"/>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rFonts w:ascii="Times New Roman" w:hAnsi="Times New Roman"/>
                <w:lang w:val="en-US"/>
              </w:rPr>
            </w:pPr>
            <w:r>
              <w:rPr>
                <w:lang w:val="en-US"/>
              </w:rPr>
            </w:r>
          </w:p>
        </w:tc>
      </w:tr>
      <w:tr>
        <w:trPr>
          <w:trHeight w:val="180" w:hRule="atLeast"/>
        </w:trPr>
        <w:tc>
          <w:tcPr>
            <w:tcW w:w="3128" w:type="dxa"/>
            <w:gridSpan w:val="4"/>
            <w:vMerge w:val="continue"/>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en-US"/>
              </w:rPr>
            </w:pPr>
            <w:r>
              <w:rPr>
                <w:sz w:val="20"/>
                <w:szCs w:val="20"/>
                <w:lang w:val="en-US"/>
              </w:rPr>
            </w:r>
          </w:p>
        </w:tc>
        <w:tc>
          <w:tcPr>
            <w:tcW w:w="4536" w:type="dxa"/>
            <w:gridSpan w:val="16"/>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Tipul de angajare</w:t>
            </w:r>
          </w:p>
        </w:tc>
        <w:tc>
          <w:tcPr>
            <w:tcW w:w="567" w:type="dxa"/>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850" w:type="dxa"/>
            <w:gridSpan w:val="3"/>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709" w:type="dxa"/>
            <w:gridSpan w:val="2"/>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710" w:type="dxa"/>
            <w:gridSpan w:val="3"/>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425" w:type="dxa"/>
            <w:vMerge w:val="continue"/>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rPr>
            </w:pPr>
            <w:r>
              <w:rPr/>
            </w:r>
          </w:p>
        </w:tc>
      </w:tr>
      <w:tr>
        <w:trPr>
          <w:trHeight w:val="332" w:hRule="atLeast"/>
        </w:trPr>
        <w:tc>
          <w:tcPr>
            <w:tcW w:w="3128" w:type="dxa"/>
            <w:gridSpan w:val="4"/>
            <w:vMerge w:val="continue"/>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rPr>
            </w:pPr>
            <w:r>
              <w:rPr>
                <w:sz w:val="20"/>
                <w:szCs w:val="20"/>
              </w:rPr>
            </w:r>
          </w:p>
        </w:tc>
        <w:tc>
          <w:tcPr>
            <w:tcW w:w="992"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rFonts w:cs="Times New Roman CE" w:ascii="Times New Roman CE" w:hAnsi="Times New Roman CE"/>
                <w:sz w:val="20"/>
                <w:szCs w:val="20"/>
              </w:rPr>
              <w:t>De bază</w:t>
            </w:r>
          </w:p>
        </w:tc>
        <w:tc>
          <w:tcPr>
            <w:tcW w:w="1118"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pPr>
            <w:r>
              <w:rPr>
                <w:sz w:val="20"/>
                <w:szCs w:val="20"/>
              </w:rPr>
              <w:t>Cumul intern</w:t>
            </w:r>
          </w:p>
        </w:tc>
        <w:tc>
          <w:tcPr>
            <w:tcW w:w="1417"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20"/>
                <w:szCs w:val="20"/>
              </w:rPr>
              <w:t>Cumul extern</w:t>
            </w:r>
          </w:p>
        </w:tc>
        <w:tc>
          <w:tcPr>
            <w:tcW w:w="1009"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rFonts w:cs="Times New Roman CE" w:ascii="Times New Roman CE" w:hAnsi="Times New Roman CE"/>
                <w:sz w:val="20"/>
                <w:szCs w:val="20"/>
              </w:rPr>
              <w:t>Acord de muncă</w:t>
            </w:r>
          </w:p>
        </w:tc>
        <w:tc>
          <w:tcPr>
            <w:tcW w:w="567" w:type="dxa"/>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850" w:type="dxa"/>
            <w:gridSpan w:val="3"/>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709" w:type="dxa"/>
            <w:gridSpan w:val="2"/>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710" w:type="dxa"/>
            <w:gridSpan w:val="3"/>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425" w:type="dxa"/>
            <w:vMerge w:val="continue"/>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rPr>
            </w:pPr>
            <w:r>
              <w:rPr/>
            </w:r>
          </w:p>
        </w:tc>
      </w:tr>
      <w:tr>
        <w:trPr>
          <w:trHeight w:val="223" w:hRule="atLeast"/>
        </w:trPr>
        <w:tc>
          <w:tcPr>
            <w:tcW w:w="3128"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pPr>
            <w:r>
              <w:rPr>
                <w:rFonts w:cs="Times New Roman CE" w:ascii="Times New Roman CE" w:hAnsi="Times New Roman CE"/>
                <w:sz w:val="20"/>
                <w:szCs w:val="20"/>
              </w:rPr>
              <w:t>Şef de subdiviziune</w:t>
            </w:r>
          </w:p>
        </w:tc>
        <w:tc>
          <w:tcPr>
            <w:tcW w:w="992"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ro-RO"/>
              </w:rPr>
            </w:pPr>
            <w:r>
              <w:rPr>
                <w:sz w:val="18"/>
                <w:szCs w:val="18"/>
                <w:lang w:val="ro-RO"/>
              </w:rPr>
              <w:t>5</w:t>
            </w:r>
            <w:r>
              <w:rPr>
                <w:sz w:val="18"/>
                <w:szCs w:val="18"/>
              </w:rPr>
              <w:t>7</w:t>
            </w:r>
            <w:r>
              <w:rPr>
                <w:sz w:val="18"/>
                <w:szCs w:val="18"/>
                <w:lang w:val="ro-RO"/>
              </w:rPr>
              <w:t>64</w:t>
            </w:r>
            <w:r>
              <w:rPr>
                <w:sz w:val="18"/>
                <w:szCs w:val="18"/>
              </w:rPr>
              <w:t>,</w:t>
            </w:r>
            <w:r>
              <w:rPr>
                <w:sz w:val="18"/>
                <w:szCs w:val="18"/>
                <w:lang w:val="ro-RO"/>
              </w:rPr>
              <w:t>51</w:t>
            </w:r>
          </w:p>
        </w:tc>
        <w:tc>
          <w:tcPr>
            <w:tcW w:w="1118"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ro-RO"/>
              </w:rPr>
            </w:pPr>
            <w:r>
              <w:rPr>
                <w:sz w:val="18"/>
                <w:szCs w:val="18"/>
                <w:lang w:val="ro-RO"/>
              </w:rPr>
              <w:t>808,0</w:t>
            </w:r>
            <w:r>
              <w:rPr>
                <w:sz w:val="18"/>
                <w:szCs w:val="18"/>
              </w:rPr>
              <w:t> </w:t>
            </w:r>
          </w:p>
        </w:tc>
        <w:tc>
          <w:tcPr>
            <w:tcW w:w="1417"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1009"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567" w:type="dxa"/>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850" w:type="dxa"/>
            <w:gridSpan w:val="3"/>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709" w:type="dxa"/>
            <w:gridSpan w:val="2"/>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710" w:type="dxa"/>
            <w:gridSpan w:val="3"/>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42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rPr>
            </w:pPr>
            <w:r>
              <w:rPr/>
            </w:r>
          </w:p>
        </w:tc>
      </w:tr>
      <w:tr>
        <w:trPr>
          <w:trHeight w:val="99" w:hRule="atLeast"/>
        </w:trPr>
        <w:tc>
          <w:tcPr>
            <w:tcW w:w="3128"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pPr>
            <w:r>
              <w:rPr>
                <w:rFonts w:cs="Times New Roman CE" w:ascii="Times New Roman CE" w:hAnsi="Times New Roman CE"/>
                <w:sz w:val="20"/>
                <w:szCs w:val="20"/>
              </w:rPr>
              <w:t>Consultanţi ştiinţifici</w:t>
            </w:r>
          </w:p>
        </w:tc>
        <w:tc>
          <w:tcPr>
            <w:tcW w:w="992"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1118"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1417"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1009"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567" w:type="dxa"/>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850" w:type="dxa"/>
            <w:gridSpan w:val="3"/>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709" w:type="dxa"/>
            <w:gridSpan w:val="2"/>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710" w:type="dxa"/>
            <w:gridSpan w:val="3"/>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42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rPr>
            </w:pPr>
            <w:r>
              <w:rPr/>
            </w:r>
          </w:p>
        </w:tc>
      </w:tr>
      <w:tr>
        <w:trPr>
          <w:trHeight w:val="131" w:hRule="atLeast"/>
        </w:trPr>
        <w:tc>
          <w:tcPr>
            <w:tcW w:w="3128"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pPr>
            <w:r>
              <w:rPr>
                <w:rFonts w:cs="Times New Roman CE" w:ascii="Times New Roman CE" w:hAnsi="Times New Roman CE"/>
                <w:sz w:val="20"/>
                <w:szCs w:val="20"/>
              </w:rPr>
              <w:t>Cercetători ştiinţifici principali</w:t>
            </w:r>
          </w:p>
        </w:tc>
        <w:tc>
          <w:tcPr>
            <w:tcW w:w="992"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10</w:t>
            </w:r>
            <w:r>
              <w:rPr>
                <w:sz w:val="18"/>
                <w:szCs w:val="18"/>
                <w:lang w:val="ro-RO"/>
              </w:rPr>
              <w:t>113</w:t>
            </w:r>
            <w:r>
              <w:rPr>
                <w:sz w:val="18"/>
                <w:szCs w:val="18"/>
              </w:rPr>
              <w:t>,</w:t>
            </w:r>
            <w:r>
              <w:rPr>
                <w:sz w:val="18"/>
                <w:szCs w:val="18"/>
                <w:lang w:val="ro-RO"/>
              </w:rPr>
              <w:t>72</w:t>
            </w:r>
          </w:p>
        </w:tc>
        <w:tc>
          <w:tcPr>
            <w:tcW w:w="1118"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1417"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1009"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567" w:type="dxa"/>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850" w:type="dxa"/>
            <w:gridSpan w:val="3"/>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709" w:type="dxa"/>
            <w:gridSpan w:val="2"/>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710" w:type="dxa"/>
            <w:gridSpan w:val="3"/>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42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rPr>
            </w:pPr>
            <w:r>
              <w:rPr/>
            </w:r>
          </w:p>
        </w:tc>
      </w:tr>
      <w:tr>
        <w:trPr>
          <w:trHeight w:val="270" w:hRule="atLeast"/>
        </w:trPr>
        <w:tc>
          <w:tcPr>
            <w:tcW w:w="3128"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pPr>
            <w:r>
              <w:rPr>
                <w:rFonts w:cs="Times New Roman CE" w:ascii="Times New Roman CE" w:hAnsi="Times New Roman CE"/>
                <w:sz w:val="20"/>
                <w:szCs w:val="20"/>
              </w:rPr>
              <w:t>Cercetător i ştiinţific coordonatori</w:t>
            </w:r>
          </w:p>
        </w:tc>
        <w:tc>
          <w:tcPr>
            <w:tcW w:w="992"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ro-RO"/>
              </w:rPr>
            </w:pPr>
            <w:r>
              <w:rPr>
                <w:sz w:val="18"/>
                <w:szCs w:val="18"/>
                <w:lang w:val="ro-RO"/>
              </w:rPr>
              <w:t>6464</w:t>
            </w:r>
            <w:r>
              <w:rPr>
                <w:sz w:val="18"/>
                <w:szCs w:val="18"/>
              </w:rPr>
              <w:t>,</w:t>
            </w:r>
            <w:r>
              <w:rPr>
                <w:sz w:val="18"/>
                <w:szCs w:val="18"/>
                <w:lang w:val="ro-RO"/>
              </w:rPr>
              <w:t>5</w:t>
            </w:r>
          </w:p>
        </w:tc>
        <w:tc>
          <w:tcPr>
            <w:tcW w:w="1118"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1417"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1009"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sz w:val="18"/>
                <w:szCs w:val="18"/>
              </w:rPr>
            </w:pPr>
            <w:r>
              <w:rPr>
                <w:sz w:val="18"/>
                <w:szCs w:val="18"/>
              </w:rPr>
            </w:r>
          </w:p>
        </w:tc>
        <w:tc>
          <w:tcPr>
            <w:tcW w:w="567" w:type="dxa"/>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850" w:type="dxa"/>
            <w:gridSpan w:val="3"/>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709" w:type="dxa"/>
            <w:gridSpan w:val="2"/>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710" w:type="dxa"/>
            <w:gridSpan w:val="3"/>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42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rPr>
            </w:pPr>
            <w:r>
              <w:rPr/>
            </w:r>
          </w:p>
        </w:tc>
      </w:tr>
      <w:tr>
        <w:trPr>
          <w:trHeight w:val="167" w:hRule="atLeast"/>
        </w:trPr>
        <w:tc>
          <w:tcPr>
            <w:tcW w:w="3128"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pPr>
            <w:r>
              <w:rPr>
                <w:rFonts w:cs="Times New Roman CE" w:ascii="Times New Roman CE" w:hAnsi="Times New Roman CE"/>
                <w:sz w:val="20"/>
                <w:szCs w:val="20"/>
              </w:rPr>
              <w:t>Cercetători ştiinţifici s</w:t>
            </w:r>
            <w:r>
              <w:rPr>
                <w:sz w:val="20"/>
                <w:szCs w:val="20"/>
              </w:rPr>
              <w:t>uperiori</w:t>
            </w:r>
          </w:p>
        </w:tc>
        <w:tc>
          <w:tcPr>
            <w:tcW w:w="992"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1118"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ro-RO"/>
              </w:rPr>
            </w:pPr>
            <w:r>
              <w:rPr>
                <w:sz w:val="18"/>
                <w:szCs w:val="18"/>
                <w:lang w:val="ro-RO"/>
              </w:rPr>
              <w:t>1473,9</w:t>
            </w:r>
            <w:r>
              <w:rPr>
                <w:sz w:val="18"/>
                <w:szCs w:val="18"/>
              </w:rPr>
              <w:t> </w:t>
            </w:r>
          </w:p>
        </w:tc>
        <w:tc>
          <w:tcPr>
            <w:tcW w:w="1417"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18"/>
                <w:szCs w:val="18"/>
                <w:lang w:val="ro-RO"/>
              </w:rPr>
            </w:pPr>
            <w:r>
              <w:rPr>
                <w:sz w:val="18"/>
                <w:szCs w:val="18"/>
                <w:lang w:val="ro-RO"/>
              </w:rPr>
            </w:r>
          </w:p>
        </w:tc>
        <w:tc>
          <w:tcPr>
            <w:tcW w:w="1009"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sz w:val="18"/>
                <w:szCs w:val="18"/>
              </w:rPr>
            </w:pPr>
            <w:r>
              <w:rPr>
                <w:sz w:val="18"/>
                <w:szCs w:val="18"/>
              </w:rPr>
            </w:r>
          </w:p>
        </w:tc>
        <w:tc>
          <w:tcPr>
            <w:tcW w:w="567" w:type="dxa"/>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850" w:type="dxa"/>
            <w:gridSpan w:val="3"/>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709" w:type="dxa"/>
            <w:gridSpan w:val="2"/>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710" w:type="dxa"/>
            <w:gridSpan w:val="3"/>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42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rPr>
            </w:pPr>
            <w:r>
              <w:rPr/>
            </w:r>
          </w:p>
        </w:tc>
      </w:tr>
      <w:tr>
        <w:trPr>
          <w:trHeight w:val="238" w:hRule="atLeast"/>
        </w:trPr>
        <w:tc>
          <w:tcPr>
            <w:tcW w:w="3128"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pPr>
            <w:r>
              <w:rPr>
                <w:rFonts w:cs="Times New Roman CE" w:ascii="Times New Roman CE" w:hAnsi="Times New Roman CE"/>
                <w:sz w:val="20"/>
                <w:szCs w:val="20"/>
              </w:rPr>
              <w:t>Cercetători ştiinţifici</w:t>
            </w:r>
          </w:p>
        </w:tc>
        <w:tc>
          <w:tcPr>
            <w:tcW w:w="992"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3</w:t>
            </w:r>
            <w:r>
              <w:rPr>
                <w:sz w:val="18"/>
                <w:szCs w:val="18"/>
                <w:lang w:val="ro-RO"/>
              </w:rPr>
              <w:t>103</w:t>
            </w:r>
            <w:r>
              <w:rPr>
                <w:sz w:val="18"/>
                <w:szCs w:val="18"/>
              </w:rPr>
              <w:t>,</w:t>
            </w:r>
            <w:r>
              <w:rPr>
                <w:sz w:val="18"/>
                <w:szCs w:val="18"/>
                <w:lang w:val="ro-RO"/>
              </w:rPr>
              <w:t>4</w:t>
            </w:r>
          </w:p>
        </w:tc>
        <w:tc>
          <w:tcPr>
            <w:tcW w:w="1118"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ro-RO"/>
              </w:rPr>
            </w:pPr>
            <w:r>
              <w:rPr>
                <w:sz w:val="18"/>
                <w:szCs w:val="18"/>
                <w:lang w:val="ro-RO"/>
              </w:rPr>
              <w:t>808,0</w:t>
            </w:r>
            <w:r>
              <w:rPr>
                <w:sz w:val="18"/>
                <w:szCs w:val="18"/>
              </w:rPr>
              <w:t> </w:t>
            </w:r>
          </w:p>
        </w:tc>
        <w:tc>
          <w:tcPr>
            <w:tcW w:w="1417"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18"/>
                <w:szCs w:val="18"/>
              </w:rPr>
            </w:pPr>
            <w:r>
              <w:rPr>
                <w:sz w:val="18"/>
                <w:szCs w:val="18"/>
              </w:rPr>
            </w:r>
          </w:p>
        </w:tc>
        <w:tc>
          <w:tcPr>
            <w:tcW w:w="1009"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sz w:val="18"/>
                <w:szCs w:val="18"/>
                <w:lang w:val="ro-RO"/>
              </w:rPr>
            </w:pPr>
            <w:r>
              <w:rPr>
                <w:sz w:val="18"/>
                <w:szCs w:val="18"/>
                <w:lang w:val="ro-RO"/>
              </w:rPr>
            </w:r>
          </w:p>
        </w:tc>
        <w:tc>
          <w:tcPr>
            <w:tcW w:w="567" w:type="dxa"/>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850" w:type="dxa"/>
            <w:gridSpan w:val="3"/>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709" w:type="dxa"/>
            <w:gridSpan w:val="2"/>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710" w:type="dxa"/>
            <w:gridSpan w:val="3"/>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42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rPr>
            </w:pPr>
            <w:r>
              <w:rPr/>
            </w:r>
          </w:p>
        </w:tc>
      </w:tr>
      <w:tr>
        <w:trPr>
          <w:trHeight w:val="89" w:hRule="atLeast"/>
        </w:trPr>
        <w:tc>
          <w:tcPr>
            <w:tcW w:w="3128"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pPr>
            <w:r>
              <w:rPr>
                <w:rFonts w:cs="Times New Roman CE" w:ascii="Times New Roman CE" w:hAnsi="Times New Roman CE"/>
                <w:sz w:val="20"/>
                <w:szCs w:val="20"/>
              </w:rPr>
              <w:t>Cercetători ştiinţifici stagiari</w:t>
            </w:r>
          </w:p>
        </w:tc>
        <w:tc>
          <w:tcPr>
            <w:tcW w:w="992"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ro-RO"/>
              </w:rPr>
            </w:pPr>
            <w:r>
              <w:rPr>
                <w:sz w:val="18"/>
                <w:szCs w:val="18"/>
                <w:lang w:val="ro-RO"/>
              </w:rPr>
              <w:t xml:space="preserve">   </w:t>
            </w:r>
            <w:r>
              <w:rPr>
                <w:sz w:val="18"/>
                <w:szCs w:val="18"/>
                <w:lang w:val="ro-RO"/>
              </w:rPr>
              <w:t>3390,71</w:t>
            </w:r>
            <w:r>
              <w:rPr>
                <w:sz w:val="18"/>
                <w:szCs w:val="18"/>
              </w:rPr>
              <w:t> </w:t>
            </w:r>
          </w:p>
        </w:tc>
        <w:tc>
          <w:tcPr>
            <w:tcW w:w="1118"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1417"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1009"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sz w:val="18"/>
                <w:szCs w:val="18"/>
              </w:rPr>
            </w:pPr>
            <w:r>
              <w:rPr>
                <w:sz w:val="18"/>
                <w:szCs w:val="18"/>
              </w:rPr>
            </w:r>
          </w:p>
        </w:tc>
        <w:tc>
          <w:tcPr>
            <w:tcW w:w="567" w:type="dxa"/>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850" w:type="dxa"/>
            <w:gridSpan w:val="3"/>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709" w:type="dxa"/>
            <w:gridSpan w:val="2"/>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710" w:type="dxa"/>
            <w:gridSpan w:val="3"/>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42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rPr>
            </w:pPr>
            <w:r>
              <w:rPr/>
            </w:r>
          </w:p>
        </w:tc>
      </w:tr>
      <w:tr>
        <w:trPr>
          <w:trHeight w:val="263" w:hRule="atLeast"/>
        </w:trPr>
        <w:tc>
          <w:tcPr>
            <w:tcW w:w="3128" w:type="dxa"/>
            <w:gridSpan w:val="4"/>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rPr>
              <w:t>Ingineri şi spec</w:t>
            </w:r>
            <w:r>
              <w:rPr>
                <w:sz w:val="20"/>
                <w:szCs w:val="20"/>
                <w:lang w:val="en-US"/>
              </w:rPr>
              <w:t>. cu studii superioare</w:t>
            </w:r>
          </w:p>
        </w:tc>
        <w:tc>
          <w:tcPr>
            <w:tcW w:w="992"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ro-RO"/>
              </w:rPr>
            </w:pPr>
            <w:r>
              <w:rPr>
                <w:sz w:val="18"/>
                <w:szCs w:val="18"/>
                <w:lang w:val="ro-RO"/>
              </w:rPr>
              <w:t xml:space="preserve">  </w:t>
            </w:r>
            <w:r>
              <w:rPr>
                <w:sz w:val="18"/>
                <w:szCs w:val="18"/>
                <w:lang w:val="ro-RO"/>
              </w:rPr>
              <w:t>1265</w:t>
            </w:r>
            <w:r>
              <w:rPr>
                <w:sz w:val="18"/>
                <w:szCs w:val="18"/>
              </w:rPr>
              <w:t>,</w:t>
            </w:r>
            <w:r>
              <w:rPr>
                <w:sz w:val="18"/>
                <w:szCs w:val="18"/>
                <w:lang w:val="ro-RO"/>
              </w:rPr>
              <w:t>74</w:t>
            </w:r>
          </w:p>
        </w:tc>
        <w:tc>
          <w:tcPr>
            <w:tcW w:w="1118" w:type="dxa"/>
            <w:gridSpan w:val="3"/>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1417"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ro-RO"/>
              </w:rPr>
            </w:pPr>
            <w:r>
              <w:rPr>
                <w:sz w:val="18"/>
                <w:szCs w:val="18"/>
                <w:lang w:val="ro-RO"/>
              </w:rPr>
              <w:t>876,3</w:t>
            </w:r>
          </w:p>
        </w:tc>
        <w:tc>
          <w:tcPr>
            <w:tcW w:w="1009"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sz w:val="18"/>
                <w:szCs w:val="18"/>
              </w:rPr>
            </w:pPr>
            <w:r>
              <w:rPr>
                <w:sz w:val="18"/>
                <w:szCs w:val="18"/>
              </w:rPr>
            </w:r>
          </w:p>
        </w:tc>
        <w:tc>
          <w:tcPr>
            <w:tcW w:w="567" w:type="dxa"/>
            <w:tcBorders/>
            <w:shd w:fill="auto" w:val="clear"/>
            <w:vAlign w:val="bottom"/>
          </w:tcPr>
          <w:p>
            <w:pPr>
              <w:pStyle w:val="Normal"/>
              <w:widowControl/>
              <w:bidi w:val="0"/>
              <w:ind w:left="0" w:right="0" w:hanging="0"/>
              <w:jc w:val="left"/>
              <w:textAlignment w:val="auto"/>
              <w:rPr>
                <w:rFonts w:ascii="Arial" w:hAnsi="Arial" w:cs="Arial"/>
                <w:sz w:val="20"/>
                <w:szCs w:val="20"/>
                <w:lang w:val="ro-RO"/>
              </w:rPr>
            </w:pPr>
            <w:r>
              <w:rPr>
                <w:rFonts w:cs="Arial" w:ascii="Arial" w:hAnsi="Arial"/>
                <w:sz w:val="20"/>
                <w:szCs w:val="20"/>
                <w:lang w:val="ro-RO"/>
              </w:rPr>
            </w:r>
          </w:p>
        </w:tc>
        <w:tc>
          <w:tcPr>
            <w:tcW w:w="850" w:type="dxa"/>
            <w:gridSpan w:val="3"/>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709" w:type="dxa"/>
            <w:gridSpan w:val="2"/>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710" w:type="dxa"/>
            <w:gridSpan w:val="3"/>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42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rFonts w:ascii="Times New Roman" w:hAnsi="Times New Roman"/>
              </w:rPr>
            </w:pPr>
            <w:r>
              <w:rPr/>
            </w:r>
          </w:p>
        </w:tc>
      </w:tr>
      <w:tr>
        <w:trPr>
          <w:trHeight w:val="95" w:hRule="atLeast"/>
        </w:trPr>
        <w:tc>
          <w:tcPr>
            <w:tcW w:w="3124"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pPr>
            <w:r>
              <w:rPr>
                <w:sz w:val="20"/>
                <w:szCs w:val="20"/>
              </w:rPr>
              <w:t>Personal auxiliar</w:t>
            </w:r>
          </w:p>
        </w:tc>
        <w:tc>
          <w:tcPr>
            <w:tcW w:w="993"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ro-RO"/>
              </w:rPr>
            </w:pPr>
            <w:r>
              <w:rPr>
                <w:sz w:val="18"/>
                <w:szCs w:val="18"/>
                <w:lang w:val="ro-RO"/>
              </w:rPr>
              <w:t xml:space="preserve">  </w:t>
            </w:r>
            <w:r>
              <w:rPr>
                <w:sz w:val="18"/>
                <w:szCs w:val="18"/>
                <w:lang w:val="ro-RO"/>
              </w:rPr>
              <w:t>2647,31</w:t>
            </w:r>
          </w:p>
        </w:tc>
        <w:tc>
          <w:tcPr>
            <w:tcW w:w="1125"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1418"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pPr>
            <w:r>
              <w:rPr>
                <w:sz w:val="18"/>
                <w:szCs w:val="18"/>
              </w:rPr>
              <w:t> </w:t>
            </w:r>
          </w:p>
        </w:tc>
        <w:tc>
          <w:tcPr>
            <w:tcW w:w="1003" w:type="dxa"/>
            <w:gridSpan w:val="2"/>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pPr>
            <w:r>
              <w:rPr>
                <w:sz w:val="18"/>
                <w:szCs w:val="18"/>
              </w:rPr>
              <w:t> </w:t>
            </w:r>
          </w:p>
        </w:tc>
        <w:tc>
          <w:tcPr>
            <w:tcW w:w="1272" w:type="dxa"/>
            <w:gridSpan w:val="4"/>
            <w:tcBorders/>
            <w:shd w:fill="auto" w:val="clear"/>
            <w:vAlign w:val="bottom"/>
          </w:tcPr>
          <w:p>
            <w:pPr>
              <w:pStyle w:val="Normal"/>
              <w:widowControl/>
              <w:bidi w:val="0"/>
              <w:ind w:left="0" w:right="0" w:hanging="0"/>
              <w:jc w:val="left"/>
              <w:textAlignment w:val="auto"/>
              <w:rPr>
                <w:rFonts w:ascii="Arial" w:hAnsi="Arial" w:cs="Arial"/>
                <w:sz w:val="20"/>
                <w:szCs w:val="20"/>
                <w:lang w:val="ro-RO"/>
              </w:rPr>
            </w:pPr>
            <w:r>
              <w:rPr>
                <w:rFonts w:cs="Arial" w:ascii="Arial" w:hAnsi="Arial"/>
                <w:sz w:val="20"/>
                <w:szCs w:val="20"/>
                <w:lang w:val="ro-RO"/>
              </w:rPr>
            </w:r>
          </w:p>
        </w:tc>
        <w:tc>
          <w:tcPr>
            <w:tcW w:w="713" w:type="dxa"/>
            <w:gridSpan w:val="2"/>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567" w:type="dxa"/>
            <w:gridSpan w:val="2"/>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710" w:type="dxa"/>
            <w:gridSpan w:val="3"/>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r>
      <w:tr>
        <w:trPr>
          <w:trHeight w:val="95" w:hRule="atLeast"/>
        </w:trPr>
        <w:tc>
          <w:tcPr>
            <w:tcW w:w="3124" w:type="dxa"/>
            <w:gridSpan w:val="3"/>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left"/>
              <w:textAlignment w:val="auto"/>
              <w:rPr>
                <w:lang w:val="ro-RO"/>
              </w:rPr>
            </w:pPr>
            <w:r>
              <w:rPr>
                <w:rFonts w:cs="Times New Roman CE" w:ascii="Times New Roman CE" w:hAnsi="Times New Roman CE"/>
                <w:sz w:val="20"/>
                <w:szCs w:val="20"/>
                <w:lang w:val="ro-RO"/>
              </w:rPr>
              <w:t>Alte categorii de salariaţi</w:t>
            </w:r>
          </w:p>
        </w:tc>
        <w:tc>
          <w:tcPr>
            <w:tcW w:w="993"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ro-RO"/>
              </w:rPr>
            </w:pPr>
            <w:r>
              <w:rPr>
                <w:sz w:val="18"/>
                <w:szCs w:val="18"/>
                <w:lang w:val="ro-RO"/>
              </w:rPr>
              <w:t xml:space="preserve">  </w:t>
            </w:r>
            <w:r>
              <w:rPr>
                <w:sz w:val="18"/>
                <w:szCs w:val="18"/>
                <w:lang w:val="ro-RO"/>
              </w:rPr>
              <w:t>1937,02</w:t>
            </w:r>
          </w:p>
        </w:tc>
        <w:tc>
          <w:tcPr>
            <w:tcW w:w="1125" w:type="dxa"/>
            <w:gridSpan w:val="5"/>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sz w:val="18"/>
                <w:szCs w:val="18"/>
              </w:rPr>
            </w:pPr>
            <w:r>
              <w:rPr>
                <w:sz w:val="18"/>
                <w:szCs w:val="18"/>
              </w:rPr>
            </w:r>
          </w:p>
        </w:tc>
        <w:tc>
          <w:tcPr>
            <w:tcW w:w="1418" w:type="dxa"/>
            <w:gridSpan w:val="4"/>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18"/>
                <w:szCs w:val="18"/>
              </w:rPr>
            </w:pPr>
            <w:r>
              <w:rPr>
                <w:sz w:val="18"/>
                <w:szCs w:val="18"/>
              </w:rPr>
            </w:r>
          </w:p>
        </w:tc>
        <w:tc>
          <w:tcPr>
            <w:tcW w:w="1003" w:type="dxa"/>
            <w:gridSpan w:val="2"/>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rFonts w:ascii="Times New Roman" w:hAnsi="Times New Roman"/>
                <w:sz w:val="18"/>
                <w:szCs w:val="18"/>
              </w:rPr>
            </w:pPr>
            <w:r>
              <w:rPr>
                <w:sz w:val="18"/>
                <w:szCs w:val="18"/>
              </w:rPr>
            </w:r>
          </w:p>
        </w:tc>
        <w:tc>
          <w:tcPr>
            <w:tcW w:w="1272" w:type="dxa"/>
            <w:gridSpan w:val="4"/>
            <w:tcBorders/>
            <w:shd w:fill="auto" w:val="clear"/>
            <w:vAlign w:val="bottom"/>
          </w:tcPr>
          <w:p>
            <w:pPr>
              <w:pStyle w:val="Normal"/>
              <w:widowControl/>
              <w:bidi w:val="0"/>
              <w:ind w:left="0" w:right="0" w:hanging="0"/>
              <w:jc w:val="left"/>
              <w:textAlignment w:val="auto"/>
              <w:rPr>
                <w:rFonts w:ascii="Arial" w:hAnsi="Arial" w:cs="Arial"/>
                <w:sz w:val="20"/>
                <w:szCs w:val="20"/>
                <w:lang w:val="ro-RO"/>
              </w:rPr>
            </w:pPr>
            <w:r>
              <w:rPr>
                <w:rFonts w:cs="Arial" w:ascii="Arial" w:hAnsi="Arial"/>
                <w:sz w:val="20"/>
                <w:szCs w:val="20"/>
                <w:lang w:val="ro-RO"/>
              </w:rPr>
            </w:r>
          </w:p>
        </w:tc>
        <w:tc>
          <w:tcPr>
            <w:tcW w:w="713" w:type="dxa"/>
            <w:gridSpan w:val="2"/>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567" w:type="dxa"/>
            <w:gridSpan w:val="2"/>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c>
          <w:tcPr>
            <w:tcW w:w="710" w:type="dxa"/>
            <w:gridSpan w:val="3"/>
            <w:tcBorders/>
            <w:shd w:fill="auto" w:val="clear"/>
            <w:vAlign w:val="bottom"/>
          </w:tcPr>
          <w:p>
            <w:pPr>
              <w:pStyle w:val="Normal"/>
              <w:widowControl/>
              <w:bidi w:val="0"/>
              <w:ind w:left="0" w:right="0" w:hanging="0"/>
              <w:jc w:val="left"/>
              <w:textAlignment w:val="auto"/>
              <w:rPr>
                <w:rFonts w:ascii="Arial" w:hAnsi="Arial" w:cs="Arial"/>
                <w:sz w:val="20"/>
                <w:szCs w:val="20"/>
              </w:rPr>
            </w:pPr>
            <w:r>
              <w:rPr>
                <w:rFonts w:cs="Arial" w:ascii="Arial" w:hAnsi="Arial"/>
                <w:sz w:val="20"/>
                <w:szCs w:val="20"/>
              </w:rPr>
            </w:r>
          </w:p>
        </w:tc>
      </w:tr>
    </w:tbl>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tbl>
      <w:tblPr>
        <w:tblW w:w="10490" w:type="dxa"/>
        <w:jc w:val="left"/>
        <w:tblInd w:w="-109"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0" w:type="dxa"/>
          <w:left w:w="98" w:type="dxa"/>
          <w:bottom w:w="0" w:type="dxa"/>
          <w:right w:w="108" w:type="dxa"/>
        </w:tblCellMar>
      </w:tblPr>
      <w:tblGrid>
        <w:gridCol w:w="1129"/>
        <w:gridCol w:w="8652"/>
        <w:gridCol w:w="709"/>
      </w:tblGrid>
      <w:tr>
        <w:trPr>
          <w:trHeight w:val="300" w:hRule="atLeast"/>
        </w:trPr>
        <w:tc>
          <w:tcPr>
            <w:tcW w:w="9781"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rFonts w:cs="Times New Roman CE" w:ascii="Times New Roman CE" w:hAnsi="Times New Roman CE"/>
                <w:b/>
                <w:bCs/>
                <w:color w:val="000000"/>
                <w:sz w:val="20"/>
                <w:szCs w:val="20"/>
                <w:lang w:val="fr-FR" w:eastAsia="en-US"/>
              </w:rPr>
              <w:t>5. PERFORMANŢĂ ŞI VIZIBILITATE LA NIVEL INTERNAŢIONAL</w:t>
            </w:r>
          </w:p>
        </w:tc>
        <w:tc>
          <w:tcPr>
            <w:tcW w:w="709" w:type="dxa"/>
            <w:tcBorders>
              <w:top w:val="single" w:sz="8" w:space="0" w:color="000001"/>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center"/>
              <w:textAlignment w:val="auto"/>
              <w:rPr>
                <w:lang w:val="en-US"/>
              </w:rPr>
            </w:pPr>
            <w:r>
              <w:rPr>
                <w:b/>
                <w:bCs/>
                <w:sz w:val="20"/>
                <w:szCs w:val="20"/>
                <w:lang w:val="en-US" w:eastAsia="en-US"/>
              </w:rPr>
              <w:t>2016</w:t>
            </w:r>
          </w:p>
        </w:tc>
      </w:tr>
      <w:tr>
        <w:trPr>
          <w:trHeight w:val="270" w:hRule="atLeast"/>
        </w:trPr>
        <w:tc>
          <w:tcPr>
            <w:tcW w:w="112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 </w:t>
            </w:r>
          </w:p>
        </w:tc>
        <w:tc>
          <w:tcPr>
            <w:tcW w:w="9361" w:type="dxa"/>
            <w:gridSpan w:val="2"/>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lang w:val="en-US"/>
              </w:rPr>
            </w:pPr>
            <w:r>
              <w:rPr>
                <w:rFonts w:cs="Times New Roman CE" w:ascii="Times New Roman CE" w:hAnsi="Times New Roman CE"/>
                <w:b/>
                <w:bCs/>
                <w:sz w:val="20"/>
                <w:szCs w:val="20"/>
                <w:lang w:val="en-US" w:eastAsia="en-US"/>
              </w:rPr>
              <w:t>5.1. Publicaţii în străinătate</w:t>
            </w:r>
          </w:p>
        </w:tc>
      </w:tr>
      <w:tr>
        <w:trPr>
          <w:trHeight w:val="255" w:hRule="atLeast"/>
        </w:trPr>
        <w:tc>
          <w:tcPr>
            <w:tcW w:w="1129" w:type="dxa"/>
            <w:vMerge w:val="restart"/>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5.1.1.</w:t>
            </w:r>
          </w:p>
        </w:tc>
        <w:tc>
          <w:tcPr>
            <w:tcW w:w="8652"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Monografii în ediţii internaţionale, incluse în una din trei sisteme de citare  Web of Science:</w:t>
            </w:r>
          </w:p>
        </w:tc>
        <w:tc>
          <w:tcPr>
            <w:tcW w:w="709"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55" w:hRule="atLeast"/>
        </w:trPr>
        <w:tc>
          <w:tcPr>
            <w:tcW w:w="1129" w:type="dxa"/>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c>
          <w:tcPr>
            <w:tcW w:w="9361" w:type="dxa"/>
            <w:gridSpan w:val="2"/>
            <w:tcBorders>
              <w:top w:val="single" w:sz="8" w:space="0" w:color="000001"/>
              <w:right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Science Citation Index Expanded (baz</w:t>
            </w:r>
            <w:r>
              <w:rPr>
                <w:rFonts w:cs="Times New Roman CE" w:ascii="Times New Roman CE" w:hAnsi="Times New Roman CE"/>
                <w:sz w:val="20"/>
                <w:szCs w:val="20"/>
                <w:lang w:val="fr-FR" w:eastAsia="en-US"/>
              </w:rPr>
              <w:t>a de date pentru ştiinţele naturale şi exacte)</w:t>
            </w:r>
          </w:p>
        </w:tc>
      </w:tr>
      <w:tr>
        <w:trPr>
          <w:trHeight w:val="255" w:hRule="atLeast"/>
        </w:trPr>
        <w:tc>
          <w:tcPr>
            <w:tcW w:w="1129" w:type="dxa"/>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fr-FR" w:eastAsia="en-US"/>
              </w:rPr>
            </w:pPr>
            <w:r>
              <w:rPr>
                <w:sz w:val="20"/>
                <w:szCs w:val="20"/>
                <w:lang w:val="fr-FR" w:eastAsia="en-US"/>
              </w:rPr>
            </w:r>
          </w:p>
        </w:tc>
        <w:tc>
          <w:tcPr>
            <w:tcW w:w="9361" w:type="dxa"/>
            <w:gridSpan w:val="2"/>
            <w:tcBorders>
              <w:bottom w:val="single" w:sz="4" w:space="0" w:color="000001"/>
              <w:right w:val="single" w:sz="8" w:space="0" w:color="000001"/>
              <w:insideH w:val="single" w:sz="4" w:space="0" w:color="000001"/>
              <w:insideV w:val="single" w:sz="8" w:space="0" w:color="000001"/>
            </w:tcBorders>
            <w:shd w:fill="auto" w:val="clear"/>
            <w:vAlign w:val="bottom"/>
          </w:tcPr>
          <w:p>
            <w:pPr>
              <w:pStyle w:val="Normal"/>
              <w:widowControl/>
              <w:bidi w:val="0"/>
              <w:ind w:left="0" w:right="0" w:hanging="0"/>
              <w:jc w:val="left"/>
              <w:textAlignment w:val="auto"/>
              <w:rPr/>
            </w:pPr>
            <w:hyperlink r:id="rId123">
              <w:r>
                <w:rPr>
                  <w:webHidden/>
                  <w:rStyle w:val="Style5"/>
                  <w:color w:val="0000FF"/>
                  <w:sz w:val="20"/>
                  <w:u w:val="single"/>
                  <w:lang w:val="fr-FR" w:eastAsia="en-US"/>
                </w:rPr>
                <w:t>http://science.thomsonreuters.com/cgi-bin/jrnlst/jloptions.cgi?PC=D</w:t>
              </w:r>
            </w:hyperlink>
          </w:p>
        </w:tc>
      </w:tr>
      <w:tr>
        <w:trPr>
          <w:trHeight w:val="255" w:hRule="atLeast"/>
        </w:trPr>
        <w:tc>
          <w:tcPr>
            <w:tcW w:w="1129" w:type="dxa"/>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fr-FR" w:eastAsia="en-US"/>
              </w:rPr>
            </w:pPr>
            <w:r>
              <w:rPr>
                <w:sz w:val="20"/>
                <w:szCs w:val="20"/>
                <w:lang w:val="fr-FR" w:eastAsia="en-US"/>
              </w:rPr>
            </w:r>
          </w:p>
        </w:tc>
        <w:tc>
          <w:tcPr>
            <w:tcW w:w="9361" w:type="dxa"/>
            <w:gridSpan w:val="2"/>
            <w:tcBorders>
              <w:top w:val="single" w:sz="4" w:space="0" w:color="000001"/>
              <w:right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 xml:space="preserve">Social Sciences Citation Index (baza de date pentru </w:t>
            </w:r>
            <w:r>
              <w:rPr>
                <w:rFonts w:cs="Times New Roman CE" w:ascii="Times New Roman CE" w:hAnsi="Times New Roman CE"/>
                <w:sz w:val="20"/>
                <w:szCs w:val="20"/>
                <w:lang w:val="fr-FR" w:eastAsia="en-US"/>
              </w:rPr>
              <w:t>ştiinţele sociale)</w:t>
            </w:r>
          </w:p>
        </w:tc>
      </w:tr>
      <w:tr>
        <w:trPr>
          <w:trHeight w:val="255" w:hRule="atLeast"/>
        </w:trPr>
        <w:tc>
          <w:tcPr>
            <w:tcW w:w="1129" w:type="dxa"/>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fr-FR" w:eastAsia="en-US"/>
              </w:rPr>
            </w:pPr>
            <w:r>
              <w:rPr>
                <w:sz w:val="20"/>
                <w:szCs w:val="20"/>
                <w:lang w:val="fr-FR" w:eastAsia="en-US"/>
              </w:rPr>
            </w:r>
          </w:p>
        </w:tc>
        <w:tc>
          <w:tcPr>
            <w:tcW w:w="9361" w:type="dxa"/>
            <w:gridSpan w:val="2"/>
            <w:tcBorders>
              <w:bottom w:val="single" w:sz="4" w:space="0" w:color="000001"/>
              <w:right w:val="single" w:sz="8" w:space="0" w:color="000001"/>
              <w:insideH w:val="single" w:sz="4" w:space="0" w:color="000001"/>
              <w:insideV w:val="single" w:sz="8" w:space="0" w:color="000001"/>
            </w:tcBorders>
            <w:shd w:fill="auto" w:val="clear"/>
            <w:vAlign w:val="bottom"/>
          </w:tcPr>
          <w:p>
            <w:pPr>
              <w:pStyle w:val="Normal"/>
              <w:widowControl/>
              <w:bidi w:val="0"/>
              <w:ind w:left="0" w:right="0" w:hanging="0"/>
              <w:jc w:val="left"/>
              <w:textAlignment w:val="auto"/>
              <w:rPr/>
            </w:pPr>
            <w:hyperlink r:id="rId124">
              <w:r>
                <w:rPr>
                  <w:webHidden/>
                  <w:rStyle w:val="Style5"/>
                  <w:color w:val="0000FF"/>
                  <w:sz w:val="20"/>
                  <w:u w:val="single"/>
                  <w:lang w:val="fr-FR" w:eastAsia="en-US"/>
                </w:rPr>
                <w:t>http://science.thomsonreuters.com/cgi-bin/jrnlst/jloptions.cgi?PC=SS</w:t>
              </w:r>
            </w:hyperlink>
          </w:p>
        </w:tc>
      </w:tr>
      <w:tr>
        <w:trPr>
          <w:trHeight w:val="255" w:hRule="atLeast"/>
        </w:trPr>
        <w:tc>
          <w:tcPr>
            <w:tcW w:w="1129" w:type="dxa"/>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fr-FR" w:eastAsia="en-US"/>
              </w:rPr>
            </w:pPr>
            <w:r>
              <w:rPr>
                <w:sz w:val="20"/>
                <w:szCs w:val="20"/>
                <w:lang w:val="fr-FR" w:eastAsia="en-US"/>
              </w:rPr>
            </w:r>
          </w:p>
        </w:tc>
        <w:tc>
          <w:tcPr>
            <w:tcW w:w="9361" w:type="dxa"/>
            <w:gridSpan w:val="2"/>
            <w:tcBorders>
              <w:top w:val="single" w:sz="4" w:space="0" w:color="000001"/>
              <w:right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Arts and Humanities Citation Index (baza de date pentru ştiinţele artei şi uma</w:t>
            </w:r>
            <w:r>
              <w:rPr>
                <w:sz w:val="20"/>
                <w:szCs w:val="20"/>
                <w:lang w:val="en-US" w:eastAsia="en-US"/>
              </w:rPr>
              <w:t>niste)</w:t>
            </w:r>
          </w:p>
        </w:tc>
      </w:tr>
      <w:tr>
        <w:trPr>
          <w:trHeight w:val="255" w:hRule="atLeast"/>
        </w:trPr>
        <w:tc>
          <w:tcPr>
            <w:tcW w:w="1129" w:type="dxa"/>
            <w:vMerge w:val="continue"/>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c>
          <w:tcPr>
            <w:tcW w:w="9361" w:type="dxa"/>
            <w:gridSpan w:val="2"/>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u w:val="single"/>
                <w:lang w:val="en-US" w:eastAsia="en-US"/>
              </w:rPr>
              <w:t>http://science.thomsonreuters.com/cgi-bin/jrnlst/jloptions.cgi?PC=H</w:t>
            </w:r>
          </w:p>
        </w:tc>
      </w:tr>
      <w:tr>
        <w:trPr>
          <w:trHeight w:val="255" w:hRule="atLeast"/>
        </w:trPr>
        <w:tc>
          <w:tcPr>
            <w:tcW w:w="112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5.1.2.</w:t>
            </w:r>
          </w:p>
        </w:tc>
        <w:tc>
          <w:tcPr>
            <w:tcW w:w="8652"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Monografii în alte ediţii din străinătate </w:t>
            </w:r>
          </w:p>
        </w:tc>
        <w:tc>
          <w:tcPr>
            <w:tcW w:w="709"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r>
      <w:tr>
        <w:trPr>
          <w:trHeight w:val="255" w:hRule="atLeast"/>
        </w:trPr>
        <w:tc>
          <w:tcPr>
            <w:tcW w:w="112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5.1.3.</w:t>
            </w:r>
          </w:p>
        </w:tc>
        <w:tc>
          <w:tcPr>
            <w:tcW w:w="8652"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Capitole în monografii şi rapoarte la invitaţie în culegeri de lucrări la conferinţe internaţionale</w:t>
            </w:r>
          </w:p>
        </w:tc>
        <w:tc>
          <w:tcPr>
            <w:tcW w:w="70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rFonts w:ascii="Times New Roman" w:hAnsi="Times New Roman"/>
                <w:sz w:val="20"/>
                <w:szCs w:val="20"/>
                <w:lang w:val="fr-FR" w:eastAsia="en-US"/>
              </w:rPr>
            </w:pPr>
            <w:r>
              <w:rPr>
                <w:sz w:val="20"/>
                <w:szCs w:val="20"/>
                <w:lang w:val="fr-FR" w:eastAsia="en-US"/>
              </w:rPr>
            </w:r>
          </w:p>
        </w:tc>
      </w:tr>
      <w:tr>
        <w:trPr>
          <w:trHeight w:val="255" w:hRule="atLeast"/>
        </w:trPr>
        <w:tc>
          <w:tcPr>
            <w:tcW w:w="112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5.1.4.</w:t>
            </w:r>
          </w:p>
        </w:tc>
        <w:tc>
          <w:tcPr>
            <w:tcW w:w="8652"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Cărţi de specialitate pentru învăţământul universitar, editate în stăinătate</w:t>
            </w:r>
          </w:p>
        </w:tc>
        <w:tc>
          <w:tcPr>
            <w:tcW w:w="70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55" w:hRule="atLeast"/>
        </w:trPr>
        <w:tc>
          <w:tcPr>
            <w:tcW w:w="112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5.1.5.</w:t>
            </w:r>
          </w:p>
        </w:tc>
        <w:tc>
          <w:tcPr>
            <w:tcW w:w="8652"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Articole în reviste cu factor de impact mai mare de 3</w:t>
            </w:r>
          </w:p>
        </w:tc>
        <w:tc>
          <w:tcPr>
            <w:tcW w:w="70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55" w:hRule="atLeast"/>
        </w:trPr>
        <w:tc>
          <w:tcPr>
            <w:tcW w:w="112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5.1.6.</w:t>
            </w:r>
          </w:p>
        </w:tc>
        <w:tc>
          <w:tcPr>
            <w:tcW w:w="8652"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Articole în reviste cu factor de impact 1,0-2,9</w:t>
            </w:r>
          </w:p>
        </w:tc>
        <w:tc>
          <w:tcPr>
            <w:tcW w:w="70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55" w:hRule="atLeast"/>
        </w:trPr>
        <w:tc>
          <w:tcPr>
            <w:tcW w:w="112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5.1.7.</w:t>
            </w:r>
          </w:p>
        </w:tc>
        <w:tc>
          <w:tcPr>
            <w:tcW w:w="8652"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Articole în reviste cu factor de impact 0,1-0.9</w:t>
            </w:r>
          </w:p>
        </w:tc>
        <w:tc>
          <w:tcPr>
            <w:tcW w:w="70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1 </w:t>
            </w:r>
          </w:p>
        </w:tc>
      </w:tr>
      <w:tr>
        <w:trPr>
          <w:trHeight w:val="255" w:hRule="atLeast"/>
        </w:trPr>
        <w:tc>
          <w:tcPr>
            <w:tcW w:w="112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5.1.8.</w:t>
            </w:r>
          </w:p>
        </w:tc>
        <w:tc>
          <w:tcPr>
            <w:tcW w:w="8652"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Articole în reviste cu factor de impact 0,01- 0,09</w:t>
            </w:r>
          </w:p>
        </w:tc>
        <w:tc>
          <w:tcPr>
            <w:tcW w:w="70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55" w:hRule="atLeast"/>
        </w:trPr>
        <w:tc>
          <w:tcPr>
            <w:tcW w:w="112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fr-FR"/>
              </w:rPr>
            </w:pPr>
            <w:r>
              <w:rPr>
                <w:sz w:val="20"/>
                <w:szCs w:val="20"/>
                <w:lang w:val="fr-FR" w:eastAsia="en-US"/>
              </w:rPr>
              <w:t> </w:t>
            </w:r>
          </w:p>
        </w:tc>
        <w:tc>
          <w:tcPr>
            <w:tcW w:w="8652"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 xml:space="preserve">      </w:t>
            </w:r>
            <w:r>
              <w:rPr>
                <w:sz w:val="20"/>
                <w:szCs w:val="20"/>
                <w:lang w:val="fr-FR" w:eastAsia="en-US"/>
              </w:rPr>
              <w:t>Inclusiv articole numai cu autori autohtoni, publicate în reviste cu factor de impact</w:t>
            </w:r>
          </w:p>
        </w:tc>
        <w:tc>
          <w:tcPr>
            <w:tcW w:w="70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55" w:hRule="atLeast"/>
        </w:trPr>
        <w:tc>
          <w:tcPr>
            <w:tcW w:w="112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5.1.9.</w:t>
            </w:r>
          </w:p>
        </w:tc>
        <w:tc>
          <w:tcPr>
            <w:tcW w:w="8652"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Articole în alte reviste editate în străinătate </w:t>
            </w:r>
          </w:p>
        </w:tc>
        <w:tc>
          <w:tcPr>
            <w:tcW w:w="70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1</w:t>
            </w:r>
          </w:p>
        </w:tc>
      </w:tr>
      <w:tr>
        <w:trPr>
          <w:trHeight w:val="255" w:hRule="atLeast"/>
        </w:trPr>
        <w:tc>
          <w:tcPr>
            <w:tcW w:w="112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5.1.10.</w:t>
            </w:r>
          </w:p>
        </w:tc>
        <w:tc>
          <w:tcPr>
            <w:tcW w:w="8652"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 xml:space="preserve">Articole în culegeri </w:t>
            </w:r>
          </w:p>
        </w:tc>
        <w:tc>
          <w:tcPr>
            <w:tcW w:w="70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w:t>
            </w:r>
          </w:p>
        </w:tc>
      </w:tr>
      <w:tr>
        <w:trPr>
          <w:trHeight w:val="255" w:hRule="atLeast"/>
        </w:trPr>
        <w:tc>
          <w:tcPr>
            <w:tcW w:w="112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5.1.11.</w:t>
            </w:r>
          </w:p>
        </w:tc>
        <w:tc>
          <w:tcPr>
            <w:tcW w:w="8652"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Pub</w:t>
            </w:r>
            <w:r>
              <w:rPr>
                <w:rFonts w:cs="Times New Roman CE" w:ascii="Times New Roman CE" w:hAnsi="Times New Roman CE"/>
                <w:sz w:val="20"/>
                <w:szCs w:val="20"/>
                <w:lang w:val="en-US" w:eastAsia="en-US"/>
              </w:rPr>
              <w:t>licaţii ştiinţifice electronice</w:t>
            </w:r>
          </w:p>
        </w:tc>
        <w:tc>
          <w:tcPr>
            <w:tcW w:w="70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55" w:hRule="atLeast"/>
        </w:trPr>
        <w:tc>
          <w:tcPr>
            <w:tcW w:w="112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5.1.12.</w:t>
            </w:r>
          </w:p>
        </w:tc>
        <w:tc>
          <w:tcPr>
            <w:tcW w:w="8652"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Rezumate la conferinţe ştiinţifice internaţionale</w:t>
            </w:r>
          </w:p>
        </w:tc>
        <w:tc>
          <w:tcPr>
            <w:tcW w:w="70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w:t>
            </w:r>
          </w:p>
        </w:tc>
      </w:tr>
      <w:tr>
        <w:trPr>
          <w:trHeight w:val="255" w:hRule="atLeast"/>
        </w:trPr>
        <w:tc>
          <w:tcPr>
            <w:tcW w:w="112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center"/>
          </w:tcPr>
          <w:p>
            <w:pPr>
              <w:pStyle w:val="Normal"/>
              <w:widowControl/>
              <w:bidi w:val="0"/>
              <w:ind w:left="0" w:right="0" w:hanging="0"/>
              <w:jc w:val="center"/>
              <w:textAlignment w:val="auto"/>
              <w:rPr>
                <w:lang w:val="en-US"/>
              </w:rPr>
            </w:pPr>
            <w:r>
              <w:rPr>
                <w:sz w:val="20"/>
                <w:szCs w:val="20"/>
                <w:lang w:val="en-US" w:eastAsia="en-US"/>
              </w:rPr>
              <w:t>5.1.13.</w:t>
            </w:r>
          </w:p>
        </w:tc>
        <w:tc>
          <w:tcPr>
            <w:tcW w:w="8652"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Preprint-uri internaţionale</w:t>
            </w:r>
          </w:p>
        </w:tc>
        <w:tc>
          <w:tcPr>
            <w:tcW w:w="709"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55" w:hRule="atLeast"/>
        </w:trPr>
        <w:tc>
          <w:tcPr>
            <w:tcW w:w="112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 </w:t>
            </w:r>
          </w:p>
        </w:tc>
        <w:tc>
          <w:tcPr>
            <w:tcW w:w="9361" w:type="dxa"/>
            <w:gridSpan w:val="2"/>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lang w:val="en-US"/>
              </w:rPr>
            </w:pPr>
            <w:r>
              <w:rPr>
                <w:rFonts w:cs="Times New Roman CE" w:ascii="Times New Roman CE" w:hAnsi="Times New Roman CE"/>
                <w:b/>
                <w:bCs/>
                <w:sz w:val="20"/>
                <w:szCs w:val="20"/>
                <w:lang w:val="en-US" w:eastAsia="en-US"/>
              </w:rPr>
              <w:t>5.2. Impactul internaţional al cercetărilor şi elaborărilor</w:t>
            </w:r>
          </w:p>
        </w:tc>
      </w:tr>
      <w:tr>
        <w:trPr>
          <w:trHeight w:val="255" w:hRule="atLeast"/>
        </w:trPr>
        <w:tc>
          <w:tcPr>
            <w:tcW w:w="112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5.2.1.</w:t>
            </w:r>
          </w:p>
        </w:tc>
        <w:tc>
          <w:tcPr>
            <w:tcW w:w="8652"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Contracte de licenţă în baza invenţiilor şi know-ho</w:t>
            </w:r>
            <w:r>
              <w:rPr>
                <w:sz w:val="20"/>
                <w:szCs w:val="20"/>
                <w:lang w:val="en-US" w:eastAsia="en-US"/>
              </w:rPr>
              <w:t xml:space="preserve">w </w:t>
            </w:r>
          </w:p>
        </w:tc>
        <w:tc>
          <w:tcPr>
            <w:tcW w:w="70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510" w:hRule="atLeast"/>
        </w:trPr>
        <w:tc>
          <w:tcPr>
            <w:tcW w:w="112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5.2.2.</w:t>
            </w:r>
          </w:p>
        </w:tc>
        <w:tc>
          <w:tcPr>
            <w:tcW w:w="8652"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Proiecte de cercetare obţinute prin competiţie de la organizaţiile din străinătate, cu un volum de finanţare &gt;100 mii EU</w:t>
            </w:r>
          </w:p>
        </w:tc>
        <w:tc>
          <w:tcPr>
            <w:tcW w:w="70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510" w:hRule="atLeast"/>
        </w:trPr>
        <w:tc>
          <w:tcPr>
            <w:tcW w:w="112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5.2.3.</w:t>
            </w:r>
          </w:p>
        </w:tc>
        <w:tc>
          <w:tcPr>
            <w:tcW w:w="8652"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Proiecte de cercetare obţinute prin competiţie de la organizaţiile din străinătate, cu un volum de finanţare &lt;10</w:t>
            </w:r>
            <w:r>
              <w:rPr>
                <w:sz w:val="20"/>
                <w:szCs w:val="20"/>
                <w:lang w:val="fr-FR" w:eastAsia="en-US"/>
              </w:rPr>
              <w:t>0 mii EU</w:t>
            </w:r>
          </w:p>
        </w:tc>
        <w:tc>
          <w:tcPr>
            <w:tcW w:w="70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rFonts w:ascii="Times New Roman" w:hAnsi="Times New Roman"/>
                <w:sz w:val="20"/>
                <w:szCs w:val="20"/>
                <w:lang w:val="fr-FR" w:eastAsia="en-US"/>
              </w:rPr>
            </w:pPr>
            <w:r>
              <w:rPr>
                <w:sz w:val="20"/>
                <w:szCs w:val="20"/>
                <w:lang w:val="fr-FR" w:eastAsia="en-US"/>
              </w:rPr>
            </w:r>
          </w:p>
        </w:tc>
      </w:tr>
      <w:tr>
        <w:trPr>
          <w:trHeight w:val="255" w:hRule="atLeast"/>
        </w:trPr>
        <w:tc>
          <w:tcPr>
            <w:tcW w:w="112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5.2.4.</w:t>
            </w:r>
          </w:p>
        </w:tc>
        <w:tc>
          <w:tcPr>
            <w:tcW w:w="8652"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Premii din străinătate pentru  rezultatele cercetării</w:t>
            </w:r>
          </w:p>
        </w:tc>
        <w:tc>
          <w:tcPr>
            <w:tcW w:w="70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55" w:hRule="atLeast"/>
        </w:trPr>
        <w:tc>
          <w:tcPr>
            <w:tcW w:w="112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5.2.5.</w:t>
            </w:r>
          </w:p>
        </w:tc>
        <w:tc>
          <w:tcPr>
            <w:tcW w:w="8652"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Brevete obţinute în străinătate</w:t>
            </w:r>
          </w:p>
        </w:tc>
        <w:tc>
          <w:tcPr>
            <w:tcW w:w="70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55" w:hRule="atLeast"/>
        </w:trPr>
        <w:tc>
          <w:tcPr>
            <w:tcW w:w="112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5.2.6.</w:t>
            </w:r>
          </w:p>
        </w:tc>
        <w:tc>
          <w:tcPr>
            <w:tcW w:w="8652"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Rapoarte (comunicări orale) la invitaţie la conferinţe internaţionale</w:t>
            </w:r>
          </w:p>
        </w:tc>
        <w:tc>
          <w:tcPr>
            <w:tcW w:w="70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rFonts w:ascii="Times New Roman" w:hAnsi="Times New Roman"/>
                <w:sz w:val="20"/>
                <w:szCs w:val="20"/>
                <w:lang w:val="fr-FR" w:eastAsia="en-US"/>
              </w:rPr>
            </w:pPr>
            <w:r>
              <w:rPr>
                <w:sz w:val="20"/>
                <w:szCs w:val="20"/>
                <w:lang w:val="fr-FR" w:eastAsia="en-US"/>
              </w:rPr>
            </w:r>
          </w:p>
        </w:tc>
      </w:tr>
      <w:tr>
        <w:trPr>
          <w:trHeight w:val="255" w:hRule="atLeast"/>
        </w:trPr>
        <w:tc>
          <w:tcPr>
            <w:tcW w:w="112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5.2.7.</w:t>
            </w:r>
          </w:p>
        </w:tc>
        <w:tc>
          <w:tcPr>
            <w:tcW w:w="8652"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Menţiuni ale publicaţiilor şi rezultatelor cercetării în ediţii electronice internaţionale</w:t>
            </w:r>
          </w:p>
        </w:tc>
        <w:tc>
          <w:tcPr>
            <w:tcW w:w="70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55" w:hRule="atLeast"/>
        </w:trPr>
        <w:tc>
          <w:tcPr>
            <w:tcW w:w="112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5.2.8.</w:t>
            </w:r>
          </w:p>
        </w:tc>
        <w:tc>
          <w:tcPr>
            <w:tcW w:w="8652"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 xml:space="preserve">Medalii </w:t>
            </w:r>
            <w:r>
              <w:rPr>
                <w:b/>
                <w:bCs/>
                <w:sz w:val="20"/>
                <w:szCs w:val="20"/>
                <w:lang w:val="fr-FR" w:eastAsia="en-US"/>
              </w:rPr>
              <w:t>de aur</w:t>
            </w:r>
            <w:r>
              <w:rPr>
                <w:rFonts w:cs="Times New Roman CE" w:ascii="Times New Roman CE" w:hAnsi="Times New Roman CE"/>
                <w:sz w:val="20"/>
                <w:szCs w:val="20"/>
                <w:lang w:val="fr-FR" w:eastAsia="en-US"/>
              </w:rPr>
              <w:t xml:space="preserve"> obţinute la expoziţii şi saloane internaţionale </w:t>
            </w:r>
          </w:p>
        </w:tc>
        <w:tc>
          <w:tcPr>
            <w:tcW w:w="70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55" w:hRule="atLeast"/>
        </w:trPr>
        <w:tc>
          <w:tcPr>
            <w:tcW w:w="112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5.2.9.</w:t>
            </w:r>
          </w:p>
        </w:tc>
        <w:tc>
          <w:tcPr>
            <w:tcW w:w="8652"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 xml:space="preserve">Medalii </w:t>
            </w:r>
            <w:r>
              <w:rPr>
                <w:b/>
                <w:bCs/>
                <w:sz w:val="20"/>
                <w:szCs w:val="20"/>
                <w:lang w:val="fr-FR" w:eastAsia="en-US"/>
              </w:rPr>
              <w:t>de argint</w:t>
            </w:r>
            <w:r>
              <w:rPr>
                <w:rFonts w:cs="Times New Roman CE" w:ascii="Times New Roman CE" w:hAnsi="Times New Roman CE"/>
                <w:sz w:val="20"/>
                <w:szCs w:val="20"/>
                <w:lang w:val="fr-FR" w:eastAsia="en-US"/>
              </w:rPr>
              <w:t xml:space="preserve"> obţinute la expoziţii şi saloane internaţionale </w:t>
            </w:r>
          </w:p>
        </w:tc>
        <w:tc>
          <w:tcPr>
            <w:tcW w:w="70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55" w:hRule="atLeast"/>
        </w:trPr>
        <w:tc>
          <w:tcPr>
            <w:tcW w:w="112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5.2.10.</w:t>
            </w:r>
          </w:p>
        </w:tc>
        <w:tc>
          <w:tcPr>
            <w:tcW w:w="8652"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 xml:space="preserve">Medalii </w:t>
            </w:r>
            <w:r>
              <w:rPr>
                <w:b/>
                <w:bCs/>
                <w:sz w:val="20"/>
                <w:szCs w:val="20"/>
                <w:lang w:val="fr-FR" w:eastAsia="en-US"/>
              </w:rPr>
              <w:t>de bronz</w:t>
            </w:r>
            <w:r>
              <w:rPr>
                <w:rFonts w:cs="Times New Roman CE" w:ascii="Times New Roman CE" w:hAnsi="Times New Roman CE"/>
                <w:sz w:val="20"/>
                <w:szCs w:val="20"/>
                <w:lang w:val="fr-FR" w:eastAsia="en-US"/>
              </w:rPr>
              <w:t xml:space="preserve"> obţinute la expoziţii şi saloane internaţionale </w:t>
            </w:r>
          </w:p>
        </w:tc>
        <w:tc>
          <w:tcPr>
            <w:tcW w:w="70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55" w:hRule="atLeast"/>
        </w:trPr>
        <w:tc>
          <w:tcPr>
            <w:tcW w:w="112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5.2.11.</w:t>
            </w:r>
          </w:p>
        </w:tc>
        <w:tc>
          <w:tcPr>
            <w:tcW w:w="8652"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Diplome obţinute la expoziţii internaţionale</w:t>
            </w:r>
          </w:p>
        </w:tc>
        <w:tc>
          <w:tcPr>
            <w:tcW w:w="70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2 </w:t>
            </w:r>
          </w:p>
        </w:tc>
      </w:tr>
      <w:tr>
        <w:trPr>
          <w:trHeight w:val="255" w:hRule="atLeast"/>
        </w:trPr>
        <w:tc>
          <w:tcPr>
            <w:tcW w:w="112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5.2.12.</w:t>
            </w:r>
          </w:p>
        </w:tc>
        <w:tc>
          <w:tcPr>
            <w:tcW w:w="8652" w:type="dxa"/>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Alte distincţii de apreciere a rezultatelor cercetării şi elaborărilor</w:t>
            </w:r>
          </w:p>
        </w:tc>
        <w:tc>
          <w:tcPr>
            <w:tcW w:w="70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55" w:hRule="atLeast"/>
        </w:trPr>
        <w:tc>
          <w:tcPr>
            <w:tcW w:w="1129" w:type="dxa"/>
            <w:tcBorders/>
            <w:shd w:fill="auto" w:val="clear"/>
            <w:vAlign w:val="bottom"/>
          </w:tcPr>
          <w:p>
            <w:pPr>
              <w:pStyle w:val="Normal"/>
              <w:widowControl/>
              <w:bidi w:val="0"/>
              <w:ind w:left="0" w:right="0" w:hanging="0"/>
              <w:jc w:val="left"/>
              <w:textAlignment w:val="auto"/>
              <w:rPr>
                <w:rFonts w:ascii="Times New Roman" w:hAnsi="Times New Roman"/>
                <w:sz w:val="20"/>
                <w:szCs w:val="20"/>
                <w:lang w:val="en-US" w:eastAsia="en-US"/>
              </w:rPr>
            </w:pPr>
            <w:r>
              <w:rPr>
                <w:sz w:val="20"/>
                <w:szCs w:val="20"/>
                <w:lang w:val="en-US" w:eastAsia="en-US"/>
              </w:rPr>
            </w:r>
          </w:p>
        </w:tc>
        <w:tc>
          <w:tcPr>
            <w:tcW w:w="9361"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color="auto" w:fill="CCFFCC"/>
            <w:tcMar>
              <w:left w:w="98" w:type="dxa"/>
            </w:tcMar>
            <w:vAlign w:val="bottom"/>
          </w:tcPr>
          <w:p>
            <w:pPr>
              <w:pStyle w:val="Normal"/>
              <w:widowControl/>
              <w:bidi w:val="0"/>
              <w:ind w:left="0" w:right="0" w:hanging="0"/>
              <w:jc w:val="left"/>
              <w:textAlignment w:val="auto"/>
              <w:rPr>
                <w:lang w:val="en-US"/>
              </w:rPr>
            </w:pPr>
            <w:r>
              <w:rPr>
                <w:rFonts w:cs="Times New Roman CE" w:ascii="Times New Roman CE" w:hAnsi="Times New Roman CE"/>
                <w:b/>
                <w:bCs/>
                <w:sz w:val="20"/>
                <w:szCs w:val="20"/>
                <w:lang w:val="en-US" w:eastAsia="en-US"/>
              </w:rPr>
              <w:t>5.3. Apreciere internaţională şi antrenare în expertiza internaţională</w:t>
            </w:r>
          </w:p>
        </w:tc>
      </w:tr>
      <w:tr>
        <w:trPr>
          <w:trHeight w:val="255" w:hRule="atLeast"/>
        </w:trPr>
        <w:tc>
          <w:tcPr>
            <w:tcW w:w="1129"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5.3.1.</w:t>
            </w:r>
          </w:p>
        </w:tc>
        <w:tc>
          <w:tcPr>
            <w:tcW w:w="8652"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sz w:val="20"/>
                <w:szCs w:val="20"/>
                <w:lang w:val="en-US" w:eastAsia="en-US"/>
              </w:rPr>
              <w:t>Membru de onoare al acad</w:t>
            </w:r>
            <w:r>
              <w:rPr>
                <w:rFonts w:cs="Times New Roman CE" w:ascii="Times New Roman CE" w:hAnsi="Times New Roman CE"/>
                <w:sz w:val="20"/>
                <w:szCs w:val="20"/>
                <w:lang w:val="en-US" w:eastAsia="en-US"/>
              </w:rPr>
              <w:t>emiilor de ştiinţe din străinătate ales în perioada evaluată</w:t>
            </w:r>
          </w:p>
        </w:tc>
        <w:tc>
          <w:tcPr>
            <w:tcW w:w="70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55" w:hRule="atLeast"/>
        </w:trPr>
        <w:tc>
          <w:tcPr>
            <w:tcW w:w="112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5.3.2.</w:t>
            </w:r>
          </w:p>
        </w:tc>
        <w:tc>
          <w:tcPr>
            <w:tcW w:w="8652"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Membru de onoare al societăţilor ştiinţifice din străinătate ales în perioada evaluată</w:t>
            </w:r>
          </w:p>
        </w:tc>
        <w:tc>
          <w:tcPr>
            <w:tcW w:w="70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55" w:hRule="atLeast"/>
        </w:trPr>
        <w:tc>
          <w:tcPr>
            <w:tcW w:w="112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5.3.3.</w:t>
            </w:r>
          </w:p>
        </w:tc>
        <w:tc>
          <w:tcPr>
            <w:tcW w:w="8652"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Redactor-şef al unei reviste de specialitate cotate ISI</w:t>
            </w:r>
          </w:p>
        </w:tc>
        <w:tc>
          <w:tcPr>
            <w:tcW w:w="70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55" w:hRule="atLeast"/>
        </w:trPr>
        <w:tc>
          <w:tcPr>
            <w:tcW w:w="112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5.3.4.</w:t>
            </w:r>
          </w:p>
        </w:tc>
        <w:tc>
          <w:tcPr>
            <w:tcW w:w="8652"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sz w:val="20"/>
                <w:szCs w:val="20"/>
                <w:lang w:val="fr-FR" w:eastAsia="en-US"/>
              </w:rPr>
              <w:t>Membru al colegiului d</w:t>
            </w:r>
            <w:r>
              <w:rPr>
                <w:rFonts w:cs="Times New Roman CE" w:ascii="Times New Roman CE" w:hAnsi="Times New Roman CE"/>
                <w:sz w:val="20"/>
                <w:szCs w:val="20"/>
                <w:lang w:val="fr-FR" w:eastAsia="en-US"/>
              </w:rPr>
              <w:t xml:space="preserve">e redacţie al revistelor de specialitate consacrate de peste hotare </w:t>
            </w:r>
          </w:p>
        </w:tc>
        <w:tc>
          <w:tcPr>
            <w:tcW w:w="70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55" w:hRule="atLeast"/>
        </w:trPr>
        <w:tc>
          <w:tcPr>
            <w:tcW w:w="112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5.3.5.</w:t>
            </w:r>
          </w:p>
        </w:tc>
        <w:tc>
          <w:tcPr>
            <w:tcW w:w="8652"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Preşedinte al Comitetului de program al manifestărilor ştiinţifici din străinătate</w:t>
            </w:r>
          </w:p>
        </w:tc>
        <w:tc>
          <w:tcPr>
            <w:tcW w:w="70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55" w:hRule="atLeast"/>
        </w:trPr>
        <w:tc>
          <w:tcPr>
            <w:tcW w:w="112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5.3.6.</w:t>
            </w:r>
          </w:p>
        </w:tc>
        <w:tc>
          <w:tcPr>
            <w:tcW w:w="8652"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Copreşedinte al Comitetului de program al manifestărilor ştiinţifici din străinătate</w:t>
            </w:r>
            <w:r>
              <w:rPr>
                <w:sz w:val="20"/>
                <w:szCs w:val="20"/>
                <w:lang w:val="fr-FR" w:eastAsia="en-US"/>
              </w:rPr>
              <w:t xml:space="preserve"> </w:t>
            </w:r>
          </w:p>
        </w:tc>
        <w:tc>
          <w:tcPr>
            <w:tcW w:w="70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55" w:hRule="atLeast"/>
        </w:trPr>
        <w:tc>
          <w:tcPr>
            <w:tcW w:w="112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5.3.7.</w:t>
            </w:r>
          </w:p>
        </w:tc>
        <w:tc>
          <w:tcPr>
            <w:tcW w:w="8652"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Expert al proiectelor şi a altor activităţi  internaţionale </w:t>
            </w:r>
          </w:p>
        </w:tc>
        <w:tc>
          <w:tcPr>
            <w:tcW w:w="70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1</w:t>
            </w:r>
          </w:p>
        </w:tc>
      </w:tr>
      <w:tr>
        <w:trPr>
          <w:trHeight w:val="255" w:hRule="atLeast"/>
        </w:trPr>
        <w:tc>
          <w:tcPr>
            <w:tcW w:w="112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5.3.8.</w:t>
            </w:r>
          </w:p>
        </w:tc>
        <w:tc>
          <w:tcPr>
            <w:tcW w:w="8652"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Membru în Comisiile pentru decernarea premiilor relevante din străinătate</w:t>
            </w:r>
          </w:p>
        </w:tc>
        <w:tc>
          <w:tcPr>
            <w:tcW w:w="70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55" w:hRule="atLeast"/>
        </w:trPr>
        <w:tc>
          <w:tcPr>
            <w:tcW w:w="112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5.3.9.</w:t>
            </w:r>
          </w:p>
        </w:tc>
        <w:tc>
          <w:tcPr>
            <w:tcW w:w="8652"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Referent ştiinţific al revistei cotate ISI;</w:t>
            </w:r>
          </w:p>
        </w:tc>
        <w:tc>
          <w:tcPr>
            <w:tcW w:w="70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55" w:hRule="atLeast"/>
        </w:trPr>
        <w:tc>
          <w:tcPr>
            <w:tcW w:w="112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5.3.10.</w:t>
            </w:r>
          </w:p>
        </w:tc>
        <w:tc>
          <w:tcPr>
            <w:tcW w:w="8652"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Referent la susţinerea în străinăt</w:t>
            </w:r>
            <w:r>
              <w:rPr>
                <w:sz w:val="20"/>
                <w:szCs w:val="20"/>
                <w:lang w:val="fr-FR" w:eastAsia="en-US"/>
              </w:rPr>
              <w:t>ate a tezei de doctor</w:t>
            </w:r>
          </w:p>
        </w:tc>
        <w:tc>
          <w:tcPr>
            <w:tcW w:w="70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55" w:hRule="atLeast"/>
        </w:trPr>
        <w:tc>
          <w:tcPr>
            <w:tcW w:w="112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5.3.11.</w:t>
            </w:r>
          </w:p>
        </w:tc>
        <w:tc>
          <w:tcPr>
            <w:tcW w:w="8652"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Profesor invitat în instituţii universitare consacrate din străinătate</w:t>
            </w:r>
          </w:p>
        </w:tc>
        <w:tc>
          <w:tcPr>
            <w:tcW w:w="70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55" w:hRule="atLeast"/>
        </w:trPr>
        <w:tc>
          <w:tcPr>
            <w:tcW w:w="112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5.3.12.</w:t>
            </w:r>
          </w:p>
        </w:tc>
        <w:tc>
          <w:tcPr>
            <w:tcW w:w="8652"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Cercetător invitat pentru activitatea ştiinţifică </w:t>
            </w:r>
          </w:p>
        </w:tc>
        <w:tc>
          <w:tcPr>
            <w:tcW w:w="70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55" w:hRule="atLeast"/>
        </w:trPr>
        <w:tc>
          <w:tcPr>
            <w:tcW w:w="112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5.3.13.</w:t>
            </w:r>
          </w:p>
        </w:tc>
        <w:tc>
          <w:tcPr>
            <w:tcW w:w="8652"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sz w:val="20"/>
                <w:szCs w:val="20"/>
                <w:lang w:val="en-US" w:eastAsia="en-US"/>
              </w:rPr>
              <w:t>Stagiar, doctorand sau postdoctorand</w:t>
            </w:r>
          </w:p>
        </w:tc>
        <w:tc>
          <w:tcPr>
            <w:tcW w:w="709"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bl>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tbl>
      <w:tblPr>
        <w:tblW w:w="10022" w:type="dxa"/>
        <w:jc w:val="left"/>
        <w:tblInd w:w="-109"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0" w:type="dxa"/>
          <w:left w:w="98" w:type="dxa"/>
          <w:bottom w:w="0" w:type="dxa"/>
          <w:right w:w="108" w:type="dxa"/>
        </w:tblCellMar>
      </w:tblPr>
      <w:tblGrid>
        <w:gridCol w:w="908"/>
        <w:gridCol w:w="8306"/>
        <w:gridCol w:w="808"/>
      </w:tblGrid>
      <w:tr>
        <w:trPr>
          <w:trHeight w:val="95" w:hRule="atLeast"/>
        </w:trPr>
        <w:tc>
          <w:tcPr>
            <w:tcW w:w="9214" w:type="dxa"/>
            <w:gridSpan w:val="2"/>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ro-RO"/>
              </w:rPr>
            </w:pPr>
            <w:r>
              <w:rPr>
                <w:rFonts w:cs="Times New Roman CE" w:ascii="Times New Roman CE" w:hAnsi="Times New Roman CE"/>
                <w:b/>
                <w:bCs/>
                <w:sz w:val="20"/>
                <w:szCs w:val="20"/>
                <w:lang w:val="ro-RO" w:eastAsia="en-US"/>
              </w:rPr>
              <w:t>6. CONTRIBUŢIE ŞTIINŢIFICĂ ŞI RECUNOAŞ</w:t>
            </w:r>
            <w:r>
              <w:rPr>
                <w:b/>
                <w:bCs/>
                <w:sz w:val="20"/>
                <w:szCs w:val="20"/>
                <w:lang w:val="ro-RO" w:eastAsia="en-US"/>
              </w:rPr>
              <w:t>TEk</w:t>
            </w:r>
            <w:r>
              <w:rPr>
                <w:rFonts w:cs="Times New Roman CE" w:ascii="Times New Roman CE" w:hAnsi="Times New Roman CE"/>
                <w:b/>
                <w:bCs/>
                <w:sz w:val="20"/>
                <w:szCs w:val="20"/>
                <w:lang w:val="ro-RO" w:eastAsia="en-US"/>
              </w:rPr>
              <w:t xml:space="preserve">RE NAŢIONALĂ </w:t>
            </w:r>
          </w:p>
        </w:tc>
        <w:tc>
          <w:tcPr>
            <w:tcW w:w="808" w:type="dxa"/>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2016</w:t>
            </w:r>
          </w:p>
        </w:tc>
      </w:tr>
      <w:tr>
        <w:trPr>
          <w:trHeight w:val="113"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c>
          <w:tcPr>
            <w:tcW w:w="9114" w:type="dxa"/>
            <w:gridSpan w:val="2"/>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lang w:val="en-US"/>
              </w:rPr>
            </w:pPr>
            <w:r>
              <w:rPr>
                <w:rFonts w:cs="Times New Roman CE" w:ascii="Times New Roman CE" w:hAnsi="Times New Roman CE"/>
                <w:b/>
                <w:bCs/>
                <w:sz w:val="20"/>
                <w:szCs w:val="20"/>
                <w:lang w:val="en-US" w:eastAsia="en-US"/>
              </w:rPr>
              <w:t>6.1. Publicaţii în ţară</w:t>
            </w:r>
            <w:r>
              <w:rPr>
                <w:b/>
                <w:bCs/>
                <w:sz w:val="20"/>
                <w:szCs w:val="20"/>
                <w:lang w:val="en-US" w:eastAsia="en-US"/>
              </w:rPr>
              <w:t>k</w:t>
            </w:r>
          </w:p>
        </w:tc>
      </w:tr>
      <w:tr>
        <w:trPr>
          <w:trHeight w:val="103"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6.1.1.</w:t>
            </w:r>
          </w:p>
        </w:tc>
        <w:tc>
          <w:tcPr>
            <w:tcW w:w="8306"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Monografii</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149"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6.1.2.</w:t>
            </w:r>
          </w:p>
        </w:tc>
        <w:tc>
          <w:tcPr>
            <w:tcW w:w="8306"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 xml:space="preserve">Capitole în monografii </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181"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6.1.3.</w:t>
            </w:r>
          </w:p>
        </w:tc>
        <w:tc>
          <w:tcPr>
            <w:tcW w:w="8306"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Articole în reviste naţionale, categoria A</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60"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6.1.4.</w:t>
            </w:r>
          </w:p>
        </w:tc>
        <w:tc>
          <w:tcPr>
            <w:tcW w:w="8306"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Articole în reviste naţionale, categoria B</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4</w:t>
            </w:r>
          </w:p>
        </w:tc>
      </w:tr>
      <w:tr>
        <w:trPr>
          <w:trHeight w:val="60"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6.1.5.</w:t>
            </w:r>
          </w:p>
        </w:tc>
        <w:tc>
          <w:tcPr>
            <w:tcW w:w="8306"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Articole în reviste naţionale, catego</w:t>
            </w:r>
            <w:r>
              <w:rPr>
                <w:sz w:val="20"/>
                <w:szCs w:val="20"/>
                <w:lang w:val="fr-FR" w:eastAsia="en-US"/>
              </w:rPr>
              <w:t>ria C</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65"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c>
          <w:tcPr>
            <w:tcW w:w="8306"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 xml:space="preserve">   </w:t>
            </w:r>
            <w:r>
              <w:rPr>
                <w:rFonts w:cs="Times New Roman CE" w:ascii="Times New Roman CE" w:hAnsi="Times New Roman CE"/>
                <w:sz w:val="20"/>
                <w:szCs w:val="20"/>
                <w:lang w:val="fr-FR" w:eastAsia="en-US"/>
              </w:rPr>
              <w:t>inclusiv articole în reviste naţionale (A, B, C) cu autori de peste hotare</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rFonts w:ascii="Times New Roman" w:hAnsi="Times New Roman"/>
                <w:sz w:val="20"/>
                <w:szCs w:val="20"/>
                <w:lang w:val="fr-FR" w:eastAsia="en-US"/>
              </w:rPr>
            </w:pPr>
            <w:r>
              <w:rPr>
                <w:sz w:val="20"/>
                <w:szCs w:val="20"/>
                <w:lang w:val="fr-FR" w:eastAsia="en-US"/>
              </w:rPr>
            </w:r>
          </w:p>
        </w:tc>
      </w:tr>
      <w:tr>
        <w:trPr>
          <w:trHeight w:val="211"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6.1.6.</w:t>
            </w:r>
          </w:p>
        </w:tc>
        <w:tc>
          <w:tcPr>
            <w:tcW w:w="8306"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Articole în culegeri</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73"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6.1.7.</w:t>
            </w:r>
          </w:p>
        </w:tc>
        <w:tc>
          <w:tcPr>
            <w:tcW w:w="8306"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Publicaţii ştiinţifice electronice</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33"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6.1.8.</w:t>
            </w:r>
          </w:p>
        </w:tc>
        <w:tc>
          <w:tcPr>
            <w:tcW w:w="8306"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Rezumate la conferinţe</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1 </w:t>
            </w:r>
          </w:p>
        </w:tc>
      </w:tr>
      <w:tr>
        <w:trPr>
          <w:trHeight w:val="95"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6.1.9.</w:t>
            </w:r>
          </w:p>
        </w:tc>
        <w:tc>
          <w:tcPr>
            <w:tcW w:w="8306"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Preprint-uri naţionale</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99"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6.1.10.</w:t>
            </w:r>
          </w:p>
        </w:tc>
        <w:tc>
          <w:tcPr>
            <w:tcW w:w="8306" w:type="dxa"/>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Alte publicaţii ştiinţifice (de indicat)</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rFonts w:ascii="Times New Roman" w:hAnsi="Times New Roman"/>
                <w:sz w:val="20"/>
                <w:szCs w:val="20"/>
                <w:lang w:val="fr-FR" w:eastAsia="en-US"/>
              </w:rPr>
            </w:pPr>
            <w:r>
              <w:rPr>
                <w:sz w:val="20"/>
                <w:szCs w:val="20"/>
                <w:lang w:val="fr-FR" w:eastAsia="en-US"/>
              </w:rPr>
            </w:r>
          </w:p>
        </w:tc>
      </w:tr>
      <w:tr>
        <w:trPr>
          <w:trHeight w:val="255"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c>
          <w:tcPr>
            <w:tcW w:w="9114" w:type="dxa"/>
            <w:gridSpan w:val="2"/>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lang w:val="en-US"/>
              </w:rPr>
            </w:pPr>
            <w:r>
              <w:rPr>
                <w:rFonts w:cs="Times New Roman CE" w:ascii="Times New Roman CE" w:hAnsi="Times New Roman CE"/>
                <w:b/>
                <w:bCs/>
                <w:sz w:val="20"/>
                <w:szCs w:val="20"/>
                <w:lang w:val="en-US" w:eastAsia="en-US"/>
              </w:rPr>
              <w:t>6.2. Impactul şi relevanţa ştiinţifică</w:t>
            </w:r>
          </w:p>
        </w:tc>
      </w:tr>
      <w:tr>
        <w:trPr>
          <w:trHeight w:val="120"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6.2.1.</w:t>
            </w:r>
          </w:p>
        </w:tc>
        <w:tc>
          <w:tcPr>
            <w:tcW w:w="8306"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Premiul National, obţinut în perioada evaluată</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125"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6.2.2.</w:t>
            </w:r>
          </w:p>
        </w:tc>
        <w:tc>
          <w:tcPr>
            <w:tcW w:w="8306"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Premiile Savantul anului, Tinarul Savant al anului</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142"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6.2.3.</w:t>
            </w:r>
          </w:p>
        </w:tc>
        <w:tc>
          <w:tcPr>
            <w:tcW w:w="8306"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Premiile Academiei de Ştiinţe a Moldovei, obţinute în perioada evaluată </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147"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6.2.4.</w:t>
            </w:r>
          </w:p>
        </w:tc>
        <w:tc>
          <w:tcPr>
            <w:tcW w:w="8306"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Alte premii naţionale obţinute în perioada evaluată</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151"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6.2.5.</w:t>
            </w:r>
          </w:p>
        </w:tc>
        <w:tc>
          <w:tcPr>
            <w:tcW w:w="8306"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Alte distincţii de apreciere a rezultatelor cercetărilor ştiinţifice</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60"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6.2.6.</w:t>
            </w:r>
          </w:p>
        </w:tc>
        <w:tc>
          <w:tcPr>
            <w:tcW w:w="8306"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Menţiuni ale rezultatelor în presă şi ediţii electronice</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173"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6.2.7.</w:t>
            </w:r>
          </w:p>
        </w:tc>
        <w:tc>
          <w:tcPr>
            <w:tcW w:w="8306"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Rapoarte, comunicari şi lecţii la invitaţie la conferinţe naţionale, seminare, cursuri de perfecţionare</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3</w:t>
            </w:r>
          </w:p>
        </w:tc>
      </w:tr>
      <w:tr>
        <w:trPr>
          <w:trHeight w:val="60"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6.2.8.</w:t>
            </w:r>
          </w:p>
        </w:tc>
        <w:tc>
          <w:tcPr>
            <w:tcW w:w="8306"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 xml:space="preserve">Medalii </w:t>
            </w:r>
            <w:r>
              <w:rPr>
                <w:b/>
                <w:bCs/>
                <w:sz w:val="20"/>
                <w:szCs w:val="20"/>
                <w:lang w:val="fr-FR" w:eastAsia="en-US"/>
              </w:rPr>
              <w:t xml:space="preserve">de aur </w:t>
            </w:r>
            <w:r>
              <w:rPr>
                <w:rFonts w:cs="Times New Roman CE" w:ascii="Times New Roman CE" w:hAnsi="Times New Roman CE"/>
                <w:sz w:val="20"/>
                <w:szCs w:val="20"/>
                <w:lang w:val="fr-FR" w:eastAsia="en-US"/>
              </w:rPr>
              <w:t>obţinute la expoziţii naţionale</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195"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6.2.9.</w:t>
            </w:r>
          </w:p>
        </w:tc>
        <w:tc>
          <w:tcPr>
            <w:tcW w:w="8306"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 xml:space="preserve">Medalii </w:t>
            </w:r>
            <w:r>
              <w:rPr>
                <w:b/>
                <w:bCs/>
                <w:sz w:val="20"/>
                <w:szCs w:val="20"/>
                <w:lang w:val="fr-FR" w:eastAsia="en-US"/>
              </w:rPr>
              <w:t>de argint</w:t>
            </w:r>
            <w:r>
              <w:rPr>
                <w:rFonts w:cs="Times New Roman CE" w:ascii="Times New Roman CE" w:hAnsi="Times New Roman CE"/>
                <w:sz w:val="20"/>
                <w:szCs w:val="20"/>
                <w:lang w:val="fr-FR" w:eastAsia="en-US"/>
              </w:rPr>
              <w:t xml:space="preserve"> obţinute la expoziţii naţionale</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60"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6.2.10.</w:t>
            </w:r>
          </w:p>
        </w:tc>
        <w:tc>
          <w:tcPr>
            <w:tcW w:w="8306"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 xml:space="preserve">Medalii </w:t>
            </w:r>
            <w:r>
              <w:rPr>
                <w:b/>
                <w:bCs/>
                <w:sz w:val="20"/>
                <w:szCs w:val="20"/>
                <w:lang w:val="fr-FR" w:eastAsia="en-US"/>
              </w:rPr>
              <w:t>de bronz</w:t>
            </w:r>
            <w:r>
              <w:rPr>
                <w:rFonts w:cs="Times New Roman CE" w:ascii="Times New Roman CE" w:hAnsi="Times New Roman CE"/>
                <w:sz w:val="20"/>
                <w:szCs w:val="20"/>
                <w:lang w:val="fr-FR" w:eastAsia="en-US"/>
              </w:rPr>
              <w:t xml:space="preserve"> obţinute la expoziţii naţionale</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61"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6.2.11.</w:t>
            </w:r>
          </w:p>
        </w:tc>
        <w:tc>
          <w:tcPr>
            <w:tcW w:w="8306" w:type="dxa"/>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Diplome obţinute la expoziţii naţionale</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1</w:t>
            </w:r>
          </w:p>
        </w:tc>
      </w:tr>
      <w:tr>
        <w:trPr>
          <w:trHeight w:val="79"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c>
          <w:tcPr>
            <w:tcW w:w="9114" w:type="dxa"/>
            <w:gridSpan w:val="2"/>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lang w:val="fr-FR"/>
              </w:rPr>
            </w:pPr>
            <w:r>
              <w:rPr>
                <w:rFonts w:cs="Times New Roman CE" w:ascii="Times New Roman CE" w:hAnsi="Times New Roman CE"/>
                <w:b/>
                <w:bCs/>
                <w:sz w:val="20"/>
                <w:szCs w:val="20"/>
                <w:lang w:val="fr-FR" w:eastAsia="en-US"/>
              </w:rPr>
              <w:t>6.3. Apreciere naţională şi antrenare în activităţi conexe cercetării</w:t>
            </w:r>
          </w:p>
        </w:tc>
      </w:tr>
      <w:tr>
        <w:trPr>
          <w:trHeight w:val="83"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6.3.1.</w:t>
            </w:r>
          </w:p>
        </w:tc>
        <w:tc>
          <w:tcPr>
            <w:tcW w:w="8306"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Academician A.Ş.M ales în perioada evaluată</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87"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6.3.2.</w:t>
            </w:r>
          </w:p>
        </w:tc>
        <w:tc>
          <w:tcPr>
            <w:tcW w:w="8306"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Membru corespondent al A.Ş.M. ales în perioada evaluată</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105"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6.3.3.</w:t>
            </w:r>
          </w:p>
        </w:tc>
        <w:tc>
          <w:tcPr>
            <w:tcW w:w="8306"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sz w:val="20"/>
                <w:szCs w:val="20"/>
                <w:lang w:val="en-US" w:eastAsia="en-US"/>
              </w:rPr>
              <w:t>Do</w:t>
            </w:r>
            <w:r>
              <w:rPr>
                <w:rFonts w:cs="Times New Roman CE" w:ascii="Times New Roman CE" w:hAnsi="Times New Roman CE"/>
                <w:sz w:val="20"/>
                <w:szCs w:val="20"/>
                <w:lang w:val="en-US" w:eastAsia="en-US"/>
              </w:rPr>
              <w:t>ctor Honoris Cauza conferit în perioada evaluată</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109"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6.3.4.</w:t>
            </w:r>
          </w:p>
        </w:tc>
        <w:tc>
          <w:tcPr>
            <w:tcW w:w="8306"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Doctor habilitat conferit în perioada evaluată</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113"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6.3.5.</w:t>
            </w:r>
          </w:p>
        </w:tc>
        <w:tc>
          <w:tcPr>
            <w:tcW w:w="8306"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Doctor conferit în perioada evaluată</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131"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6.3.6.</w:t>
            </w:r>
          </w:p>
        </w:tc>
        <w:tc>
          <w:tcPr>
            <w:tcW w:w="8306"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Profesor universitar (profesor cercetător) conferit în perioada evaluată</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135"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6.3.7.</w:t>
            </w:r>
          </w:p>
        </w:tc>
        <w:tc>
          <w:tcPr>
            <w:tcW w:w="8306"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Conferenţiar universitar (conferenţiar cercetător) conferit în perioada evaluată</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60"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6.3.8.</w:t>
            </w:r>
          </w:p>
        </w:tc>
        <w:tc>
          <w:tcPr>
            <w:tcW w:w="8306"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Redactor-şef al unei reviste de specialitate cotate CSŞDT şi CNAA </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1</w:t>
            </w:r>
          </w:p>
        </w:tc>
      </w:tr>
      <w:tr>
        <w:trPr>
          <w:trHeight w:val="157"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6.3.9.</w:t>
            </w:r>
          </w:p>
        </w:tc>
        <w:tc>
          <w:tcPr>
            <w:tcW w:w="8306"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 xml:space="preserve">Membru al colegiului de redacţie al revistelor cotate CSŞDT şi CNAA </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1 </w:t>
            </w:r>
          </w:p>
        </w:tc>
      </w:tr>
      <w:tr>
        <w:trPr>
          <w:trHeight w:val="161"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6.3.10.</w:t>
            </w:r>
          </w:p>
        </w:tc>
        <w:tc>
          <w:tcPr>
            <w:tcW w:w="8306"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Conducător al Pro</w:t>
            </w:r>
            <w:r>
              <w:rPr>
                <w:sz w:val="20"/>
                <w:szCs w:val="20"/>
                <w:lang w:val="en-US" w:eastAsia="en-US"/>
              </w:rPr>
              <w:t xml:space="preserve">gramelor de Stat </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165"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6.3.11.</w:t>
            </w:r>
          </w:p>
        </w:tc>
        <w:tc>
          <w:tcPr>
            <w:tcW w:w="8306"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Conducător al proiectului de cercetări fundamentale/aplicative</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rFonts w:ascii="Times New Roman" w:hAnsi="Times New Roman"/>
                <w:sz w:val="20"/>
                <w:szCs w:val="20"/>
                <w:lang w:val="fr-FR" w:eastAsia="en-US"/>
              </w:rPr>
            </w:pPr>
            <w:r>
              <w:rPr>
                <w:sz w:val="20"/>
                <w:szCs w:val="20"/>
                <w:lang w:val="fr-FR" w:eastAsia="en-US"/>
              </w:rPr>
            </w:r>
          </w:p>
        </w:tc>
      </w:tr>
      <w:tr>
        <w:trPr>
          <w:trHeight w:val="169"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6.3.12.</w:t>
            </w:r>
          </w:p>
        </w:tc>
        <w:tc>
          <w:tcPr>
            <w:tcW w:w="8306"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 xml:space="preserve">Preşedinte al Comitetului de program al manifestărilor ştiinţifici din naţionale </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rFonts w:ascii="Times New Roman" w:hAnsi="Times New Roman"/>
                <w:sz w:val="20"/>
                <w:szCs w:val="20"/>
                <w:lang w:val="fr-FR" w:eastAsia="en-US"/>
              </w:rPr>
            </w:pPr>
            <w:r>
              <w:rPr>
                <w:sz w:val="20"/>
                <w:szCs w:val="20"/>
                <w:lang w:val="fr-FR" w:eastAsia="en-US"/>
              </w:rPr>
            </w:r>
          </w:p>
        </w:tc>
      </w:tr>
      <w:tr>
        <w:trPr>
          <w:trHeight w:val="187"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6.3.13.</w:t>
            </w:r>
          </w:p>
        </w:tc>
        <w:tc>
          <w:tcPr>
            <w:tcW w:w="8306"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Membru al Comitetului de program al manifestărilor ştiinţifici din naţionale</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rFonts w:ascii="Times New Roman" w:hAnsi="Times New Roman"/>
                <w:sz w:val="20"/>
                <w:szCs w:val="20"/>
                <w:lang w:val="fr-FR" w:eastAsia="en-US"/>
              </w:rPr>
            </w:pPr>
            <w:r>
              <w:rPr>
                <w:sz w:val="20"/>
                <w:szCs w:val="20"/>
                <w:lang w:val="fr-FR" w:eastAsia="en-US"/>
              </w:rPr>
            </w:r>
          </w:p>
        </w:tc>
      </w:tr>
      <w:tr>
        <w:trPr>
          <w:trHeight w:val="147"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6.3.14.</w:t>
            </w:r>
          </w:p>
        </w:tc>
        <w:tc>
          <w:tcPr>
            <w:tcW w:w="8306"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Expert al CSŞDT sau CNAA</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1</w:t>
            </w:r>
          </w:p>
        </w:tc>
      </w:tr>
      <w:tr>
        <w:trPr>
          <w:trHeight w:val="60"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6.3.15.</w:t>
            </w:r>
          </w:p>
        </w:tc>
        <w:tc>
          <w:tcPr>
            <w:tcW w:w="8306"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Expert al altor proiecte şi activităţi la nivel naţional</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1</w:t>
            </w:r>
          </w:p>
        </w:tc>
      </w:tr>
      <w:tr>
        <w:trPr>
          <w:trHeight w:val="71"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6.3.16.</w:t>
            </w:r>
          </w:p>
        </w:tc>
        <w:tc>
          <w:tcPr>
            <w:tcW w:w="8306"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Preşedinte al Comisiei de acreditare a organizaţiei</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17"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6.3.17.</w:t>
            </w:r>
          </w:p>
        </w:tc>
        <w:tc>
          <w:tcPr>
            <w:tcW w:w="8306"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Membru al Comisiei de acreditare a organizatiei</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1</w:t>
            </w:r>
          </w:p>
        </w:tc>
      </w:tr>
      <w:tr>
        <w:trPr>
          <w:trHeight w:val="79"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6.3.18.</w:t>
            </w:r>
          </w:p>
        </w:tc>
        <w:tc>
          <w:tcPr>
            <w:tcW w:w="8306"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sz w:val="20"/>
                <w:szCs w:val="20"/>
                <w:lang w:val="en-US" w:eastAsia="en-US"/>
              </w:rPr>
              <w:t>Membru în Comisiile pentru decernarea premiilor de Stat a Republicii Moldova</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97"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6.3.19.</w:t>
            </w:r>
          </w:p>
        </w:tc>
        <w:tc>
          <w:tcPr>
            <w:tcW w:w="8306"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Membru în Comisiile pentru decernarea premiilor A.Ş.M</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101"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6.3.20.</w:t>
            </w:r>
          </w:p>
        </w:tc>
        <w:tc>
          <w:tcPr>
            <w:tcW w:w="8306"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Preşedinte al consiliilor ştiinţifice specializate de susţinere a </w:t>
            </w:r>
            <w:r>
              <w:rPr>
                <w:b/>
                <w:bCs/>
                <w:sz w:val="20"/>
                <w:szCs w:val="20"/>
                <w:lang w:val="en-US" w:eastAsia="en-US"/>
              </w:rPr>
              <w:t xml:space="preserve">tezelor de doctor habilitat </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63"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6.3.21.</w:t>
            </w:r>
          </w:p>
        </w:tc>
        <w:tc>
          <w:tcPr>
            <w:tcW w:w="8306"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sz w:val="20"/>
                <w:szCs w:val="20"/>
                <w:lang w:val="en-US" w:eastAsia="en-US"/>
              </w:rPr>
              <w:t>Se</w:t>
            </w:r>
            <w:r>
              <w:rPr>
                <w:rFonts w:cs="Times New Roman CE" w:ascii="Times New Roman CE" w:hAnsi="Times New Roman CE"/>
                <w:sz w:val="20"/>
                <w:szCs w:val="20"/>
                <w:lang w:val="en-US" w:eastAsia="en-US"/>
              </w:rPr>
              <w:t xml:space="preserve">cretar al consiliilor ştiinţifice specializate de susţinere a </w:t>
            </w:r>
            <w:r>
              <w:rPr>
                <w:b/>
                <w:bCs/>
                <w:sz w:val="20"/>
                <w:szCs w:val="20"/>
                <w:lang w:val="en-US" w:eastAsia="en-US"/>
              </w:rPr>
              <w:t>tezelor de doctor habilitat</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81"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6.3.22.</w:t>
            </w:r>
          </w:p>
        </w:tc>
        <w:tc>
          <w:tcPr>
            <w:tcW w:w="8306"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Preşedinte al consiliilor ştiinţifice specializate de susţinere a </w:t>
            </w:r>
            <w:r>
              <w:rPr>
                <w:b/>
                <w:bCs/>
                <w:sz w:val="20"/>
                <w:szCs w:val="20"/>
                <w:lang w:val="en-US" w:eastAsia="en-US"/>
              </w:rPr>
              <w:t>tezelor de doctor</w:t>
            </w:r>
            <w:r>
              <w:rPr>
                <w:sz w:val="20"/>
                <w:szCs w:val="20"/>
                <w:lang w:val="en-US" w:eastAsia="en-US"/>
              </w:rPr>
              <w:t xml:space="preserve"> </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71"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6.3.23.</w:t>
            </w:r>
          </w:p>
        </w:tc>
        <w:tc>
          <w:tcPr>
            <w:tcW w:w="8306"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Secretar al consiliilor ştiinţifice specializate de susţine</w:t>
            </w:r>
            <w:r>
              <w:rPr>
                <w:sz w:val="20"/>
                <w:szCs w:val="20"/>
                <w:lang w:val="en-US" w:eastAsia="en-US"/>
              </w:rPr>
              <w:t xml:space="preserve">re a </w:t>
            </w:r>
            <w:r>
              <w:rPr>
                <w:b/>
                <w:bCs/>
                <w:sz w:val="20"/>
                <w:szCs w:val="20"/>
                <w:lang w:val="en-US" w:eastAsia="en-US"/>
              </w:rPr>
              <w:t xml:space="preserve">tezelor de doctor </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89"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6.3.24.</w:t>
            </w:r>
          </w:p>
        </w:tc>
        <w:tc>
          <w:tcPr>
            <w:tcW w:w="8306"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Membru a consiliilor ştiinţifice specializate de susţinere a </w:t>
            </w:r>
            <w:r>
              <w:rPr>
                <w:b/>
                <w:bCs/>
                <w:sz w:val="20"/>
                <w:szCs w:val="20"/>
                <w:lang w:val="en-US" w:eastAsia="en-US"/>
              </w:rPr>
              <w:t>tezelor de doctor</w:t>
            </w:r>
            <w:r>
              <w:rPr>
                <w:sz w:val="20"/>
                <w:szCs w:val="20"/>
                <w:lang w:val="en-US" w:eastAsia="en-US"/>
              </w:rPr>
              <w:t xml:space="preserve"> </w:t>
            </w:r>
            <w:r>
              <w:rPr>
                <w:b/>
                <w:bCs/>
                <w:sz w:val="20"/>
                <w:szCs w:val="20"/>
                <w:lang w:val="en-US" w:eastAsia="en-US"/>
              </w:rPr>
              <w:t>habilitat/doctor</w:t>
            </w:r>
            <w:r>
              <w:rPr>
                <w:sz w:val="20"/>
                <w:szCs w:val="20"/>
                <w:lang w:val="en-US" w:eastAsia="en-US"/>
              </w:rPr>
              <w:t xml:space="preserve"> </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107"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6.3.25.</w:t>
            </w:r>
          </w:p>
        </w:tc>
        <w:tc>
          <w:tcPr>
            <w:tcW w:w="8306"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 xml:space="preserve">Referent la susţinerea </w:t>
            </w:r>
            <w:r>
              <w:rPr>
                <w:b/>
                <w:bCs/>
                <w:sz w:val="20"/>
                <w:szCs w:val="20"/>
                <w:lang w:val="fr-FR" w:eastAsia="en-US"/>
              </w:rPr>
              <w:t>tezei de doctor habilitat</w:t>
            </w:r>
            <w:r>
              <w:rPr>
                <w:sz w:val="20"/>
                <w:szCs w:val="20"/>
                <w:lang w:val="fr-FR" w:eastAsia="en-US"/>
              </w:rPr>
              <w:t xml:space="preserve"> </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98"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6.3.26.</w:t>
            </w:r>
          </w:p>
        </w:tc>
        <w:tc>
          <w:tcPr>
            <w:tcW w:w="8306" w:type="dxa"/>
            <w:tcBorders>
              <w:bottom w:val="single" w:sz="8" w:space="0" w:color="000001"/>
              <w:insideH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 xml:space="preserve">Referent la susţinerea </w:t>
            </w:r>
            <w:r>
              <w:rPr>
                <w:b/>
                <w:bCs/>
                <w:sz w:val="20"/>
                <w:szCs w:val="20"/>
                <w:lang w:val="fr-FR" w:eastAsia="en-US"/>
              </w:rPr>
              <w:t>tezei de doctor</w:t>
            </w:r>
            <w:r>
              <w:rPr>
                <w:sz w:val="20"/>
                <w:szCs w:val="20"/>
                <w:lang w:val="fr-FR" w:eastAsia="en-US"/>
              </w:rPr>
              <w:t xml:space="preserve"> </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115"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6.3.27.</w:t>
            </w:r>
          </w:p>
        </w:tc>
        <w:tc>
          <w:tcPr>
            <w:tcW w:w="8306"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sz w:val="20"/>
                <w:szCs w:val="20"/>
                <w:lang w:val="fr-FR" w:eastAsia="en-US"/>
              </w:rPr>
              <w:t>P</w:t>
            </w:r>
            <w:r>
              <w:rPr>
                <w:rFonts w:cs="Times New Roman CE" w:ascii="Times New Roman CE" w:hAnsi="Times New Roman CE"/>
                <w:sz w:val="20"/>
                <w:szCs w:val="20"/>
                <w:lang w:val="fr-FR" w:eastAsia="en-US"/>
              </w:rPr>
              <w:t>reşedinte al Comsiei examenelor de licenţă / masterat / doctorat</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2 </w:t>
            </w:r>
          </w:p>
        </w:tc>
      </w:tr>
      <w:tr>
        <w:trPr>
          <w:trHeight w:val="127"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6.3.28.</w:t>
            </w:r>
          </w:p>
        </w:tc>
        <w:tc>
          <w:tcPr>
            <w:tcW w:w="8306" w:type="dxa"/>
            <w:tcBorders>
              <w:bottom w:val="single" w:sz="8" w:space="0" w:color="000001"/>
              <w:insideH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Membru al Comisiei examenelor de licenţă / masterat / doctorat</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rFonts w:ascii="Times New Roman" w:hAnsi="Times New Roman"/>
                <w:sz w:val="20"/>
                <w:szCs w:val="20"/>
                <w:lang w:val="fr-FR" w:eastAsia="en-US"/>
              </w:rPr>
            </w:pPr>
            <w:r>
              <w:rPr>
                <w:sz w:val="20"/>
                <w:szCs w:val="20"/>
                <w:lang w:val="fr-FR" w:eastAsia="en-US"/>
              </w:rPr>
            </w:r>
          </w:p>
        </w:tc>
      </w:tr>
      <w:tr>
        <w:trPr>
          <w:trHeight w:val="131"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6.3.29.</w:t>
            </w:r>
          </w:p>
        </w:tc>
        <w:tc>
          <w:tcPr>
            <w:tcW w:w="8306" w:type="dxa"/>
            <w:tcBorders>
              <w:bottom w:val="single" w:sz="8" w:space="0" w:color="000001"/>
              <w:insideH w:val="single" w:sz="8" w:space="0" w:color="000001"/>
            </w:tcBorders>
            <w:shd w:fill="auto" w:val="clear"/>
          </w:tcPr>
          <w:p>
            <w:pPr>
              <w:pStyle w:val="Normal"/>
              <w:widowControl/>
              <w:bidi w:val="0"/>
              <w:ind w:left="0" w:right="0" w:hanging="0"/>
              <w:jc w:val="both"/>
              <w:textAlignment w:val="auto"/>
              <w:rPr>
                <w:lang w:val="fr-FR"/>
              </w:rPr>
            </w:pPr>
            <w:r>
              <w:rPr>
                <w:rFonts w:cs="Times New Roman CE" w:ascii="Times New Roman CE" w:hAnsi="Times New Roman CE"/>
                <w:sz w:val="20"/>
                <w:szCs w:val="20"/>
                <w:lang w:val="fr-FR" w:eastAsia="en-US"/>
              </w:rPr>
              <w:t xml:space="preserve">Preşedinte al seminarului ştiinţific de profil </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60"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6.3.3</w:t>
            </w:r>
            <w:r>
              <w:rPr>
                <w:sz w:val="20"/>
                <w:szCs w:val="20"/>
                <w:lang w:val="fr-FR" w:eastAsia="en-US"/>
              </w:rPr>
              <w:t>0.</w:t>
            </w:r>
          </w:p>
        </w:tc>
        <w:tc>
          <w:tcPr>
            <w:tcW w:w="8306" w:type="dxa"/>
            <w:tcBorders>
              <w:bottom w:val="single" w:sz="8" w:space="0" w:color="000001"/>
              <w:insideH w:val="single" w:sz="8" w:space="0" w:color="000001"/>
            </w:tcBorders>
            <w:shd w:fill="auto" w:val="clear"/>
          </w:tcPr>
          <w:p>
            <w:pPr>
              <w:pStyle w:val="Normal"/>
              <w:widowControl/>
              <w:bidi w:val="0"/>
              <w:ind w:left="0" w:right="0" w:hanging="0"/>
              <w:jc w:val="both"/>
              <w:textAlignment w:val="auto"/>
              <w:rPr>
                <w:lang w:val="fr-FR"/>
              </w:rPr>
            </w:pPr>
            <w:r>
              <w:rPr>
                <w:rFonts w:cs="Times New Roman CE" w:ascii="Times New Roman CE" w:hAnsi="Times New Roman CE"/>
                <w:sz w:val="20"/>
                <w:szCs w:val="20"/>
                <w:lang w:val="fr-FR" w:eastAsia="en-US"/>
              </w:rPr>
              <w:t>Membru al seminarului ştiinţific de profil</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5</w:t>
            </w:r>
          </w:p>
        </w:tc>
      </w:tr>
      <w:tr>
        <w:trPr>
          <w:trHeight w:val="153"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6.3.31.</w:t>
            </w:r>
          </w:p>
        </w:tc>
        <w:tc>
          <w:tcPr>
            <w:tcW w:w="8306" w:type="dxa"/>
            <w:tcBorders>
              <w:bottom w:val="single" w:sz="8" w:space="0" w:color="000001"/>
              <w:insideH w:val="single" w:sz="8" w:space="0" w:color="000001"/>
            </w:tcBorders>
            <w:shd w:fill="auto" w:val="clear"/>
          </w:tcPr>
          <w:p>
            <w:pPr>
              <w:pStyle w:val="Normal"/>
              <w:widowControl/>
              <w:bidi w:val="0"/>
              <w:ind w:left="0" w:right="0" w:hanging="0"/>
              <w:jc w:val="both"/>
              <w:textAlignment w:val="auto"/>
              <w:rPr>
                <w:lang w:val="fr-FR"/>
              </w:rPr>
            </w:pPr>
            <w:r>
              <w:rPr>
                <w:rFonts w:cs="Times New Roman CE" w:ascii="Times New Roman CE" w:hAnsi="Times New Roman CE"/>
                <w:sz w:val="20"/>
                <w:szCs w:val="20"/>
                <w:lang w:val="fr-FR" w:eastAsia="en-US"/>
              </w:rPr>
              <w:t>Secretar al seminarului ştiinţific de profil</w:t>
            </w:r>
          </w:p>
        </w:tc>
        <w:tc>
          <w:tcPr>
            <w:tcW w:w="8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157" w:hRule="atLeast"/>
        </w:trPr>
        <w:tc>
          <w:tcPr>
            <w:tcW w:w="908"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6.3.32.</w:t>
            </w:r>
          </w:p>
        </w:tc>
        <w:tc>
          <w:tcPr>
            <w:tcW w:w="8306"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Recenzent la seminarul ştiinţific de profil; secţie/catedră</w:t>
            </w:r>
          </w:p>
        </w:tc>
        <w:tc>
          <w:tcPr>
            <w:tcW w:w="808"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eastAsia="en-US"/>
              </w:rPr>
              <w:t> </w:t>
            </w:r>
          </w:p>
        </w:tc>
      </w:tr>
    </w:tbl>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tbl>
      <w:tblPr>
        <w:tblW w:w="10314" w:type="dxa"/>
        <w:jc w:val="left"/>
        <w:tblInd w:w="-109" w:type="dxa"/>
        <w:tblBorders>
          <w:top w:val="single" w:sz="8" w:space="0" w:color="000001"/>
          <w:left w:val="single" w:sz="8" w:space="0" w:color="000001"/>
          <w:bottom w:val="single" w:sz="8" w:space="0" w:color="000001"/>
          <w:right w:val="single" w:sz="4" w:space="0" w:color="000001"/>
          <w:insideH w:val="single" w:sz="8" w:space="0" w:color="000001"/>
          <w:insideV w:val="single" w:sz="4" w:space="0" w:color="000001"/>
        </w:tblBorders>
        <w:tblCellMar>
          <w:top w:w="0" w:type="dxa"/>
          <w:left w:w="98" w:type="dxa"/>
          <w:bottom w:w="0" w:type="dxa"/>
          <w:right w:w="108" w:type="dxa"/>
        </w:tblCellMar>
      </w:tblPr>
      <w:tblGrid>
        <w:gridCol w:w="1152"/>
        <w:gridCol w:w="8477"/>
        <w:gridCol w:w="685"/>
      </w:tblGrid>
      <w:tr>
        <w:trPr>
          <w:trHeight w:val="255" w:hRule="atLeast"/>
        </w:trPr>
        <w:tc>
          <w:tcPr>
            <w:tcW w:w="9629" w:type="dxa"/>
            <w:gridSpan w:val="2"/>
            <w:tcBorders>
              <w:top w:val="single" w:sz="8" w:space="0" w:color="000001"/>
              <w:left w:val="single" w:sz="8" w:space="0" w:color="000001"/>
              <w:bottom w:val="single" w:sz="8" w:space="0" w:color="000001"/>
              <w:right w:val="single" w:sz="4" w:space="0" w:color="000001"/>
              <w:insideH w:val="single" w:sz="8" w:space="0" w:color="000001"/>
              <w:insideV w:val="single" w:sz="4" w:space="0" w:color="000001"/>
            </w:tcBorders>
            <w:shd w:fill="auto" w:val="clear"/>
            <w:tcMar>
              <w:left w:w="98" w:type="dxa"/>
            </w:tcMar>
            <w:vAlign w:val="bottom"/>
          </w:tcPr>
          <w:p>
            <w:pPr>
              <w:pStyle w:val="Normal"/>
              <w:widowControl/>
              <w:bidi w:val="0"/>
              <w:ind w:left="0" w:right="0" w:hanging="0"/>
              <w:jc w:val="center"/>
              <w:textAlignment w:val="auto"/>
              <w:rPr>
                <w:lang w:val="en-US"/>
              </w:rPr>
            </w:pPr>
            <w:r>
              <w:rPr>
                <w:rFonts w:cs="Times New Roman CE" w:ascii="Times New Roman CE" w:hAnsi="Times New Roman CE"/>
                <w:b/>
                <w:bCs/>
                <w:sz w:val="20"/>
                <w:szCs w:val="20"/>
                <w:lang w:val="en-US" w:eastAsia="en-US"/>
              </w:rPr>
              <w:t>7. RELEVANŢA ECONOMICĂ</w:t>
            </w:r>
          </w:p>
        </w:tc>
        <w:tc>
          <w:tcPr>
            <w:tcW w:w="68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b/>
                <w:bCs/>
                <w:sz w:val="20"/>
                <w:szCs w:val="20"/>
                <w:lang w:val="en-US" w:eastAsia="en-US"/>
              </w:rPr>
              <w:t>2016</w:t>
            </w:r>
          </w:p>
        </w:tc>
      </w:tr>
      <w:tr>
        <w:trPr>
          <w:trHeight w:val="255" w:hRule="atLeast"/>
        </w:trPr>
        <w:tc>
          <w:tcPr>
            <w:tcW w:w="115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c>
          <w:tcPr>
            <w:tcW w:w="9162" w:type="dxa"/>
            <w:gridSpan w:val="2"/>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lang w:val="en-US"/>
              </w:rPr>
            </w:pPr>
            <w:r>
              <w:rPr>
                <w:rFonts w:cs="Times New Roman CE" w:ascii="Times New Roman CE" w:hAnsi="Times New Roman CE"/>
                <w:b/>
                <w:bCs/>
                <w:sz w:val="20"/>
                <w:szCs w:val="20"/>
                <w:lang w:val="en-US" w:eastAsia="en-US"/>
              </w:rPr>
              <w:t>7.1. Activitatea de brevetare, licenţiere, certificare a produselor</w:t>
            </w:r>
          </w:p>
        </w:tc>
      </w:tr>
      <w:tr>
        <w:trPr>
          <w:trHeight w:val="510" w:hRule="atLeast"/>
        </w:trPr>
        <w:tc>
          <w:tcPr>
            <w:tcW w:w="115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7.1.1.</w:t>
            </w:r>
          </w:p>
        </w:tc>
        <w:tc>
          <w:tcPr>
            <w:tcW w:w="847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Contracte de licenţă (cesiune) în baza brevetelor, know-how  şi soiurilor de plante omologate, rase, tipuri, linii de animale şi păsări</w:t>
            </w:r>
          </w:p>
        </w:tc>
        <w:tc>
          <w:tcPr>
            <w:tcW w:w="685" w:type="dxa"/>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fr-FR"/>
              </w:rPr>
            </w:pPr>
            <w:r>
              <w:rPr>
                <w:sz w:val="20"/>
                <w:szCs w:val="20"/>
                <w:lang w:val="fr-FR" w:eastAsia="en-US"/>
              </w:rPr>
              <w:t> </w:t>
            </w:r>
          </w:p>
        </w:tc>
      </w:tr>
      <w:tr>
        <w:trPr>
          <w:trHeight w:val="510" w:hRule="atLeast"/>
        </w:trPr>
        <w:tc>
          <w:tcPr>
            <w:tcW w:w="115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7.1.2.</w:t>
            </w:r>
          </w:p>
        </w:tc>
        <w:tc>
          <w:tcPr>
            <w:tcW w:w="847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Brevete obţinute, adeverinţe de soi, documentaţie, tehnologii, regulamente tehnice, standarde înregistrate</w:t>
            </w:r>
          </w:p>
        </w:tc>
        <w:tc>
          <w:tcPr>
            <w:tcW w:w="685" w:type="dxa"/>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fr-FR"/>
              </w:rPr>
            </w:pPr>
            <w:r>
              <w:rPr>
                <w:sz w:val="20"/>
                <w:szCs w:val="20"/>
                <w:lang w:val="fr-FR" w:eastAsia="en-US"/>
              </w:rPr>
              <w:t> </w:t>
            </w:r>
          </w:p>
        </w:tc>
      </w:tr>
      <w:tr>
        <w:trPr>
          <w:trHeight w:val="255" w:hRule="atLeast"/>
        </w:trPr>
        <w:tc>
          <w:tcPr>
            <w:tcW w:w="115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7.1.3.</w:t>
            </w:r>
          </w:p>
        </w:tc>
        <w:tc>
          <w:tcPr>
            <w:tcW w:w="847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Hotărîri de ac</w:t>
            </w:r>
            <w:r>
              <w:rPr>
                <w:sz w:val="20"/>
                <w:szCs w:val="20"/>
                <w:lang w:val="fr-FR" w:eastAsia="en-US"/>
              </w:rPr>
              <w:t>ordare a brevetelor</w:t>
            </w:r>
          </w:p>
        </w:tc>
        <w:tc>
          <w:tcPr>
            <w:tcW w:w="685" w:type="dxa"/>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fr-FR"/>
              </w:rPr>
            </w:pPr>
            <w:r>
              <w:rPr>
                <w:sz w:val="20"/>
                <w:szCs w:val="20"/>
                <w:lang w:val="fr-FR" w:eastAsia="en-US"/>
              </w:rPr>
              <w:t> </w:t>
            </w:r>
          </w:p>
        </w:tc>
      </w:tr>
      <w:tr>
        <w:trPr>
          <w:trHeight w:val="510" w:hRule="atLeast"/>
        </w:trPr>
        <w:tc>
          <w:tcPr>
            <w:tcW w:w="115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7.1.4.</w:t>
            </w:r>
          </w:p>
        </w:tc>
        <w:tc>
          <w:tcPr>
            <w:tcW w:w="8477"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fr-FR"/>
              </w:rPr>
            </w:pPr>
            <w:r>
              <w:rPr>
                <w:sz w:val="20"/>
                <w:szCs w:val="20"/>
                <w:lang w:val="fr-FR" w:eastAsia="en-US"/>
              </w:rPr>
              <w:t>Cereri de brevetare înaintate la AGEPI, cereri înaintate la Comisia de Stat pentru Testarea Soiurilor de Plante</w:t>
            </w:r>
          </w:p>
        </w:tc>
        <w:tc>
          <w:tcPr>
            <w:tcW w:w="685" w:type="dxa"/>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fr-FR"/>
              </w:rPr>
            </w:pPr>
            <w:r>
              <w:rPr>
                <w:sz w:val="20"/>
                <w:szCs w:val="20"/>
                <w:lang w:val="fr-FR" w:eastAsia="en-US"/>
              </w:rPr>
              <w:t>2 </w:t>
            </w:r>
          </w:p>
        </w:tc>
      </w:tr>
      <w:tr>
        <w:trPr>
          <w:trHeight w:val="255" w:hRule="atLeast"/>
        </w:trPr>
        <w:tc>
          <w:tcPr>
            <w:tcW w:w="1152" w:type="dxa"/>
            <w:tcBorders>
              <w:left w:val="single" w:sz="8" w:space="0" w:color="000001"/>
              <w:bottom w:val="single" w:sz="4" w:space="0" w:color="000001"/>
              <w:right w:val="single" w:sz="8" w:space="0" w:color="000001"/>
              <w:insideH w:val="single" w:sz="4"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7.1.5.</w:t>
            </w:r>
          </w:p>
        </w:tc>
        <w:tc>
          <w:tcPr>
            <w:tcW w:w="847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Brevete implementate</w:t>
            </w:r>
          </w:p>
        </w:tc>
        <w:tc>
          <w:tcPr>
            <w:tcW w:w="685" w:type="dxa"/>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55" w:hRule="atLeast"/>
        </w:trPr>
        <w:tc>
          <w:tcPr>
            <w:tcW w:w="1152"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3" w:type="dxa"/>
            </w:tcMar>
            <w:vAlign w:val="bottom"/>
          </w:tcPr>
          <w:p>
            <w:pPr>
              <w:pStyle w:val="Normal"/>
              <w:widowControl/>
              <w:bidi w:val="0"/>
              <w:ind w:left="0" w:right="0" w:hanging="0"/>
              <w:jc w:val="center"/>
              <w:textAlignment w:val="auto"/>
              <w:rPr>
                <w:lang w:val="en-US"/>
              </w:rPr>
            </w:pPr>
            <w:r>
              <w:rPr>
                <w:sz w:val="20"/>
                <w:szCs w:val="20"/>
                <w:lang w:val="en-US" w:eastAsia="en-US"/>
              </w:rPr>
              <w:t>7.1.6.</w:t>
            </w:r>
          </w:p>
        </w:tc>
        <w:tc>
          <w:tcPr>
            <w:tcW w:w="8477" w:type="dxa"/>
            <w:tcBorders>
              <w:left w:val="single" w:sz="4" w:space="0" w:color="000001"/>
              <w:bottom w:val="single" w:sz="8" w:space="0" w:color="000001"/>
              <w:right w:val="single" w:sz="8" w:space="0" w:color="000001"/>
              <w:insideH w:val="single" w:sz="8" w:space="0" w:color="000001"/>
              <w:insideV w:val="single" w:sz="8" w:space="0" w:color="000001"/>
            </w:tcBorders>
            <w:shd w:fill="auto" w:val="clear"/>
            <w:tcMar>
              <w:left w:w="103" w:type="dxa"/>
            </w:tcM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Certificate de soi, obţinute în perioada evaluată</w:t>
            </w:r>
          </w:p>
        </w:tc>
        <w:tc>
          <w:tcPr>
            <w:tcW w:w="685" w:type="dxa"/>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fr-FR"/>
              </w:rPr>
            </w:pPr>
            <w:r>
              <w:rPr>
                <w:sz w:val="20"/>
                <w:szCs w:val="20"/>
                <w:lang w:val="fr-FR" w:eastAsia="en-US"/>
              </w:rPr>
              <w:t> </w:t>
            </w:r>
          </w:p>
        </w:tc>
      </w:tr>
      <w:tr>
        <w:trPr>
          <w:trHeight w:val="255" w:hRule="atLeast"/>
        </w:trPr>
        <w:tc>
          <w:tcPr>
            <w:tcW w:w="1152" w:type="dxa"/>
            <w:tcBorders>
              <w:top w:val="single" w:sz="4"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fr-FR"/>
              </w:rPr>
            </w:pPr>
            <w:r>
              <w:rPr>
                <w:sz w:val="20"/>
                <w:szCs w:val="20"/>
                <w:lang w:val="fr-FR" w:eastAsia="en-US"/>
              </w:rPr>
              <w:t> </w:t>
            </w:r>
          </w:p>
        </w:tc>
        <w:tc>
          <w:tcPr>
            <w:tcW w:w="9162" w:type="dxa"/>
            <w:gridSpan w:val="2"/>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lang w:val="en-US"/>
              </w:rPr>
            </w:pPr>
            <w:r>
              <w:rPr>
                <w:rFonts w:cs="Times New Roman CE" w:ascii="Times New Roman CE" w:hAnsi="Times New Roman CE"/>
                <w:b/>
                <w:bCs/>
                <w:sz w:val="20"/>
                <w:szCs w:val="20"/>
                <w:lang w:val="en-US" w:eastAsia="en-US"/>
              </w:rPr>
              <w:t>7.2. Elaborări, t</w:t>
            </w:r>
            <w:r>
              <w:rPr>
                <w:b/>
                <w:bCs/>
                <w:sz w:val="20"/>
                <w:szCs w:val="20"/>
                <w:lang w:val="en-US" w:eastAsia="en-US"/>
              </w:rPr>
              <w:t>ransfer tehnologic</w:t>
            </w:r>
          </w:p>
        </w:tc>
      </w:tr>
      <w:tr>
        <w:trPr>
          <w:trHeight w:val="255" w:hRule="atLeast"/>
        </w:trPr>
        <w:tc>
          <w:tcPr>
            <w:tcW w:w="115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7.2.1.</w:t>
            </w:r>
          </w:p>
        </w:tc>
        <w:tc>
          <w:tcPr>
            <w:tcW w:w="847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Produse, material semincer, echipamente asimilate în fabricare de serie</w:t>
            </w:r>
          </w:p>
        </w:tc>
        <w:tc>
          <w:tcPr>
            <w:tcW w:w="685" w:type="dxa"/>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510" w:hRule="atLeast"/>
        </w:trPr>
        <w:tc>
          <w:tcPr>
            <w:tcW w:w="115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7.2.2.</w:t>
            </w:r>
          </w:p>
        </w:tc>
        <w:tc>
          <w:tcPr>
            <w:tcW w:w="847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Tehnologii, secvenţe tehnologice, produse noi şi seminţe de soiuri realizate şi valorificate la agenţi economici prin contracte cu un volum de finanţare &gt;100 mii lei</w:t>
            </w:r>
          </w:p>
        </w:tc>
        <w:tc>
          <w:tcPr>
            <w:tcW w:w="685" w:type="dxa"/>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r>
      <w:tr>
        <w:trPr>
          <w:trHeight w:val="510" w:hRule="atLeast"/>
        </w:trPr>
        <w:tc>
          <w:tcPr>
            <w:tcW w:w="115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7.2.3.</w:t>
            </w:r>
          </w:p>
        </w:tc>
        <w:tc>
          <w:tcPr>
            <w:tcW w:w="847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Tehnologii, secvenţe tehnologice, produse noi şi seminţe de soiuri realizate şi valorificate la agenţi economici prin contracte cu un volum de finanţare &lt;100 mii lei</w:t>
            </w:r>
          </w:p>
        </w:tc>
        <w:tc>
          <w:tcPr>
            <w:tcW w:w="685" w:type="dxa"/>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fr-FR"/>
              </w:rPr>
            </w:pPr>
            <w:r>
              <w:rPr>
                <w:sz w:val="20"/>
                <w:szCs w:val="20"/>
                <w:lang w:val="fr-FR" w:eastAsia="en-US"/>
              </w:rPr>
              <w:t> </w:t>
            </w:r>
          </w:p>
        </w:tc>
      </w:tr>
      <w:tr>
        <w:trPr>
          <w:trHeight w:val="255" w:hRule="atLeast"/>
        </w:trPr>
        <w:tc>
          <w:tcPr>
            <w:tcW w:w="115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7.2.4.</w:t>
            </w:r>
          </w:p>
        </w:tc>
        <w:tc>
          <w:tcPr>
            <w:tcW w:w="847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Produse noi valorificate la agenţi economici prin co</w:t>
            </w:r>
            <w:r>
              <w:rPr>
                <w:sz w:val="20"/>
                <w:szCs w:val="20"/>
                <w:lang w:val="fr-FR" w:eastAsia="en-US"/>
              </w:rPr>
              <w:t>laborare sau contracte de royalty</w:t>
            </w:r>
          </w:p>
        </w:tc>
        <w:tc>
          <w:tcPr>
            <w:tcW w:w="685" w:type="dxa"/>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fr-FR"/>
              </w:rPr>
            </w:pPr>
            <w:r>
              <w:rPr>
                <w:sz w:val="20"/>
                <w:szCs w:val="20"/>
                <w:lang w:val="fr-FR" w:eastAsia="en-US"/>
              </w:rPr>
              <w:t> </w:t>
            </w:r>
          </w:p>
        </w:tc>
      </w:tr>
      <w:tr>
        <w:trPr>
          <w:trHeight w:val="255" w:hRule="atLeast"/>
        </w:trPr>
        <w:tc>
          <w:tcPr>
            <w:tcW w:w="115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7.2.5.</w:t>
            </w:r>
          </w:p>
        </w:tc>
        <w:tc>
          <w:tcPr>
            <w:tcW w:w="847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 xml:space="preserve">Softul elaborat şi implementat </w:t>
            </w:r>
          </w:p>
        </w:tc>
        <w:tc>
          <w:tcPr>
            <w:tcW w:w="685" w:type="dxa"/>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r>
      <w:tr>
        <w:trPr>
          <w:trHeight w:val="255" w:hRule="atLeast"/>
        </w:trPr>
        <w:tc>
          <w:tcPr>
            <w:tcW w:w="115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7.2.6.</w:t>
            </w:r>
          </w:p>
        </w:tc>
        <w:tc>
          <w:tcPr>
            <w:tcW w:w="847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Mostre de maşini, echipamente,dispozitive funcţionale elaborate în perioada evaluată</w:t>
            </w:r>
          </w:p>
        </w:tc>
        <w:tc>
          <w:tcPr>
            <w:tcW w:w="685"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55" w:hRule="atLeast"/>
        </w:trPr>
        <w:tc>
          <w:tcPr>
            <w:tcW w:w="115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7.2.7.</w:t>
            </w:r>
          </w:p>
        </w:tc>
        <w:tc>
          <w:tcPr>
            <w:tcW w:w="847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Atlase şi hărţi editate</w:t>
            </w:r>
          </w:p>
        </w:tc>
        <w:tc>
          <w:tcPr>
            <w:tcW w:w="685" w:type="dxa"/>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55" w:hRule="atLeast"/>
        </w:trPr>
        <w:tc>
          <w:tcPr>
            <w:tcW w:w="115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7.2.8.</w:t>
            </w:r>
          </w:p>
        </w:tc>
        <w:tc>
          <w:tcPr>
            <w:tcW w:w="847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Materiale noi documentate</w:t>
            </w:r>
          </w:p>
        </w:tc>
        <w:tc>
          <w:tcPr>
            <w:tcW w:w="685" w:type="dxa"/>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55" w:hRule="atLeast"/>
        </w:trPr>
        <w:tc>
          <w:tcPr>
            <w:tcW w:w="115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7.2.9.</w:t>
            </w:r>
          </w:p>
        </w:tc>
        <w:tc>
          <w:tcPr>
            <w:tcW w:w="847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Substa</w:t>
            </w:r>
            <w:r>
              <w:rPr>
                <w:rFonts w:cs="Times New Roman CE" w:ascii="Times New Roman CE" w:hAnsi="Times New Roman CE"/>
                <w:sz w:val="20"/>
                <w:szCs w:val="20"/>
                <w:lang w:val="en-US" w:eastAsia="en-US"/>
              </w:rPr>
              <w:t>nţe noi documentate</w:t>
            </w:r>
          </w:p>
        </w:tc>
        <w:tc>
          <w:tcPr>
            <w:tcW w:w="685" w:type="dxa"/>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55" w:hRule="atLeast"/>
        </w:trPr>
        <w:tc>
          <w:tcPr>
            <w:tcW w:w="115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center"/>
              <w:textAlignment w:val="auto"/>
              <w:rPr>
                <w:lang w:val="en-US"/>
              </w:rPr>
            </w:pPr>
            <w:r>
              <w:rPr>
                <w:sz w:val="20"/>
                <w:szCs w:val="20"/>
                <w:lang w:val="en-US" w:eastAsia="en-US"/>
              </w:rPr>
              <w:t>7.2.10.</w:t>
            </w:r>
          </w:p>
        </w:tc>
        <w:tc>
          <w:tcPr>
            <w:tcW w:w="847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Tehnologii noi documentate</w:t>
            </w:r>
          </w:p>
        </w:tc>
        <w:tc>
          <w:tcPr>
            <w:tcW w:w="685" w:type="dxa"/>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55" w:hRule="atLeast"/>
        </w:trPr>
        <w:tc>
          <w:tcPr>
            <w:tcW w:w="115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center"/>
              <w:textAlignment w:val="auto"/>
              <w:rPr>
                <w:lang w:val="en-US"/>
              </w:rPr>
            </w:pPr>
            <w:r>
              <w:rPr>
                <w:sz w:val="20"/>
                <w:szCs w:val="20"/>
                <w:lang w:val="en-US" w:eastAsia="en-US"/>
              </w:rPr>
              <w:t>7.2.11.</w:t>
            </w:r>
          </w:p>
        </w:tc>
        <w:tc>
          <w:tcPr>
            <w:tcW w:w="847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Metode noi documentate</w:t>
            </w:r>
          </w:p>
        </w:tc>
        <w:tc>
          <w:tcPr>
            <w:tcW w:w="685" w:type="dxa"/>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55" w:hRule="atLeast"/>
        </w:trPr>
        <w:tc>
          <w:tcPr>
            <w:tcW w:w="115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center"/>
              <w:textAlignment w:val="auto"/>
              <w:rPr>
                <w:lang w:val="en-US"/>
              </w:rPr>
            </w:pPr>
            <w:r>
              <w:rPr>
                <w:sz w:val="20"/>
                <w:szCs w:val="20"/>
                <w:lang w:val="en-US" w:eastAsia="en-US"/>
              </w:rPr>
              <w:t>7.2.12.</w:t>
            </w:r>
          </w:p>
        </w:tc>
        <w:tc>
          <w:tcPr>
            <w:tcW w:w="847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Procedee noi documentate</w:t>
            </w:r>
          </w:p>
        </w:tc>
        <w:tc>
          <w:tcPr>
            <w:tcW w:w="685" w:type="dxa"/>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55" w:hRule="atLeast"/>
        </w:trPr>
        <w:tc>
          <w:tcPr>
            <w:tcW w:w="115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center"/>
              <w:textAlignment w:val="auto"/>
              <w:rPr>
                <w:lang w:val="en-US"/>
              </w:rPr>
            </w:pPr>
            <w:r>
              <w:rPr>
                <w:sz w:val="20"/>
                <w:szCs w:val="20"/>
                <w:lang w:val="en-US" w:eastAsia="en-US"/>
              </w:rPr>
              <w:t>7.2.13.</w:t>
            </w:r>
          </w:p>
        </w:tc>
        <w:tc>
          <w:tcPr>
            <w:tcW w:w="847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Linii create</w:t>
            </w:r>
          </w:p>
        </w:tc>
        <w:tc>
          <w:tcPr>
            <w:tcW w:w="685" w:type="dxa"/>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55" w:hRule="atLeast"/>
        </w:trPr>
        <w:tc>
          <w:tcPr>
            <w:tcW w:w="115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center"/>
              <w:textAlignment w:val="auto"/>
              <w:rPr>
                <w:lang w:val="en-US"/>
              </w:rPr>
            </w:pPr>
            <w:r>
              <w:rPr>
                <w:sz w:val="20"/>
                <w:szCs w:val="20"/>
                <w:lang w:val="en-US" w:eastAsia="en-US"/>
              </w:rPr>
              <w:t>7.2.14.</w:t>
            </w:r>
          </w:p>
        </w:tc>
        <w:tc>
          <w:tcPr>
            <w:tcW w:w="847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Hibrizi create</w:t>
            </w:r>
          </w:p>
        </w:tc>
        <w:tc>
          <w:tcPr>
            <w:tcW w:w="685" w:type="dxa"/>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55" w:hRule="atLeast"/>
        </w:trPr>
        <w:tc>
          <w:tcPr>
            <w:tcW w:w="115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center"/>
              <w:textAlignment w:val="auto"/>
              <w:rPr>
                <w:lang w:val="en-US"/>
              </w:rPr>
            </w:pPr>
            <w:r>
              <w:rPr>
                <w:sz w:val="20"/>
                <w:szCs w:val="20"/>
                <w:lang w:val="en-US" w:eastAsia="en-US"/>
              </w:rPr>
              <w:t>7.2.15.</w:t>
            </w:r>
          </w:p>
        </w:tc>
        <w:tc>
          <w:tcPr>
            <w:tcW w:w="847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Soiuri create</w:t>
            </w:r>
          </w:p>
        </w:tc>
        <w:tc>
          <w:tcPr>
            <w:tcW w:w="685" w:type="dxa"/>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55" w:hRule="atLeast"/>
        </w:trPr>
        <w:tc>
          <w:tcPr>
            <w:tcW w:w="115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center"/>
              <w:textAlignment w:val="auto"/>
              <w:rPr>
                <w:lang w:val="en-US"/>
              </w:rPr>
            </w:pPr>
            <w:r>
              <w:rPr>
                <w:sz w:val="20"/>
                <w:szCs w:val="20"/>
                <w:lang w:val="en-US" w:eastAsia="en-US"/>
              </w:rPr>
              <w:t>7.2.16.</w:t>
            </w:r>
          </w:p>
        </w:tc>
        <w:tc>
          <w:tcPr>
            <w:tcW w:w="847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Rase create</w:t>
            </w:r>
          </w:p>
        </w:tc>
        <w:tc>
          <w:tcPr>
            <w:tcW w:w="685" w:type="dxa"/>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55" w:hRule="atLeast"/>
        </w:trPr>
        <w:tc>
          <w:tcPr>
            <w:tcW w:w="115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center"/>
              <w:textAlignment w:val="auto"/>
              <w:rPr>
                <w:lang w:val="en-US"/>
              </w:rPr>
            </w:pPr>
            <w:r>
              <w:rPr>
                <w:sz w:val="20"/>
                <w:szCs w:val="20"/>
                <w:lang w:val="en-US" w:eastAsia="en-US"/>
              </w:rPr>
              <w:t>7.2.17.</w:t>
            </w:r>
          </w:p>
        </w:tc>
        <w:tc>
          <w:tcPr>
            <w:tcW w:w="847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Suşe create</w:t>
            </w:r>
          </w:p>
        </w:tc>
        <w:tc>
          <w:tcPr>
            <w:tcW w:w="685" w:type="dxa"/>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55" w:hRule="atLeast"/>
        </w:trPr>
        <w:tc>
          <w:tcPr>
            <w:tcW w:w="115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center"/>
              <w:textAlignment w:val="auto"/>
              <w:rPr>
                <w:lang w:val="en-US"/>
              </w:rPr>
            </w:pPr>
            <w:r>
              <w:rPr>
                <w:sz w:val="20"/>
                <w:szCs w:val="20"/>
                <w:lang w:val="en-US" w:eastAsia="en-US"/>
              </w:rPr>
              <w:t>7.2.18.</w:t>
            </w:r>
          </w:p>
        </w:tc>
        <w:tc>
          <w:tcPr>
            <w:tcW w:w="847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Linii, hibrizi, soiuri, rase, suşe omologate si înscrise în registru</w:t>
            </w:r>
          </w:p>
        </w:tc>
        <w:tc>
          <w:tcPr>
            <w:tcW w:w="685" w:type="dxa"/>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fr-FR"/>
              </w:rPr>
            </w:pPr>
            <w:r>
              <w:rPr>
                <w:sz w:val="20"/>
                <w:szCs w:val="20"/>
                <w:lang w:val="fr-FR" w:eastAsia="en-US"/>
              </w:rPr>
              <w:t> </w:t>
            </w:r>
          </w:p>
        </w:tc>
      </w:tr>
      <w:tr>
        <w:trPr>
          <w:trHeight w:val="255" w:hRule="atLeast"/>
        </w:trPr>
        <w:tc>
          <w:tcPr>
            <w:tcW w:w="115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tcPr>
          <w:p>
            <w:pPr>
              <w:pStyle w:val="Normal"/>
              <w:widowControl/>
              <w:bidi w:val="0"/>
              <w:ind w:left="0" w:right="0" w:hanging="0"/>
              <w:jc w:val="center"/>
              <w:textAlignment w:val="auto"/>
              <w:rPr>
                <w:lang w:val="en-US"/>
              </w:rPr>
            </w:pPr>
            <w:r>
              <w:rPr>
                <w:sz w:val="20"/>
                <w:szCs w:val="20"/>
                <w:lang w:val="en-US" w:eastAsia="en-US"/>
              </w:rPr>
              <w:t>7.2.19.</w:t>
            </w:r>
          </w:p>
        </w:tc>
        <w:tc>
          <w:tcPr>
            <w:tcW w:w="847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Alte rezultate (de indicat)</w:t>
            </w:r>
          </w:p>
        </w:tc>
        <w:tc>
          <w:tcPr>
            <w:tcW w:w="685" w:type="dxa"/>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55" w:hRule="atLeast"/>
        </w:trPr>
        <w:tc>
          <w:tcPr>
            <w:tcW w:w="115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 </w:t>
            </w:r>
          </w:p>
        </w:tc>
        <w:tc>
          <w:tcPr>
            <w:tcW w:w="9162" w:type="dxa"/>
            <w:gridSpan w:val="2"/>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lang w:val="en-US"/>
              </w:rPr>
            </w:pPr>
            <w:r>
              <w:rPr>
                <w:rFonts w:cs="Times New Roman CE" w:ascii="Times New Roman CE" w:hAnsi="Times New Roman CE"/>
                <w:b/>
                <w:bCs/>
                <w:sz w:val="20"/>
                <w:szCs w:val="20"/>
                <w:lang w:val="en-US" w:eastAsia="en-US"/>
              </w:rPr>
              <w:t>7.3. Asistenţă şi servicii ştiinţifice prestate</w:t>
            </w:r>
          </w:p>
        </w:tc>
      </w:tr>
      <w:tr>
        <w:trPr>
          <w:trHeight w:val="255" w:hRule="atLeast"/>
        </w:trPr>
        <w:tc>
          <w:tcPr>
            <w:tcW w:w="115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7.3.1.</w:t>
            </w:r>
          </w:p>
        </w:tc>
        <w:tc>
          <w:tcPr>
            <w:tcW w:w="847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Recomandări ştiinţifico-practice documentate</w:t>
            </w:r>
          </w:p>
        </w:tc>
        <w:tc>
          <w:tcPr>
            <w:tcW w:w="685" w:type="dxa"/>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55" w:hRule="atLeast"/>
        </w:trPr>
        <w:tc>
          <w:tcPr>
            <w:tcW w:w="115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7.3.2.</w:t>
            </w:r>
          </w:p>
        </w:tc>
        <w:tc>
          <w:tcPr>
            <w:tcW w:w="847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Prestări de servicii în labo</w:t>
            </w:r>
            <w:r>
              <w:rPr>
                <w:sz w:val="20"/>
                <w:szCs w:val="20"/>
                <w:lang w:val="en-US" w:eastAsia="en-US"/>
              </w:rPr>
              <w:t>ratoare acreditate</w:t>
            </w:r>
          </w:p>
        </w:tc>
        <w:tc>
          <w:tcPr>
            <w:tcW w:w="685" w:type="dxa"/>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 </w:t>
            </w:r>
          </w:p>
        </w:tc>
      </w:tr>
      <w:tr>
        <w:trPr>
          <w:trHeight w:val="255" w:hRule="atLeast"/>
        </w:trPr>
        <w:tc>
          <w:tcPr>
            <w:tcW w:w="1152"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7.3.3.</w:t>
            </w:r>
          </w:p>
        </w:tc>
        <w:tc>
          <w:tcPr>
            <w:tcW w:w="8477"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Prestări de servicii în laboratoare neacreditate</w:t>
            </w:r>
          </w:p>
        </w:tc>
        <w:tc>
          <w:tcPr>
            <w:tcW w:w="685" w:type="dxa"/>
            <w:tcBorders>
              <w:bottom w:val="single" w:sz="8" w:space="0" w:color="000001"/>
              <w:right w:val="single" w:sz="8" w:space="0" w:color="000001"/>
              <w:insideH w:val="single" w:sz="8" w:space="0" w:color="000001"/>
              <w:insideV w:val="single" w:sz="8" w:space="0" w:color="000001"/>
            </w:tcBorders>
            <w:shd w:fill="auto" w:val="clear"/>
            <w:vAlign w:val="center"/>
          </w:tcPr>
          <w:p>
            <w:pPr>
              <w:pStyle w:val="Normal"/>
              <w:widowControl/>
              <w:bidi w:val="0"/>
              <w:ind w:left="0" w:right="0" w:hanging="0"/>
              <w:jc w:val="center"/>
              <w:textAlignment w:val="auto"/>
              <w:rPr>
                <w:lang w:val="en-US"/>
              </w:rPr>
            </w:pPr>
            <w:r>
              <w:rPr>
                <w:sz w:val="20"/>
                <w:szCs w:val="20"/>
                <w:lang w:val="en-US" w:eastAsia="en-US"/>
              </w:rPr>
              <w:t>1</w:t>
            </w:r>
          </w:p>
        </w:tc>
      </w:tr>
    </w:tbl>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p>
      <w:pPr>
        <w:sectPr>
          <w:type w:val="nextPage"/>
          <w:pgSz w:w="11906" w:h="16838"/>
          <w:pgMar w:left="1560" w:right="720" w:header="0" w:top="284" w:footer="0" w:bottom="426" w:gutter="0"/>
          <w:pgNumType w:fmt="decimal"/>
          <w:formProt w:val="false"/>
          <w:textDirection w:val="lrTb"/>
          <w:docGrid w:type="default" w:linePitch="240" w:charSpace="4294961151"/>
        </w:sect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tbl>
      <w:tblPr>
        <w:tblW w:w="8641" w:type="dxa"/>
        <w:jc w:val="left"/>
        <w:tblInd w:w="-109" w:type="dxa"/>
        <w:tblBorders>
          <w:left w:val="single" w:sz="8" w:space="0" w:color="000001"/>
          <w:bottom w:val="single" w:sz="8" w:space="0" w:color="000001"/>
          <w:right w:val="single" w:sz="8" w:space="0" w:color="000001"/>
          <w:insideH w:val="single" w:sz="8" w:space="0" w:color="000001"/>
          <w:insideV w:val="single" w:sz="8" w:space="0" w:color="000001"/>
        </w:tblBorders>
        <w:tblCellMar>
          <w:top w:w="0" w:type="dxa"/>
          <w:left w:w="98" w:type="dxa"/>
          <w:bottom w:w="0" w:type="dxa"/>
          <w:right w:w="108" w:type="dxa"/>
        </w:tblCellMar>
      </w:tblPr>
      <w:tblGrid>
        <w:gridCol w:w="765"/>
        <w:gridCol w:w="7035"/>
        <w:gridCol w:w="841"/>
      </w:tblGrid>
      <w:tr>
        <w:trPr>
          <w:trHeight w:val="255"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 </w:t>
            </w:r>
          </w:p>
        </w:tc>
        <w:tc>
          <w:tcPr>
            <w:tcW w:w="7876" w:type="dxa"/>
            <w:gridSpan w:val="2"/>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lang w:val="fr-FR"/>
              </w:rPr>
            </w:pPr>
            <w:r>
              <w:rPr>
                <w:rFonts w:cs="Times New Roman CE" w:ascii="Times New Roman CE" w:hAnsi="Times New Roman CE"/>
                <w:b/>
                <w:bCs/>
                <w:sz w:val="20"/>
                <w:szCs w:val="20"/>
                <w:lang w:val="fr-FR" w:eastAsia="en-US"/>
              </w:rPr>
              <w:t>8.1. Transfer de cunoştinţe şi activitate didactică</w:t>
            </w:r>
          </w:p>
        </w:tc>
      </w:tr>
      <w:tr>
        <w:trPr>
          <w:trHeight w:val="255"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8.1.1.</w:t>
            </w:r>
          </w:p>
        </w:tc>
        <w:tc>
          <w:tcPr>
            <w:tcW w:w="7035"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Articole în enciclopedii</w:t>
            </w:r>
          </w:p>
        </w:tc>
        <w:tc>
          <w:tcPr>
            <w:tcW w:w="84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55"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8.1.2.</w:t>
            </w:r>
          </w:p>
        </w:tc>
        <w:tc>
          <w:tcPr>
            <w:tcW w:w="7035"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Dicţionare</w:t>
            </w:r>
          </w:p>
        </w:tc>
        <w:tc>
          <w:tcPr>
            <w:tcW w:w="84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55" w:hRule="atLeast"/>
        </w:trPr>
        <w:tc>
          <w:tcPr>
            <w:tcW w:w="765" w:type="dxa"/>
            <w:tcBorders>
              <w:left w:val="single" w:sz="8" w:space="0" w:color="000001"/>
              <w:right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8.1.3.</w:t>
            </w:r>
          </w:p>
        </w:tc>
        <w:tc>
          <w:tcPr>
            <w:tcW w:w="7035"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Manuale pentru învăţământ universitar</w:t>
            </w:r>
          </w:p>
        </w:tc>
        <w:tc>
          <w:tcPr>
            <w:tcW w:w="84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lang w:val="en-US" w:eastAsia="en-US"/>
              </w:rPr>
            </w:pPr>
            <w:r>
              <w:rPr>
                <w:sz w:val="20"/>
                <w:szCs w:val="20"/>
                <w:lang w:val="en-US" w:eastAsia="en-US"/>
              </w:rPr>
            </w:r>
          </w:p>
        </w:tc>
      </w:tr>
      <w:tr>
        <w:trPr>
          <w:trHeight w:val="255" w:hRule="atLeast"/>
        </w:trPr>
        <w:tc>
          <w:tcPr>
            <w:tcW w:w="765"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8.1.4.</w:t>
            </w:r>
          </w:p>
        </w:tc>
        <w:tc>
          <w:tcPr>
            <w:tcW w:w="7035"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sz w:val="20"/>
                <w:szCs w:val="20"/>
                <w:lang w:val="en-US" w:eastAsia="en-US"/>
              </w:rPr>
              <w:t>Manual</w:t>
            </w:r>
            <w:r>
              <w:rPr>
                <w:rFonts w:cs="Times New Roman CE" w:ascii="Times New Roman CE" w:hAnsi="Times New Roman CE"/>
                <w:sz w:val="20"/>
                <w:szCs w:val="20"/>
                <w:lang w:val="en-US" w:eastAsia="en-US"/>
              </w:rPr>
              <w:t>e pentru învăţământ preuniversitar</w:t>
            </w:r>
          </w:p>
        </w:tc>
        <w:tc>
          <w:tcPr>
            <w:tcW w:w="84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55"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8.1.5.</w:t>
            </w:r>
          </w:p>
        </w:tc>
        <w:tc>
          <w:tcPr>
            <w:tcW w:w="7035"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Capitole în manuale de învăţămînt universitar</w:t>
            </w:r>
          </w:p>
        </w:tc>
        <w:tc>
          <w:tcPr>
            <w:tcW w:w="84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55"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8.1.6.</w:t>
            </w:r>
          </w:p>
        </w:tc>
        <w:tc>
          <w:tcPr>
            <w:tcW w:w="7035"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Capitole în manuale de învăţămînt preuniversitar</w:t>
            </w:r>
          </w:p>
        </w:tc>
        <w:tc>
          <w:tcPr>
            <w:tcW w:w="84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55"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8.1.7.</w:t>
            </w:r>
          </w:p>
        </w:tc>
        <w:tc>
          <w:tcPr>
            <w:tcW w:w="7035"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Lucrări metodice, note de curs, compendiumuri</w:t>
            </w:r>
          </w:p>
        </w:tc>
        <w:tc>
          <w:tcPr>
            <w:tcW w:w="84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55"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8.1.8.</w:t>
            </w:r>
          </w:p>
        </w:tc>
        <w:tc>
          <w:tcPr>
            <w:tcW w:w="7035"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Cursuri elaborate în anul de referinţă</w:t>
            </w:r>
          </w:p>
        </w:tc>
        <w:tc>
          <w:tcPr>
            <w:tcW w:w="84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eastAsia="en-US"/>
              </w:rPr>
              <w:t>1 </w:t>
            </w:r>
          </w:p>
        </w:tc>
      </w:tr>
      <w:tr>
        <w:trPr>
          <w:trHeight w:val="255"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8.1.9.</w:t>
            </w:r>
          </w:p>
        </w:tc>
        <w:tc>
          <w:tcPr>
            <w:tcW w:w="7035"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Cursuri ţinute în anul de referinţă</w:t>
            </w:r>
          </w:p>
        </w:tc>
        <w:tc>
          <w:tcPr>
            <w:tcW w:w="84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6</w:t>
            </w:r>
          </w:p>
        </w:tc>
      </w:tr>
      <w:tr>
        <w:trPr>
          <w:trHeight w:val="255"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8.1.10.</w:t>
            </w:r>
          </w:p>
        </w:tc>
        <w:tc>
          <w:tcPr>
            <w:tcW w:w="7035"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Conducător al persoanelor care au susţinut tezei de licenţă/de masterat</w:t>
            </w:r>
          </w:p>
        </w:tc>
        <w:tc>
          <w:tcPr>
            <w:tcW w:w="84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3</w:t>
            </w:r>
          </w:p>
        </w:tc>
      </w:tr>
      <w:tr>
        <w:trPr>
          <w:trHeight w:val="255"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8.1.11.</w:t>
            </w:r>
          </w:p>
        </w:tc>
        <w:tc>
          <w:tcPr>
            <w:tcW w:w="7035"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Conducător ştiinţific al persoanelor care au susţinut teza de doctor</w:t>
            </w:r>
          </w:p>
        </w:tc>
        <w:tc>
          <w:tcPr>
            <w:tcW w:w="84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1</w:t>
            </w:r>
          </w:p>
        </w:tc>
      </w:tr>
      <w:tr>
        <w:trPr>
          <w:trHeight w:val="255"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8.1.12.</w:t>
            </w:r>
          </w:p>
        </w:tc>
        <w:tc>
          <w:tcPr>
            <w:tcW w:w="7035"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Consultant ştiinţific al persoanelor care au susţinut teza tezei de doctor</w:t>
            </w:r>
          </w:p>
        </w:tc>
        <w:tc>
          <w:tcPr>
            <w:tcW w:w="84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eastAsia="en-US"/>
              </w:rPr>
              <w:t> </w:t>
            </w:r>
            <w:r>
              <w:rPr>
                <w:sz w:val="20"/>
                <w:szCs w:val="20"/>
                <w:lang w:val="fr-FR" w:eastAsia="en-US"/>
              </w:rPr>
              <w:t>1</w:t>
            </w:r>
          </w:p>
        </w:tc>
      </w:tr>
      <w:tr>
        <w:trPr>
          <w:trHeight w:val="255"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8.1.13.</w:t>
            </w:r>
          </w:p>
        </w:tc>
        <w:tc>
          <w:tcPr>
            <w:tcW w:w="7035" w:type="dxa"/>
            <w:tcBorders>
              <w:bottom w:val="single" w:sz="8" w:space="0" w:color="000001"/>
              <w:right w:val="single" w:sz="8" w:space="0" w:color="000001"/>
              <w:insideH w:val="single" w:sz="8" w:space="0" w:color="000001"/>
              <w:insideV w:val="single" w:sz="8" w:space="0" w:color="000001"/>
            </w:tcBorders>
            <w:shd w:fill="auto" w:val="clear"/>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Consultant ştiinţific al persoanelor care au susţinut teza de doctor habilitat</w:t>
            </w:r>
          </w:p>
        </w:tc>
        <w:tc>
          <w:tcPr>
            <w:tcW w:w="84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55"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8.1.14.</w:t>
            </w:r>
          </w:p>
        </w:tc>
        <w:tc>
          <w:tcPr>
            <w:tcW w:w="7035" w:type="dxa"/>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Studenţi, masteranzi, care au efectut stagiere practica în cadrul subdiviziunii</w:t>
            </w:r>
          </w:p>
        </w:tc>
        <w:tc>
          <w:tcPr>
            <w:tcW w:w="841"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2 </w:t>
            </w:r>
          </w:p>
        </w:tc>
      </w:tr>
      <w:tr>
        <w:trPr>
          <w:trHeight w:val="255"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 </w:t>
            </w:r>
          </w:p>
        </w:tc>
        <w:tc>
          <w:tcPr>
            <w:tcW w:w="7876" w:type="dxa"/>
            <w:gridSpan w:val="2"/>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lang w:val="en-US"/>
              </w:rPr>
            </w:pPr>
            <w:r>
              <w:rPr>
                <w:rFonts w:cs="Times New Roman CE" w:ascii="Times New Roman CE" w:hAnsi="Times New Roman CE"/>
                <w:b/>
                <w:bCs/>
                <w:sz w:val="20"/>
                <w:szCs w:val="20"/>
                <w:lang w:val="en-US" w:eastAsia="en-US"/>
              </w:rPr>
              <w:t>8.2. Participări în elaborarea actelor normative şi activităţi de consultanţă</w:t>
            </w:r>
          </w:p>
        </w:tc>
      </w:tr>
      <w:tr>
        <w:trPr>
          <w:trHeight w:val="255"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8.2.1.</w:t>
            </w:r>
          </w:p>
        </w:tc>
        <w:tc>
          <w:tcPr>
            <w:tcW w:w="7035"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Documente de politici elaborate şi aprobate</w:t>
            </w:r>
          </w:p>
        </w:tc>
        <w:tc>
          <w:tcPr>
            <w:tcW w:w="84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55"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8.2.2.</w:t>
            </w:r>
          </w:p>
        </w:tc>
        <w:tc>
          <w:tcPr>
            <w:tcW w:w="7035"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Acte normative elaborate, inclusiv tratate internaţionale</w:t>
            </w:r>
          </w:p>
        </w:tc>
        <w:tc>
          <w:tcPr>
            <w:tcW w:w="84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55"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8.2.3.</w:t>
            </w:r>
          </w:p>
        </w:tc>
        <w:tc>
          <w:tcPr>
            <w:tcW w:w="7035"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Avize a proiectelor de legi şi alte acte normative</w:t>
            </w:r>
          </w:p>
        </w:tc>
        <w:tc>
          <w:tcPr>
            <w:tcW w:w="84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510"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8.2.4.</w:t>
            </w:r>
          </w:p>
        </w:tc>
        <w:tc>
          <w:tcPr>
            <w:tcW w:w="7035"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Recomandări metodologice elaborate şi implementate în activitatea autorităţilor publice centrale şi locale</w:t>
            </w:r>
          </w:p>
        </w:tc>
        <w:tc>
          <w:tcPr>
            <w:tcW w:w="84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55"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8.2.5.</w:t>
            </w:r>
          </w:p>
        </w:tc>
        <w:tc>
          <w:tcPr>
            <w:tcW w:w="7035"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Participării în activitatea comisiilor instituite de preşedinţie, parlament, guvern</w:t>
            </w:r>
          </w:p>
        </w:tc>
        <w:tc>
          <w:tcPr>
            <w:tcW w:w="84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55"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8.2.6.</w:t>
            </w:r>
          </w:p>
        </w:tc>
        <w:tc>
          <w:tcPr>
            <w:tcW w:w="7035"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Participării în activitatea grupurilor de lucru instituite de</w:t>
            </w:r>
            <w:r>
              <w:rPr>
                <w:sz w:val="20"/>
                <w:szCs w:val="20"/>
                <w:lang w:val="fr-FR" w:eastAsia="en-US"/>
              </w:rPr>
              <w:t xml:space="preserve"> ministere, departamente</w:t>
            </w:r>
          </w:p>
        </w:tc>
        <w:tc>
          <w:tcPr>
            <w:tcW w:w="84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1</w:t>
            </w:r>
          </w:p>
        </w:tc>
      </w:tr>
      <w:tr>
        <w:trPr>
          <w:trHeight w:val="255"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left"/>
              <w:textAlignment w:val="auto"/>
              <w:rPr>
                <w:lang w:val="en-US"/>
              </w:rPr>
            </w:pPr>
            <w:r>
              <w:rPr>
                <w:sz w:val="20"/>
                <w:szCs w:val="20"/>
                <w:lang w:val="en-US" w:eastAsia="en-US"/>
              </w:rPr>
              <w:t> </w:t>
            </w:r>
          </w:p>
        </w:tc>
        <w:tc>
          <w:tcPr>
            <w:tcW w:w="7876" w:type="dxa"/>
            <w:gridSpan w:val="2"/>
            <w:tcBorders>
              <w:top w:val="single" w:sz="8" w:space="0" w:color="000001"/>
              <w:bottom w:val="single" w:sz="8" w:space="0" w:color="000001"/>
              <w:right w:val="single" w:sz="8" w:space="0" w:color="000001"/>
              <w:insideH w:val="single" w:sz="8" w:space="0" w:color="000001"/>
              <w:insideV w:val="single" w:sz="8" w:space="0" w:color="000001"/>
            </w:tcBorders>
            <w:shd w:color="auto" w:fill="CCFFCC"/>
            <w:vAlign w:val="bottom"/>
          </w:tcPr>
          <w:p>
            <w:pPr>
              <w:pStyle w:val="Normal"/>
              <w:widowControl/>
              <w:bidi w:val="0"/>
              <w:ind w:left="0" w:right="0" w:hanging="0"/>
              <w:jc w:val="left"/>
              <w:textAlignment w:val="auto"/>
              <w:rPr>
                <w:lang w:val="en-US"/>
              </w:rPr>
            </w:pPr>
            <w:r>
              <w:rPr>
                <w:rFonts w:cs="Times New Roman CE" w:ascii="Times New Roman CE" w:hAnsi="Times New Roman CE"/>
                <w:b/>
                <w:bCs/>
                <w:sz w:val="20"/>
                <w:szCs w:val="20"/>
                <w:lang w:val="en-US" w:eastAsia="en-US"/>
              </w:rPr>
              <w:t>8.3. Diseminarea informaţiei ştiinţifice şi promovarea imaginii ştiinţei</w:t>
            </w:r>
          </w:p>
        </w:tc>
      </w:tr>
      <w:tr>
        <w:trPr>
          <w:trHeight w:val="255"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8.3.1.</w:t>
            </w:r>
          </w:p>
        </w:tc>
        <w:tc>
          <w:tcPr>
            <w:tcW w:w="7035"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Manifestări ştiinţifice internaţionale organizate</w:t>
            </w:r>
          </w:p>
        </w:tc>
        <w:tc>
          <w:tcPr>
            <w:tcW w:w="84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1 </w:t>
            </w:r>
          </w:p>
        </w:tc>
      </w:tr>
      <w:tr>
        <w:trPr>
          <w:trHeight w:val="255"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8.3.2.</w:t>
            </w:r>
          </w:p>
        </w:tc>
        <w:tc>
          <w:tcPr>
            <w:tcW w:w="7035"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en-US"/>
              </w:rPr>
            </w:pPr>
            <w:r>
              <w:rPr>
                <w:rFonts w:cs="Times New Roman CE" w:ascii="Times New Roman CE" w:hAnsi="Times New Roman CE"/>
                <w:sz w:val="20"/>
                <w:szCs w:val="20"/>
                <w:lang w:val="en-US" w:eastAsia="en-US"/>
              </w:rPr>
              <w:t>Manifestări ştiinţifice naţionale organizate</w:t>
            </w:r>
          </w:p>
        </w:tc>
        <w:tc>
          <w:tcPr>
            <w:tcW w:w="84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 </w:t>
            </w:r>
          </w:p>
        </w:tc>
      </w:tr>
      <w:tr>
        <w:trPr>
          <w:trHeight w:val="255"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8.3.3.</w:t>
            </w:r>
          </w:p>
        </w:tc>
        <w:tc>
          <w:tcPr>
            <w:tcW w:w="7035"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 xml:space="preserve">Cărţi de popularizare a ştiinţei </w:t>
            </w:r>
          </w:p>
        </w:tc>
        <w:tc>
          <w:tcPr>
            <w:tcW w:w="84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55"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8.3.4.</w:t>
            </w:r>
          </w:p>
        </w:tc>
        <w:tc>
          <w:tcPr>
            <w:tcW w:w="7035"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 xml:space="preserve">Articole de popularizare a ştiinţei </w:t>
            </w:r>
          </w:p>
        </w:tc>
        <w:tc>
          <w:tcPr>
            <w:tcW w:w="84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fr-FR"/>
              </w:rPr>
            </w:pPr>
            <w:r>
              <w:rPr>
                <w:sz w:val="20"/>
                <w:szCs w:val="20"/>
                <w:lang w:val="fr-FR" w:eastAsia="en-US"/>
              </w:rPr>
              <w:t> </w:t>
            </w:r>
          </w:p>
        </w:tc>
      </w:tr>
      <w:tr>
        <w:trPr>
          <w:trHeight w:val="255"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8.3.5.</w:t>
            </w:r>
          </w:p>
        </w:tc>
        <w:tc>
          <w:tcPr>
            <w:tcW w:w="7035"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 xml:space="preserve">Participări la emisiuni tele-radio consacrate ştiinţei </w:t>
            </w:r>
          </w:p>
        </w:tc>
        <w:tc>
          <w:tcPr>
            <w:tcW w:w="84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rFonts w:ascii="Times New Roman" w:hAnsi="Times New Roman"/>
                <w:sz w:val="20"/>
                <w:szCs w:val="20"/>
                <w:lang w:val="fr-FR" w:eastAsia="en-US"/>
              </w:rPr>
            </w:pPr>
            <w:r>
              <w:rPr>
                <w:sz w:val="20"/>
                <w:szCs w:val="20"/>
                <w:lang w:val="fr-FR" w:eastAsia="en-US"/>
              </w:rPr>
            </w:r>
          </w:p>
        </w:tc>
      </w:tr>
      <w:tr>
        <w:trPr>
          <w:trHeight w:val="255" w:hRule="atLeast"/>
        </w:trPr>
        <w:tc>
          <w:tcPr>
            <w:tcW w:w="765" w:type="dxa"/>
            <w:tcBorders>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sz w:val="20"/>
                <w:szCs w:val="20"/>
                <w:lang w:val="en-US" w:eastAsia="en-US"/>
              </w:rPr>
              <w:t>8.3.6.</w:t>
            </w:r>
          </w:p>
        </w:tc>
        <w:tc>
          <w:tcPr>
            <w:tcW w:w="7035"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left"/>
              <w:textAlignment w:val="auto"/>
              <w:rPr>
                <w:lang w:val="fr-FR"/>
              </w:rPr>
            </w:pPr>
            <w:r>
              <w:rPr>
                <w:rFonts w:cs="Times New Roman CE" w:ascii="Times New Roman CE" w:hAnsi="Times New Roman CE"/>
                <w:sz w:val="20"/>
                <w:szCs w:val="20"/>
                <w:lang w:val="fr-FR" w:eastAsia="en-US"/>
              </w:rPr>
              <w:t>Seminare ştiinţifice de profil şi manifestări organizate</w:t>
            </w:r>
          </w:p>
        </w:tc>
        <w:tc>
          <w:tcPr>
            <w:tcW w:w="841" w:type="dxa"/>
            <w:tcBorders>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sz w:val="20"/>
                <w:szCs w:val="20"/>
                <w:lang w:val="en-US" w:eastAsia="en-US"/>
              </w:rPr>
              <w:t>6</w:t>
            </w:r>
          </w:p>
        </w:tc>
      </w:tr>
    </w:tbl>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tbl>
      <w:tblPr>
        <w:tblW w:w="8641" w:type="dxa"/>
        <w:jc w:val="left"/>
        <w:tblInd w:w="-109"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0" w:type="dxa"/>
          <w:left w:w="98" w:type="dxa"/>
          <w:bottom w:w="0" w:type="dxa"/>
          <w:right w:w="108" w:type="dxa"/>
        </w:tblCellMar>
      </w:tblPr>
      <w:tblGrid>
        <w:gridCol w:w="7801"/>
        <w:gridCol w:w="839"/>
      </w:tblGrid>
      <w:tr>
        <w:trPr>
          <w:trHeight w:val="255" w:hRule="atLeast"/>
        </w:trPr>
        <w:tc>
          <w:tcPr>
            <w:tcW w:w="7801" w:type="dxa"/>
            <w:tcBorders>
              <w:top w:val="single" w:sz="8" w:space="0" w:color="000001"/>
              <w:left w:val="single" w:sz="8" w:space="0" w:color="000001"/>
              <w:bottom w:val="single" w:sz="8" w:space="0" w:color="000001"/>
              <w:right w:val="single" w:sz="8" w:space="0" w:color="000001"/>
              <w:insideH w:val="single" w:sz="8" w:space="0" w:color="000001"/>
              <w:insideV w:val="single" w:sz="8" w:space="0" w:color="000001"/>
            </w:tcBorders>
            <w:shd w:fill="auto" w:val="clear"/>
            <w:tcMar>
              <w:left w:w="98" w:type="dxa"/>
            </w:tcMar>
            <w:vAlign w:val="bottom"/>
          </w:tcPr>
          <w:p>
            <w:pPr>
              <w:pStyle w:val="Normal"/>
              <w:widowControl/>
              <w:bidi w:val="0"/>
              <w:ind w:left="0" w:right="0" w:hanging="0"/>
              <w:jc w:val="center"/>
              <w:textAlignment w:val="auto"/>
              <w:rPr>
                <w:lang w:val="en-US"/>
              </w:rPr>
            </w:pPr>
            <w:r>
              <w:rPr>
                <w:rFonts w:cs="Times New Roman CE" w:ascii="Times New Roman CE" w:hAnsi="Times New Roman CE"/>
                <w:b/>
                <w:bCs/>
                <w:sz w:val="20"/>
                <w:szCs w:val="20"/>
                <w:lang w:val="en-US" w:eastAsia="en-US"/>
              </w:rPr>
              <w:t>8. RELEVANŢA SOCIALĂ</w:t>
            </w:r>
          </w:p>
        </w:tc>
        <w:tc>
          <w:tcPr>
            <w:tcW w:w="839" w:type="dxa"/>
            <w:tcBorders>
              <w:top w:val="single" w:sz="8" w:space="0" w:color="000001"/>
              <w:bottom w:val="single" w:sz="8" w:space="0" w:color="000001"/>
              <w:right w:val="single" w:sz="8" w:space="0" w:color="000001"/>
              <w:insideH w:val="single" w:sz="8" w:space="0" w:color="000001"/>
              <w:insideV w:val="single" w:sz="8" w:space="0" w:color="000001"/>
            </w:tcBorders>
            <w:shd w:fill="auto" w:val="clear"/>
            <w:vAlign w:val="bottom"/>
          </w:tcPr>
          <w:p>
            <w:pPr>
              <w:pStyle w:val="Normal"/>
              <w:widowControl/>
              <w:bidi w:val="0"/>
              <w:ind w:left="0" w:right="0" w:hanging="0"/>
              <w:jc w:val="center"/>
              <w:textAlignment w:val="auto"/>
              <w:rPr>
                <w:lang w:val="en-US"/>
              </w:rPr>
            </w:pPr>
            <w:r>
              <w:rPr>
                <w:b/>
                <w:bCs/>
                <w:sz w:val="20"/>
                <w:szCs w:val="20"/>
                <w:lang w:val="en-US" w:eastAsia="en-US"/>
              </w:rPr>
              <w:t>2016</w:t>
            </w:r>
          </w:p>
        </w:tc>
      </w:tr>
    </w:tbl>
    <w:p>
      <w:pPr>
        <w:sectPr>
          <w:type w:val="nextPage"/>
          <w:pgSz w:w="11906" w:h="16838"/>
          <w:pgMar w:left="1560" w:right="720" w:header="0" w:top="284" w:footer="0" w:bottom="426" w:gutter="0"/>
          <w:pgNumType w:fmt="decimal"/>
          <w:formProt w:val="false"/>
          <w:textDirection w:val="lrTb"/>
          <w:docGrid w:type="default" w:linePitch="240" w:charSpace="4294961151"/>
        </w:sectPr>
        <w:pStyle w:val="Normal"/>
        <w:widowControl/>
        <w:bidi w:val="0"/>
        <w:spacing w:before="0" w:after="240"/>
        <w:ind w:left="0" w:right="-2016" w:hanging="0"/>
        <w:jc w:val="center"/>
        <w:textAlignment w:val="auto"/>
        <w:rPr>
          <w:rFonts w:ascii="Times New Roman" w:hAnsi="Times New Roman"/>
          <w:sz w:val="22"/>
          <w:szCs w:val="22"/>
          <w:lang w:val="en-US"/>
        </w:rPr>
      </w:pPr>
      <w:r>
        <w:rPr>
          <w:sz w:val="22"/>
          <w:szCs w:val="22"/>
          <w:lang w:val="en-US"/>
        </w:rPr>
      </w:r>
    </w:p>
    <w:p>
      <w:pPr>
        <w:pStyle w:val="Normal"/>
        <w:widowControl/>
        <w:bidi w:val="0"/>
        <w:spacing w:before="0" w:after="240"/>
        <w:ind w:left="0" w:right="-2016" w:hanging="0"/>
        <w:jc w:val="center"/>
        <w:textAlignment w:val="auto"/>
        <w:rPr>
          <w:rFonts w:ascii="Times New Roman" w:hAnsi="Times New Roman"/>
          <w:sz w:val="22"/>
          <w:szCs w:val="22"/>
          <w:lang w:val="ro-RO"/>
        </w:rPr>
      </w:pPr>
      <w:r>
        <w:rPr>
          <w:sz w:val="22"/>
          <w:szCs w:val="22"/>
          <w:lang w:val="ro-RO"/>
        </w:rPr>
      </w:r>
    </w:p>
    <w:p>
      <w:pPr>
        <w:pStyle w:val="Normal"/>
        <w:widowControl/>
        <w:bidi w:val="0"/>
        <w:spacing w:before="0" w:after="240"/>
        <w:ind w:left="0" w:right="-2016" w:hanging="0"/>
        <w:jc w:val="center"/>
        <w:textAlignment w:val="auto"/>
        <w:rPr/>
      </w:pPr>
      <w:r>
        <w:rPr/>
      </w:r>
    </w:p>
    <w:sectPr>
      <w:type w:val="nextPage"/>
      <w:pgSz w:w="11906" w:h="16838"/>
      <w:pgMar w:left="1560" w:right="720" w:header="0" w:top="284" w:footer="0" w:bottom="426"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Arial">
    <w:charset w:val="cc"/>
    <w:family w:val="roman"/>
    <w:pitch w:val="variable"/>
  </w:font>
  <w:font w:name="Cambria">
    <w:charset w:val="cc"/>
    <w:family w:val="roman"/>
    <w:pitch w:val="variable"/>
  </w:font>
  <w:font w:name="Tahoma">
    <w:charset w:val="cc"/>
    <w:family w:val="roman"/>
    <w:pitch w:val="variable"/>
  </w:font>
  <w:font w:name="Courier New">
    <w:charset w:val="cc"/>
    <w:family w:val="roman"/>
    <w:pitch w:val="variable"/>
  </w:font>
  <w:font w:name="Calibri">
    <w:charset w:val="cc"/>
    <w:family w:val="roman"/>
    <w:pitch w:val="variable"/>
  </w:font>
  <w:font w:name="Georgia">
    <w:charset w:val="cc"/>
    <w:family w:val="roman"/>
    <w:pitch w:val="variable"/>
  </w:font>
  <w:font w:name="Times">
    <w:altName w:val="Times New Roman"/>
    <w:charset w:val="cc"/>
    <w:family w:val="roman"/>
    <w:pitch w:val="variable"/>
  </w:font>
  <w:font w:name="Times New Roman CE">
    <w:charset w:val="cc"/>
    <w:family w:val="roman"/>
    <w:pitch w:val="variable"/>
  </w:font>
  <w:font w:name="CMTI10">
    <w:charset w:val="cc"/>
    <w:family w:val="roman"/>
    <w:pitch w:val="variable"/>
  </w:font>
  <w:font w:name="Liberation Sans">
    <w:altName w:val="Arial"/>
    <w:charset w:val="cc"/>
    <w:family w:val="swiss"/>
    <w:pitch w:val="variable"/>
  </w:font>
  <w:font w:name="Franklin Gothic Medium">
    <w:charset w:val="cc"/>
    <w:family w:val="roman"/>
    <w:pitch w:val="variable"/>
  </w:font>
  <w:font w:name="Andale Mono">
    <w:charset w:val="cc"/>
    <w:family w:val="roman"/>
    <w:pitch w:val="variable"/>
  </w:font>
  <w:font w:name="Helvetica">
    <w:altName w:val="Arial"/>
    <w:charset w:val="cc"/>
    <w:family w:val="roman"/>
    <w:pitch w:val="variable"/>
  </w:font>
  <w:font w:name="Cambria Math">
    <w:charset w:val="cc"/>
    <w:family w:val="roman"/>
    <w:pitch w:val="variable"/>
  </w:font>
  <w:font w:name="Times CE">
    <w:charset w:val="cc"/>
    <w:family w:val="roman"/>
    <w:pitch w:val="variable"/>
  </w:font>
  <w:font w:name="Times New Roman Greek">
    <w:charset w:val="cc"/>
    <w:family w:val="roman"/>
    <w:pitch w:val="variable"/>
  </w:font>
  <w:font w:name="CMR10">
    <w:charset w:val="cc"/>
    <w:family w:val="roman"/>
    <w:pitch w:val="variable"/>
  </w:font>
  <w:font w:name="TimesNewRoman">
    <w:altName w:val="Bold"/>
    <w:charset w:val="cc"/>
    <w:family w:val="roman"/>
    <w:pitch w:val="variable"/>
  </w:font>
  <w:font w:name="TimesNewRoman">
    <w:altName w:val="Bold CE"/>
    <w:charset w:val="cc"/>
    <w:family w:val="roman"/>
    <w:pitch w:val="variable"/>
  </w:font>
  <w:font w:name="Arial CE">
    <w:charset w:val="cc"/>
    <w:family w:val="roman"/>
    <w:pitch w:val="variable"/>
  </w:font>
  <w:font w:name="Times New Roman">
    <w:charset w:val="01"/>
    <w:family w:val="roman"/>
    <w:pitch w:val="variable"/>
  </w:font>
  <w:font w:name="Courier New">
    <w:charset w:val="01"/>
    <w:family w:val="modern"/>
    <w:pitch w:val="fixed"/>
  </w:font>
  <w:font w:name="Wingdings">
    <w:charset w:val="02"/>
    <w:family w:val="auto"/>
    <w:pitch w:val="variable"/>
  </w:font>
  <w:font w:name="CMR12">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6"/>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6"/>
      <w:widowControl/>
      <w:tabs>
        <w:tab w:val="center" w:pos="4677" w:leader="none"/>
        <w:tab w:val="right" w:pos="9355" w:leader="none"/>
      </w:tabs>
      <w:bidi w:val="0"/>
      <w:ind w:left="0" w:right="0" w:hanging="0"/>
      <w:jc w:val="right"/>
      <w:textAlignment w:val="auto"/>
      <w:rPr/>
    </w:pPr>
    <w:r>
      <w:rPr>
        <w:rFonts w:cs="Times New Roman"/>
        <w:sz w:val="22"/>
        <w:szCs w:val="22"/>
        <w:lang w:val="ru-RU" w:eastAsia="ru-RU" w:bidi="ar-SA"/>
      </w:rPr>
      <w:fldChar w:fldCharType="begin"/>
    </w:r>
    <w:r>
      <w:instrText> PAGE </w:instrText>
    </w:r>
    <w:r>
      <w:fldChar w:fldCharType="separate"/>
    </w:r>
    <w:r>
      <w:t>89</w:t>
    </w:r>
    <w:r>
      <w:fldChar w:fldCharType="end"/>
    </w:r>
  </w:p>
  <w:p>
    <w:pPr>
      <w:pStyle w:val="Style16"/>
      <w:widowControl/>
      <w:tabs>
        <w:tab w:val="center" w:pos="4677" w:leader="none"/>
        <w:tab w:val="right" w:pos="9355" w:leader="none"/>
      </w:tabs>
      <w:bidi w:val="0"/>
      <w:ind w:left="0" w:right="0" w:hanging="0"/>
      <w:jc w:val="left"/>
      <w:textAlignment w:val="auto"/>
      <w:rPr>
        <w:rFonts w:ascii="Times New Roman" w:hAnsi="Times New Roman" w:cs="Times New Roman"/>
        <w:sz w:val="24"/>
        <w:szCs w:val="24"/>
        <w:lang w:val="ro-RO" w:eastAsia="ru-RU" w:bidi="ar-SA"/>
      </w:rPr>
    </w:pPr>
    <w:r>
      <w:rPr>
        <w:rFonts w:cs="Times New Roman"/>
        <w:sz w:val="24"/>
        <w:szCs w:val="24"/>
        <w:lang w:val="ro-RO" w:eastAsia="ru-RU" w:bidi="ar-SA"/>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widowControl/>
      <w:bidi w:val="0"/>
      <w:ind w:left="0" w:right="0" w:hanging="0"/>
      <w:jc w:val="left"/>
      <w:textAlignment w:val="auto"/>
      <w:rPr>
        <w:rFonts w:ascii="Times New Roman" w:hAnsi="Times New Roman" w:cs="Times New Roman"/>
        <w:sz w:val="24"/>
        <w:szCs w:val="24"/>
        <w:lang w:val="ru-RU" w:eastAsia="ru-RU" w:bidi="ar-SA"/>
      </w:rPr>
    </w:pPr>
    <w:r>
      <w:rPr>
        <w:rFonts w:cs="Times New Roman"/>
        <w:sz w:val="24"/>
        <w:szCs w:val="24"/>
        <w:lang w:val="ru-RU" w:eastAsia="ru-RU" w:bidi="ar-SA"/>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4"/>
      <w:widowControl/>
      <w:tabs>
        <w:tab w:val="center" w:pos="4536" w:leader="none"/>
        <w:tab w:val="right" w:pos="9072" w:leader="none"/>
      </w:tabs>
      <w:bidi w:val="0"/>
      <w:ind w:left="0" w:right="0" w:hanging="0"/>
      <w:jc w:val="left"/>
      <w:textAlignment w:val="auto"/>
      <w:rPr>
        <w:rFonts w:ascii="Times New Roman" w:hAnsi="Times New Roman" w:cs="Times New Roman"/>
        <w:sz w:val="26"/>
        <w:szCs w:val="20"/>
        <w:lang w:val="ro-RO" w:eastAsia="ru-RU" w:bidi="ar-SA"/>
      </w:rPr>
    </w:pPr>
    <w:r>
      <w:rPr>
        <w:rFonts w:cs="Times New Roman"/>
        <w:sz w:val="26"/>
        <w:szCs w:val="20"/>
        <w:lang w:val="ro-RO" w:eastAsia="ru-RU" w:bidi="ar-SA"/>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widowControl/>
      <w:bidi w:val="0"/>
      <w:ind w:left="0" w:right="0" w:hanging="0"/>
      <w:jc w:val="left"/>
      <w:textAlignment w:val="auto"/>
      <w:rPr>
        <w:rFonts w:ascii="Times New Roman" w:hAnsi="Times New Roman" w:cs="Times New Roman"/>
        <w:sz w:val="24"/>
        <w:szCs w:val="24"/>
        <w:lang w:val="ru-RU" w:eastAsia="ru-RU" w:bidi="ar-SA"/>
      </w:rPr>
    </w:pPr>
    <w:r>
      <w:rPr>
        <w:rFonts w:cs="Times New Roman"/>
        <w:sz w:val="24"/>
        <w:szCs w:val="24"/>
        <w:lang w:val="ru-RU" w:eastAsia="ru-RU" w:bidi="ar-SA"/>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rPr>
        <w:sz w:val="22"/>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2">
    <w:lvl w:ilvl="0">
      <w:start w:val="1"/>
      <w:numFmt w:val="upperRoman"/>
      <w:lvlText w:val="%1."/>
      <w:lvlJc w:val="right"/>
      <w:pPr>
        <w:ind w:left="720" w:hanging="360"/>
      </w:pPr>
      <w:rPr>
        <w:sz w:val="22"/>
        <w:b/>
        <w:rFonts w:ascii="Times New Roman CE" w:hAnsi="Times New Roman CE"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3">
    <w:lvl w:ilvl="0">
      <w:start w:val="1"/>
      <w:numFmt w:val="upperRoman"/>
      <w:lvlText w:val="%1."/>
      <w:lvlJc w:val="left"/>
      <w:pPr>
        <w:ind w:left="720" w:hanging="360"/>
      </w:pPr>
      <w:rPr>
        <w:sz w:val="22"/>
        <w:b/>
        <w:rFonts w:ascii="Times New Roman CE" w:hAnsi="Times New Roman CE"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4">
    <w:lvl w:ilvl="0">
      <w:start w:val="1"/>
      <w:numFmt w:val="upperRoman"/>
      <w:lvlText w:val="%1."/>
      <w:lvlJc w:val="left"/>
      <w:pPr>
        <w:ind w:left="720" w:hanging="360"/>
      </w:pPr>
      <w:rPr>
        <w:sz w:val="22"/>
        <w:b/>
        <w:rFonts w:ascii="Times New Roman CE" w:hAnsi="Times New Roman CE"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5">
    <w:lvl w:ilvl="0">
      <w:start w:val="1"/>
      <w:numFmt w:val="upperRoman"/>
      <w:lvlText w:val="%1."/>
      <w:lvlJc w:val="right"/>
      <w:pPr>
        <w:ind w:left="720" w:hanging="360"/>
      </w:pPr>
      <w:rPr>
        <w:sz w:val="22"/>
        <w:b/>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6">
    <w:lvl w:ilvl="0">
      <w:start w:val="1"/>
      <w:numFmt w:val="decimal"/>
      <w:lvlText w:val="%1."/>
      <w:lvlJc w:val="left"/>
      <w:pPr>
        <w:ind w:left="720" w:hanging="360"/>
      </w:pPr>
      <w:rPr>
        <w:sz w:val="22"/>
        <w:b/>
        <w:rFonts w:ascii="Times New Roman" w:hAnsi="Times New Roman" w:cs="Times New Roman"/>
      </w:rPr>
    </w:lvl>
    <w:lvl w:ilvl="1">
      <w:start w:val="1"/>
      <w:numFmt w:val="bullet"/>
      <w:lvlText w:val="•"/>
      <w:lvlJc w:val="left"/>
      <w:pPr>
        <w:ind w:left="1080" w:hanging="360"/>
      </w:pPr>
      <w:rPr>
        <w:rFonts w:ascii="Times New Roman" w:hAnsi="Times New Roman" w:cs="Times New Roman" w:hint="default"/>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7">
    <w:lvl w:ilvl="0">
      <w:start w:val="1"/>
      <w:numFmt w:val="upperRoman"/>
      <w:lvlText w:val="%1."/>
      <w:lvlJc w:val="left"/>
      <w:pPr>
        <w:ind w:left="720" w:hanging="360"/>
      </w:pPr>
      <w:rPr>
        <w:sz w:val="22"/>
        <w:b/>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8">
    <w:lvl w:ilvl="0">
      <w:start w:val="1"/>
      <w:numFmt w:val="none"/>
      <w:suff w:val="nothing"/>
      <w:lvlText w:val=""/>
      <w:lvlJc w:val="left"/>
      <w:pPr>
        <w:ind w:left="720" w:hanging="360"/>
      </w:pPr>
      <w:rPr>
        <w:sz w:val="27"/>
        <w:b/>
        <w:rFonts w:ascii="Times New Roman CE" w:hAnsi="Times New Roman CE" w:cs="Times New Roman"/>
      </w:rPr>
    </w:lvl>
    <w:lvl w:ilvl="1">
      <w:start w:val="1"/>
      <w:numFmt w:val="none"/>
      <w:suff w:val="nothing"/>
      <w:lvlText w:val=""/>
      <w:lvlJc w:val="left"/>
      <w:pPr>
        <w:ind w:left="1080" w:hanging="360"/>
      </w:pPr>
      <w:rPr>
        <w:rFonts w:cs="Times New Roman"/>
      </w:rPr>
    </w:lvl>
    <w:lvl w:ilvl="2">
      <w:start w:val="1"/>
      <w:numFmt w:val="none"/>
      <w:suff w:val="nothing"/>
      <w:lvlText w:val=""/>
      <w:lvlJc w:val="left"/>
      <w:pPr>
        <w:ind w:left="1440" w:hanging="360"/>
      </w:pPr>
      <w:rPr>
        <w:rFonts w:cs="Times New Roman"/>
      </w:rPr>
    </w:lvl>
    <w:lvl w:ilvl="3">
      <w:start w:val="1"/>
      <w:numFmt w:val="none"/>
      <w:suff w:val="nothing"/>
      <w:lvlText w:val=""/>
      <w:lvlJc w:val="left"/>
      <w:pPr>
        <w:ind w:left="1800" w:hanging="360"/>
      </w:pPr>
      <w:rPr>
        <w:rFonts w:cs="Times New Roman"/>
      </w:rPr>
    </w:lvl>
    <w:lvl w:ilvl="4">
      <w:start w:val="1"/>
      <w:numFmt w:val="none"/>
      <w:suff w:val="nothing"/>
      <w:lvlText w:val=""/>
      <w:lvlJc w:val="left"/>
      <w:pPr>
        <w:ind w:left="2160" w:hanging="360"/>
      </w:pPr>
      <w:rPr>
        <w:rFonts w:cs="Times New Roman"/>
      </w:rPr>
    </w:lvl>
    <w:lvl w:ilvl="5">
      <w:start w:val="1"/>
      <w:numFmt w:val="none"/>
      <w:suff w:val="nothing"/>
      <w:lvlText w:val=""/>
      <w:lvlJc w:val="left"/>
      <w:pPr>
        <w:ind w:left="2520" w:hanging="360"/>
      </w:pPr>
      <w:rPr>
        <w:rFonts w:cs="Times New Roman"/>
      </w:rPr>
    </w:lvl>
    <w:lvl w:ilvl="6">
      <w:start w:val="1"/>
      <w:numFmt w:val="none"/>
      <w:suff w:val="nothing"/>
      <w:lvlText w:val=""/>
      <w:lvlJc w:val="left"/>
      <w:pPr>
        <w:ind w:left="2880" w:hanging="360"/>
      </w:pPr>
      <w:rPr>
        <w:rFonts w:cs="Times New Roman"/>
      </w:rPr>
    </w:lvl>
    <w:lvl w:ilvl="7">
      <w:start w:val="1"/>
      <w:numFmt w:val="none"/>
      <w:suff w:val="nothing"/>
      <w:lvlText w:val=""/>
      <w:lvlJc w:val="left"/>
      <w:pPr>
        <w:ind w:left="3240" w:hanging="360"/>
      </w:pPr>
      <w:rPr>
        <w:rFonts w:cs="Times New Roman"/>
      </w:rPr>
    </w:lvl>
    <w:lvl w:ilvl="8">
      <w:start w:val="1"/>
      <w:numFmt w:val="none"/>
      <w:suff w:val="nothing"/>
      <w:lvlText w:val=""/>
      <w:lvlJc w:val="left"/>
      <w:pPr>
        <w:ind w:left="3600" w:hanging="360"/>
      </w:pPr>
      <w:rPr>
        <w:rFonts w:cs="Times New Roman"/>
      </w:rPr>
    </w:lvl>
  </w:abstractNum>
  <w:abstractNum w:abstractNumId="9">
    <w:lvl w:ilvl="0">
      <w:start w:val="1"/>
      <w:numFmt w:val="upperRoman"/>
      <w:lvlText w:val="%1."/>
      <w:lvlJc w:val="right"/>
      <w:pPr>
        <w:ind w:left="720" w:hanging="360"/>
      </w:pPr>
      <w:rPr>
        <w:sz w:val="22"/>
        <w:b/>
        <w:rFonts w:ascii="Times New Roman CE" w:hAnsi="Times New Roman CE"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10">
    <w:lvl w:ilvl="0">
      <w:start w:val="1"/>
      <w:numFmt w:val="upperRoman"/>
      <w:lvlText w:val="%1."/>
      <w:lvlJc w:val="left"/>
      <w:pPr>
        <w:ind w:left="720" w:hanging="360"/>
      </w:pPr>
      <w:rPr>
        <w:sz w:val="22"/>
        <w:rFonts w:ascii="Times New Roman CE" w:hAnsi="Times New Roman CE"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11">
    <w:lvl w:ilvl="0">
      <w:start w:val="1"/>
      <w:numFmt w:val="bullet"/>
      <w:lvlText w:val=""/>
      <w:lvlJc w:val="left"/>
      <w:pPr>
        <w:ind w:left="72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cs="Wingdings" w:hint="default"/>
      </w:rPr>
    </w:lvl>
    <w:lvl w:ilvl="3">
      <w:start w:val="1"/>
      <w:numFmt w:val="bullet"/>
      <w:lvlText w:val=""/>
      <w:lvlJc w:val="left"/>
      <w:pPr>
        <w:ind w:left="180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cs="Wingdings" w:hint="default"/>
      </w:rPr>
    </w:lvl>
    <w:lvl w:ilvl="6">
      <w:start w:val="1"/>
      <w:numFmt w:val="bullet"/>
      <w:lvlText w:val=""/>
      <w:lvlJc w:val="left"/>
      <w:pPr>
        <w:ind w:left="2880" w:hanging="360"/>
      </w:pPr>
      <w:rPr>
        <w:rFonts w:ascii="Symbol" w:hAnsi="Symbol" w:cs="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cs="Wingdings" w:hint="default"/>
      </w:rPr>
    </w:lvl>
  </w:abstractNum>
  <w:abstractNum w:abstractNumId="12">
    <w:lvl w:ilvl="0">
      <w:start w:val="1"/>
      <w:numFmt w:val="bullet"/>
      <w:lvlText w:val=""/>
      <w:lvlJc w:val="left"/>
      <w:pPr>
        <w:ind w:left="72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cs="Wingdings" w:hint="default"/>
      </w:rPr>
    </w:lvl>
    <w:lvl w:ilvl="3">
      <w:start w:val="1"/>
      <w:numFmt w:val="bullet"/>
      <w:lvlText w:val=""/>
      <w:lvlJc w:val="left"/>
      <w:pPr>
        <w:ind w:left="180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cs="Wingdings" w:hint="default"/>
      </w:rPr>
    </w:lvl>
    <w:lvl w:ilvl="6">
      <w:start w:val="1"/>
      <w:numFmt w:val="bullet"/>
      <w:lvlText w:val=""/>
      <w:lvlJc w:val="left"/>
      <w:pPr>
        <w:ind w:left="2880" w:hanging="360"/>
      </w:pPr>
      <w:rPr>
        <w:rFonts w:ascii="Symbol" w:hAnsi="Symbol" w:cs="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cs="Wingdings" w:hint="default"/>
      </w:rPr>
    </w:lvl>
  </w:abstractNum>
  <w:abstractNum w:abstractNumId="13">
    <w:lvl w:ilvl="0">
      <w:start w:val="1"/>
      <w:numFmt w:val="bullet"/>
      <w:lvlText w:val=""/>
      <w:lvlJc w:val="left"/>
      <w:pPr>
        <w:ind w:left="72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cs="Wingdings" w:hint="default"/>
      </w:rPr>
    </w:lvl>
    <w:lvl w:ilvl="3">
      <w:start w:val="1"/>
      <w:numFmt w:val="bullet"/>
      <w:lvlText w:val=""/>
      <w:lvlJc w:val="left"/>
      <w:pPr>
        <w:ind w:left="180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cs="Wingdings" w:hint="default"/>
      </w:rPr>
    </w:lvl>
    <w:lvl w:ilvl="6">
      <w:start w:val="1"/>
      <w:numFmt w:val="bullet"/>
      <w:lvlText w:val=""/>
      <w:lvlJc w:val="left"/>
      <w:pPr>
        <w:ind w:left="2880" w:hanging="360"/>
      </w:pPr>
      <w:rPr>
        <w:rFonts w:ascii="Symbol" w:hAnsi="Symbol" w:cs="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cs="Wingdings" w:hint="default"/>
      </w:rPr>
    </w:lvl>
  </w:abstractNum>
  <w:abstractNum w:abstractNumId="14">
    <w:lvl w:ilvl="0">
      <w:start w:val="1"/>
      <w:numFmt w:val="decimal"/>
      <w:lvlText w:val="%1."/>
      <w:lvlJc w:val="left"/>
      <w:pPr>
        <w:ind w:left="720" w:hanging="360"/>
      </w:pPr>
      <w:rPr>
        <w:sz w:val="22"/>
        <w:rFonts w:ascii="Times New Roman CE" w:hAnsi="Times New Roman CE"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5">
    <w:lvl w:ilvl="0">
      <w:start w:val="1"/>
      <w:numFmt w:val="decimal"/>
      <w:lvlText w:val="%1."/>
      <w:lvlJc w:val="left"/>
      <w:pPr>
        <w:ind w:left="720" w:hanging="360"/>
      </w:pPr>
      <w:rPr>
        <w:sz w:val="22"/>
        <w:rFonts w:ascii="Times New Roman CE" w:hAnsi="Times New Roman CE"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6">
    <w:lvl w:ilvl="0">
      <w:start w:val="1"/>
      <w:numFmt w:val="upperRoman"/>
      <w:lvlText w:val="%1."/>
      <w:lvlJc w:val="right"/>
      <w:pPr>
        <w:ind w:left="720" w:hanging="360"/>
      </w:pPr>
      <w:rPr>
        <w:sz w:val="22"/>
        <w:b/>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17">
    <w:lvl w:ilvl="0">
      <w:numFmt w:val="bullet"/>
      <w:lvlText w:val="-"/>
      <w:lvlJc w:val="left"/>
      <w:pPr>
        <w:ind w:left="720" w:hanging="360"/>
      </w:pPr>
      <w:rPr>
        <w:rFonts w:ascii="CMR12" w:hAnsi="CMR12" w:cs="CMR12" w:hint="default"/>
        <w:sz w:val="22"/>
        <w:rFonts w:cs="CMR1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cs="Wingdings" w:hint="default"/>
      </w:rPr>
    </w:lvl>
    <w:lvl w:ilvl="3">
      <w:start w:val="1"/>
      <w:numFmt w:val="bullet"/>
      <w:lvlText w:val=""/>
      <w:lvlJc w:val="left"/>
      <w:pPr>
        <w:ind w:left="180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cs="Wingdings" w:hint="default"/>
      </w:rPr>
    </w:lvl>
    <w:lvl w:ilvl="6">
      <w:start w:val="1"/>
      <w:numFmt w:val="bullet"/>
      <w:lvlText w:val=""/>
      <w:lvlJc w:val="left"/>
      <w:pPr>
        <w:ind w:left="2880" w:hanging="360"/>
      </w:pPr>
      <w:rPr>
        <w:rFonts w:ascii="Symbol" w:hAnsi="Symbol" w:cs="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cs="Wingdings" w:hint="default"/>
      </w:rPr>
    </w:lvl>
  </w:abstractNum>
  <w:abstractNum w:abstractNumId="18">
    <w:lvl w:ilvl="0">
      <w:start w:val="1"/>
      <w:numFmt w:val="upperRoman"/>
      <w:lvlText w:val="%1."/>
      <w:lvlJc w:val="left"/>
      <w:pPr>
        <w:ind w:left="720" w:hanging="360"/>
      </w:pPr>
      <w:rPr>
        <w:sz w:val="22"/>
        <w:b/>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19">
    <w:lvl w:ilvl="0">
      <w:start w:val="1"/>
      <w:numFmt w:val="upperRoman"/>
      <w:lvlText w:val="%1."/>
      <w:lvlJc w:val="left"/>
      <w:pPr>
        <w:ind w:left="720" w:hanging="360"/>
      </w:pPr>
      <w:rPr>
        <w:sz w:val="22"/>
        <w:b/>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20">
    <w:lvl w:ilvl="0">
      <w:start w:val="1"/>
      <w:numFmt w:val="bullet"/>
      <w:lvlText w:val=""/>
      <w:lvlJc w:val="left"/>
      <w:pPr>
        <w:ind w:left="72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cs="Wingdings" w:hint="default"/>
      </w:rPr>
    </w:lvl>
    <w:lvl w:ilvl="3">
      <w:start w:val="1"/>
      <w:numFmt w:val="bullet"/>
      <w:lvlText w:val=""/>
      <w:lvlJc w:val="left"/>
      <w:pPr>
        <w:ind w:left="180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cs="Wingdings" w:hint="default"/>
      </w:rPr>
    </w:lvl>
    <w:lvl w:ilvl="6">
      <w:start w:val="1"/>
      <w:numFmt w:val="bullet"/>
      <w:lvlText w:val=""/>
      <w:lvlJc w:val="left"/>
      <w:pPr>
        <w:ind w:left="2880" w:hanging="360"/>
      </w:pPr>
      <w:rPr>
        <w:rFonts w:ascii="Symbol" w:hAnsi="Symbol" w:cs="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cs="Wingdings" w:hint="default"/>
      </w:rPr>
    </w:lvl>
  </w:abstractNum>
  <w:abstractNum w:abstractNumId="21">
    <w:lvl w:ilvl="0">
      <w:start w:val="1"/>
      <w:numFmt w:val="upperRoman"/>
      <w:lvlText w:val="%1."/>
      <w:lvlJc w:val="left"/>
      <w:pPr>
        <w:ind w:left="720" w:hanging="360"/>
      </w:pPr>
      <w:rPr>
        <w:sz w:val="24"/>
        <w:b/>
        <w:rFonts w:ascii="Times New Roman CE" w:hAnsi="Times New Roman CE"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22">
    <w:lvl w:ilvl="0">
      <w:start w:val="1"/>
      <w:numFmt w:val="decimal"/>
      <w:lvlText w:val="%1)"/>
      <w:lvlJc w:val="left"/>
      <w:pPr>
        <w:ind w:left="720" w:hanging="360"/>
      </w:pPr>
      <w:rPr>
        <w:sz w:val="22"/>
        <w:rFonts w:ascii="Times New Roman CE" w:hAnsi="Times New Roman CE"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23">
    <w:lvl w:ilvl="0">
      <w:start w:val="1"/>
      <w:numFmt w:val="upperRoman"/>
      <w:lvlText w:val="%1."/>
      <w:lvlJc w:val="right"/>
      <w:pPr>
        <w:ind w:left="720" w:hanging="360"/>
      </w:pPr>
      <w:rPr>
        <w:sz w:val="22"/>
        <w:b/>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24">
    <w:lvl w:ilvl="0">
      <w:start w:val="1"/>
      <w:numFmt w:val="upperRoman"/>
      <w:lvlText w:val="%1."/>
      <w:lvlJc w:val="left"/>
      <w:pPr>
        <w:ind w:left="720" w:hanging="360"/>
      </w:pPr>
      <w:rPr>
        <w:sz w:val="22"/>
        <w:b/>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25">
    <w:lvl w:ilvl="0">
      <w:start w:val="1"/>
      <w:numFmt w:val="upperRoman"/>
      <w:lvlText w:val="%1."/>
      <w:lvlJc w:val="right"/>
      <w:pPr>
        <w:ind w:left="720" w:hanging="360"/>
      </w:pPr>
      <w:rPr>
        <w:sz w:val="22"/>
        <w:b/>
        <w:rFonts w:ascii="Times New Roman CE" w:hAnsi="Times New Roman CE"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26">
    <w:lvl w:ilvl="0">
      <w:start w:val="1"/>
      <w:numFmt w:val="upperRoman"/>
      <w:lvlText w:val="%1."/>
      <w:lvlJc w:val="right"/>
      <w:pPr>
        <w:ind w:left="720" w:hanging="360"/>
      </w:pPr>
      <w:rPr>
        <w:sz w:val="22"/>
        <w:b/>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27">
    <w:lvl w:ilvl="0">
      <w:start w:val="1"/>
      <w:numFmt w:val="upperRoman"/>
      <w:lvlText w:val="%1."/>
      <w:lvlJc w:val="right"/>
      <w:pPr>
        <w:ind w:left="720" w:hanging="360"/>
      </w:pPr>
      <w:rPr>
        <w:sz w:val="22"/>
        <w:b/>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28">
    <w:lvl w:ilvl="0">
      <w:start w:val="1"/>
      <w:numFmt w:val="decimal"/>
      <w:lvlText w:val="%1."/>
      <w:lvlJc w:val="left"/>
      <w:pPr>
        <w:ind w:left="720" w:hanging="360"/>
      </w:pPr>
      <w:rPr>
        <w:sz w:val="22"/>
        <w:b/>
        <w:rFonts w:ascii="Times New Roman CE" w:hAnsi="Times New Roman CE"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29">
    <w:lvl w:ilvl="0">
      <w:start w:val="1"/>
      <w:numFmt w:val="decimal"/>
      <w:lvlText w:val="%1."/>
      <w:lvlJc w:val="left"/>
      <w:pPr>
        <w:ind w:left="720" w:hanging="360"/>
      </w:pPr>
      <w:rPr>
        <w:sz w:val="22"/>
        <w:b/>
        <w:rFonts w:ascii="Times New Roman CE" w:hAnsi="Times New Roman CE"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30">
    <w:lvl w:ilvl="0">
      <w:start w:val="1"/>
      <w:numFmt w:val="bullet"/>
      <w:lvlText w:val=""/>
      <w:lvlJc w:val="left"/>
      <w:pPr>
        <w:ind w:left="72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cs="Wingdings" w:hint="default"/>
      </w:rPr>
    </w:lvl>
    <w:lvl w:ilvl="3">
      <w:start w:val="1"/>
      <w:numFmt w:val="bullet"/>
      <w:lvlText w:val=""/>
      <w:lvlJc w:val="left"/>
      <w:pPr>
        <w:ind w:left="180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cs="Wingdings" w:hint="default"/>
      </w:rPr>
    </w:lvl>
    <w:lvl w:ilvl="6">
      <w:start w:val="1"/>
      <w:numFmt w:val="bullet"/>
      <w:lvlText w:val=""/>
      <w:lvlJc w:val="left"/>
      <w:pPr>
        <w:ind w:left="2880" w:hanging="360"/>
      </w:pPr>
      <w:rPr>
        <w:rFonts w:ascii="Symbol" w:hAnsi="Symbol" w:cs="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cs="Wingdings" w:hint="default"/>
      </w:rPr>
    </w:lvl>
  </w:abstractNum>
  <w:abstractNum w:abstractNumId="31">
    <w:lvl w:ilvl="0">
      <w:start w:val="1"/>
      <w:numFmt w:val="upperRoman"/>
      <w:lvlText w:val="%1."/>
      <w:lvlJc w:val="right"/>
      <w:pPr>
        <w:ind w:left="720" w:hanging="360"/>
      </w:pPr>
      <w:rPr>
        <w:sz w:val="22"/>
        <w:b/>
        <w:rFonts w:ascii="Times New Roman CE" w:hAnsi="Times New Roman CE"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32">
    <w:lvl w:ilvl="0">
      <w:start w:val="1"/>
      <w:numFmt w:val="upperRoman"/>
      <w:lvlText w:val="%1."/>
      <w:lvlJc w:val="right"/>
      <w:pPr>
        <w:ind w:left="720" w:hanging="360"/>
      </w:pPr>
      <w:rPr>
        <w:sz w:val="22"/>
        <w:b/>
        <w:rFonts w:ascii="Times New Roman CE" w:hAnsi="Times New Roman CE"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33">
    <w:lvl w:ilvl="0">
      <w:start w:val="1"/>
      <w:numFmt w:val="decimal"/>
      <w:lvlText w:val="%1."/>
      <w:lvlJc w:val="left"/>
      <w:pPr>
        <w:ind w:left="720" w:hanging="360"/>
      </w:pPr>
      <w:rPr>
        <w:sz w:val="22"/>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34">
    <w:lvl w:ilvl="0">
      <w:start w:val="1"/>
      <w:numFmt w:val="decimal"/>
      <w:lvlText w:val="%1."/>
      <w:lvlJc w:val="left"/>
      <w:pPr>
        <w:ind w:left="720" w:hanging="360"/>
      </w:pPr>
      <w:rPr>
        <w:sz w:val="22"/>
        <w:b/>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35">
    <w:lvl w:ilvl="0">
      <w:start w:val="1"/>
      <w:numFmt w:val="decimal"/>
      <w:lvlText w:val="%1."/>
      <w:lvlJc w:val="left"/>
      <w:pPr>
        <w:ind w:left="720" w:hanging="360"/>
      </w:pPr>
      <w:rPr>
        <w:sz w:val="22"/>
        <w:b/>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36">
    <w:lvl w:ilvl="0">
      <w:start w:val="1"/>
      <w:numFmt w:val="decimal"/>
      <w:lvlText w:val="%1."/>
      <w:lvlJc w:val="left"/>
      <w:pPr>
        <w:ind w:left="720" w:hanging="360"/>
      </w:pPr>
      <w:rPr>
        <w:sz w:val="22"/>
        <w:b/>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37">
    <w:lvl w:ilvl="0">
      <w:start w:val="1"/>
      <w:numFmt w:val="decimal"/>
      <w:lvlText w:val="%1."/>
      <w:lvlJc w:val="left"/>
      <w:pPr>
        <w:ind w:left="720" w:hanging="360"/>
      </w:pPr>
      <w:rPr>
        <w:sz w:val="22"/>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38">
    <w:lvl w:ilvl="0">
      <w:start w:val="1"/>
      <w:numFmt w:val="decimal"/>
      <w:lvlText w:val="%1."/>
      <w:lvlJc w:val="left"/>
      <w:pPr>
        <w:ind w:left="720" w:hanging="360"/>
      </w:pPr>
      <w:rPr>
        <w:sz w:val="22"/>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39">
    <w:lvl w:ilvl="0">
      <w:start w:val="1"/>
      <w:numFmt w:val="decimal"/>
      <w:lvlText w:val="%1."/>
      <w:lvlJc w:val="left"/>
      <w:pPr>
        <w:ind w:left="720" w:hanging="360"/>
      </w:pPr>
      <w:rPr>
        <w:sz w:val="22"/>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40">
    <w:lvl w:ilvl="0">
      <w:start w:val="1"/>
      <w:numFmt w:val="decimal"/>
      <w:lvlText w:val="%1."/>
      <w:lvlJc w:val="left"/>
      <w:pPr>
        <w:ind w:left="720" w:hanging="360"/>
      </w:pPr>
      <w:rPr>
        <w:sz w:val="22"/>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41">
    <w:lvl w:ilvl="0">
      <w:start w:val="1"/>
      <w:numFmt w:val="decimal"/>
      <w:lvlText w:val="%1."/>
      <w:lvlJc w:val="left"/>
      <w:pPr>
        <w:ind w:left="720" w:hanging="360"/>
      </w:pPr>
      <w:rPr>
        <w:sz w:val="22"/>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42">
    <w:lvl w:ilvl="0">
      <w:start w:val="1"/>
      <w:numFmt w:val="decimal"/>
      <w:lvlText w:val="%1."/>
      <w:lvlJc w:val="left"/>
      <w:pPr>
        <w:ind w:left="720" w:hanging="360"/>
      </w:pPr>
      <w:rPr>
        <w:sz w:val="22"/>
        <w:rFonts w:ascii="Times New Roman CE" w:hAnsi="Times New Roman CE"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43">
    <w:lvl w:ilvl="0">
      <w:start w:val="1"/>
      <w:numFmt w:val="decimal"/>
      <w:lvlText w:val="%1."/>
      <w:lvlJc w:val="left"/>
      <w:pPr>
        <w:ind w:left="720" w:hanging="360"/>
      </w:pPr>
      <w:rPr>
        <w:sz w:val="22"/>
        <w:rFonts w:ascii="Times New Roman CE" w:hAnsi="Times New Roman CE"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44">
    <w:lvl w:ilvl="0">
      <w:start w:val="1"/>
      <w:numFmt w:val="decimal"/>
      <w:lvlText w:val="%1."/>
      <w:lvlJc w:val="left"/>
      <w:pPr>
        <w:ind w:left="720" w:hanging="360"/>
      </w:pPr>
      <w:rPr>
        <w:sz w:val="22"/>
        <w:rFonts w:ascii="Times New Roman" w:hAnsi="Times New Roman" w:cs="Times New Roman"/>
      </w:rPr>
    </w:lvl>
    <w:lvl w:ilvl="1">
      <w:start w:val="1"/>
      <w:numFmt w:val="decimal"/>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45">
    <w:lvl w:ilvl="0">
      <w:start w:val="1"/>
      <w:numFmt w:val="decimal"/>
      <w:lvlText w:val="%1."/>
      <w:lvlJc w:val="left"/>
      <w:pPr>
        <w:ind w:left="720" w:hanging="360"/>
      </w:pPr>
      <w:rPr>
        <w:sz w:val="22"/>
        <w:rFonts w:ascii="Times New Roman CE" w:hAnsi="Times New Roman CE"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46">
    <w:lvl w:ilvl="0">
      <w:start w:val="1"/>
      <w:numFmt w:val="decimal"/>
      <w:lvlText w:val="%1."/>
      <w:lvlJc w:val="left"/>
      <w:pPr>
        <w:ind w:left="720" w:hanging="360"/>
      </w:pPr>
      <w:rPr>
        <w:sz w:val="22"/>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47">
    <w:lvl w:ilvl="0">
      <w:start w:val="1"/>
      <w:numFmt w:val="decimal"/>
      <w:lvlText w:val="%1."/>
      <w:lvlJc w:val="left"/>
      <w:pPr>
        <w:ind w:left="720" w:hanging="360"/>
      </w:pPr>
      <w:rPr>
        <w:sz w:val="22"/>
        <w:b/>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48">
    <w:lvl w:ilvl="0">
      <w:start w:val="1"/>
      <w:numFmt w:val="decimal"/>
      <w:lvlText w:val="%1."/>
      <w:lvlJc w:val="left"/>
      <w:pPr>
        <w:ind w:left="720" w:hanging="360"/>
      </w:pPr>
      <w:rPr>
        <w:sz w:val="22"/>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49">
    <w:lvl w:ilvl="0">
      <w:start w:val="1"/>
      <w:numFmt w:val="decimal"/>
      <w:lvlText w:val="%1."/>
      <w:lvlJc w:val="left"/>
      <w:pPr>
        <w:ind w:left="720" w:hanging="360"/>
      </w:pPr>
      <w:rPr>
        <w:sz w:val="22"/>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50">
    <w:lvl w:ilvl="0">
      <w:start w:val="1"/>
      <w:numFmt w:val="decimal"/>
      <w:lvlText w:val="%1."/>
      <w:lvlJc w:val="left"/>
      <w:pPr>
        <w:ind w:left="720" w:hanging="360"/>
      </w:pPr>
      <w:rPr>
        <w:sz w:val="22"/>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51">
    <w:lvl w:ilvl="0">
      <w:start w:val="1"/>
      <w:numFmt w:val="decimal"/>
      <w:lvlText w:val="%1."/>
      <w:lvlJc w:val="left"/>
      <w:pPr>
        <w:ind w:left="720" w:hanging="360"/>
      </w:pPr>
      <w:rPr>
        <w:sz w:val="22"/>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52">
    <w:lvl w:ilvl="0">
      <w:start w:val="1"/>
      <w:numFmt w:val="decimal"/>
      <w:lvlText w:val="%1."/>
      <w:lvlJc w:val="left"/>
      <w:pPr>
        <w:ind w:left="720" w:hanging="360"/>
      </w:pPr>
      <w:rPr>
        <w:sz w:val="22"/>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53">
    <w:lvl w:ilvl="0">
      <w:start w:val="1"/>
      <w:numFmt w:val="decimal"/>
      <w:lvlText w:val="%1."/>
      <w:lvlJc w:val="left"/>
      <w:pPr>
        <w:ind w:left="720" w:hanging="360"/>
      </w:pPr>
      <w:rPr>
        <w:sz w:val="22"/>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54">
    <w:lvl w:ilvl="0">
      <w:start w:val="1"/>
      <w:numFmt w:val="decimal"/>
      <w:lvlText w:val="%1."/>
      <w:lvlJc w:val="left"/>
      <w:pPr>
        <w:ind w:left="720" w:hanging="360"/>
      </w:pPr>
      <w:rPr>
        <w:sz w:val="22"/>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55">
    <w:lvl w:ilvl="0">
      <w:start w:val="1"/>
      <w:numFmt w:val="decimal"/>
      <w:lvlText w:val="%1."/>
      <w:lvlJc w:val="left"/>
      <w:pPr>
        <w:ind w:left="720" w:hanging="360"/>
      </w:pPr>
      <w:rPr>
        <w:sz w:val="22"/>
        <w:rFonts w:ascii="Times New Roman CE" w:hAnsi="Times New Roman CE"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56">
    <w:lvl w:ilvl="0">
      <w:start w:val="1"/>
      <w:numFmt w:val="decimal"/>
      <w:lvlText w:val="%1."/>
      <w:lvlJc w:val="left"/>
      <w:pPr>
        <w:ind w:left="720" w:hanging="360"/>
      </w:pPr>
      <w:rPr>
        <w:sz w:val="22"/>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57">
    <w:lvl w:ilvl="0">
      <w:start w:val="1"/>
      <w:numFmt w:val="decimal"/>
      <w:lvlText w:val="%1."/>
      <w:lvlJc w:val="left"/>
      <w:pPr>
        <w:ind w:left="720" w:hanging="360"/>
      </w:pPr>
      <w:rPr>
        <w:sz w:val="22"/>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58">
    <w:lvl w:ilvl="0">
      <w:start w:val="1"/>
      <w:numFmt w:val="decimal"/>
      <w:lvlText w:val="%1."/>
      <w:lvlJc w:val="left"/>
      <w:pPr>
        <w:ind w:left="720" w:hanging="360"/>
      </w:pPr>
      <w:rPr>
        <w:sz w:val="22"/>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59">
    <w:lvl w:ilvl="0">
      <w:start w:val="1"/>
      <w:numFmt w:val="decimal"/>
      <w:lvlText w:val="%1."/>
      <w:lvlJc w:val="left"/>
      <w:pPr>
        <w:ind w:left="720" w:hanging="360"/>
      </w:pPr>
      <w:rPr>
        <w:sz w:val="22"/>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60">
    <w:lvl w:ilvl="0">
      <w:start w:val="1"/>
      <w:numFmt w:val="decimal"/>
      <w:lvlText w:val="%1."/>
      <w:lvlJc w:val="left"/>
      <w:pPr>
        <w:ind w:left="720" w:hanging="360"/>
      </w:pPr>
      <w:rPr>
        <w:sz w:val="22"/>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61">
    <w:lvl w:ilvl="0">
      <w:start w:val="1"/>
      <w:numFmt w:val="decimal"/>
      <w:lvlText w:val="%1."/>
      <w:lvlJc w:val="left"/>
      <w:pPr>
        <w:ind w:left="720" w:hanging="360"/>
      </w:pPr>
      <w:rPr>
        <w:sz w:val="22"/>
        <w:b/>
        <w:rFonts w:ascii="Times New Roman CE" w:hAnsi="Times New Roman CE"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62">
    <w:lvl w:ilvl="0">
      <w:start w:val="1"/>
      <w:numFmt w:val="decimal"/>
      <w:lvlText w:val="%1."/>
      <w:lvlJc w:val="left"/>
      <w:pPr>
        <w:ind w:left="720" w:hanging="360"/>
      </w:pPr>
      <w:rPr>
        <w:sz w:val="22"/>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63">
    <w:lvl w:ilvl="0">
      <w:start w:val="1"/>
      <w:numFmt w:val="decimal"/>
      <w:lvlText w:val="%1."/>
      <w:lvlJc w:val="left"/>
      <w:pPr>
        <w:ind w:left="720" w:hanging="360"/>
      </w:pPr>
      <w:rPr>
        <w:sz w:val="22"/>
        <w:rFonts w:ascii="Times New Roman CE" w:hAnsi="Times New Roman CE"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64">
    <w:lvl w:ilvl="0">
      <w:start w:val="1"/>
      <w:numFmt w:val="decimal"/>
      <w:lvlText w:val="%1."/>
      <w:lvlJc w:val="left"/>
      <w:pPr>
        <w:ind w:left="720" w:hanging="360"/>
      </w:pPr>
      <w:rPr>
        <w:sz w:val="22"/>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65">
    <w:lvl w:ilvl="0">
      <w:start w:val="1"/>
      <w:numFmt w:val="decimal"/>
      <w:lvlText w:val="%1."/>
      <w:lvlJc w:val="left"/>
      <w:pPr>
        <w:ind w:left="720" w:hanging="360"/>
      </w:pPr>
      <w:rPr>
        <w:sz w:val="22"/>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66">
    <w:lvl w:ilvl="0">
      <w:start w:val="1"/>
      <w:numFmt w:val="decimal"/>
      <w:lvlText w:val="%1."/>
      <w:lvlJc w:val="left"/>
      <w:pPr>
        <w:ind w:left="720" w:hanging="360"/>
      </w:pPr>
      <w:rPr>
        <w:sz w:val="22"/>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67">
    <w:lvl w:ilvl="0">
      <w:start w:val="1"/>
      <w:numFmt w:val="decimal"/>
      <w:lvlText w:val="%1."/>
      <w:lvlJc w:val="left"/>
      <w:pPr>
        <w:ind w:left="720" w:hanging="360"/>
      </w:pPr>
      <w:rPr>
        <w:sz w:val="22"/>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68">
    <w:lvl w:ilvl="0">
      <w:start w:val="1"/>
      <w:numFmt w:val="upperLetter"/>
      <w:lvlText w:val="%1."/>
      <w:lvlJc w:val="left"/>
      <w:pPr>
        <w:ind w:left="720" w:hanging="360"/>
      </w:pPr>
      <w:rPr>
        <w:sz w:val="22"/>
        <w:rFonts w:ascii="Times New Roman" w:hAnsi="Times New Roman" w:cs="Times New Roman"/>
      </w:rPr>
    </w:lvl>
    <w:lvl w:ilvl="1">
      <w:start w:val="1"/>
      <w:numFmt w:val="lowerLetter"/>
      <w:lvlText w:val="%2."/>
      <w:lvlJc w:val="left"/>
      <w:pPr>
        <w:ind w:left="1080" w:hanging="360"/>
      </w:pPr>
      <w:rPr>
        <w:sz w:val="22"/>
        <w:rFonts w:ascii="Times New Roman" w:hAnsi="Times New Roman"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69">
    <w:lvl w:ilvl="0">
      <w:start w:val="2"/>
      <w:numFmt w:val="upperRoman"/>
      <w:lvlText w:val="%1."/>
      <w:lvlJc w:val="right"/>
      <w:pPr>
        <w:ind w:left="720" w:hanging="360"/>
      </w:pPr>
      <w:rPr>
        <w:sz w:val="22"/>
        <w:b/>
        <w:rFonts w:ascii="Times New Roman CE" w:hAnsi="Times New Roman CE"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70">
    <w:lvl w:ilvl="0">
      <w:start w:val="1"/>
      <w:numFmt w:val="decimal"/>
      <w:lvlText w:val="%1."/>
      <w:lvlJc w:val="left"/>
      <w:pPr>
        <w:ind w:left="720" w:hanging="360"/>
      </w:pPr>
      <w:rPr>
        <w:sz w:val="22"/>
        <w:rFonts w:ascii="Times New Roman" w:hAnsi="Times New Roman"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71">
    <w:lvl w:ilvl="0">
      <w:start w:val="1"/>
      <w:numFmt w:val="decimal"/>
      <w:lvlText w:val="%1."/>
      <w:lvlJc w:val="left"/>
      <w:pPr>
        <w:ind w:left="720" w:hanging="360"/>
      </w:pPr>
      <w:rPr>
        <w:sz w:val="22"/>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72">
    <w:lvl w:ilvl="0">
      <w:start w:val="1"/>
      <w:numFmt w:val="decimal"/>
      <w:lvlText w:val="%1."/>
      <w:lvlJc w:val="left"/>
      <w:pPr>
        <w:ind w:left="720" w:hanging="360"/>
      </w:pPr>
      <w:rPr>
        <w:sz w:val="22"/>
        <w:rFonts w:ascii="Times New Roman" w:hAnsi="Times New Roman"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73">
    <w:lvl w:ilvl="0">
      <w:start w:val="2"/>
      <w:numFmt w:val="upperRoman"/>
      <w:lvlText w:val="%1."/>
      <w:lvlJc w:val="right"/>
      <w:pPr>
        <w:ind w:left="720" w:hanging="360"/>
      </w:pPr>
      <w:rPr>
        <w:b/>
        <w:rFonts w:ascii="Times New Roman CE" w:hAnsi="Times New Roman CE"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74">
    <w:lvl w:ilvl="0">
      <w:start w:val="4"/>
      <w:numFmt w:val="upperRoman"/>
      <w:lvlText w:val="%1."/>
      <w:lvlJc w:val="right"/>
      <w:pPr>
        <w:ind w:left="720" w:hanging="360"/>
      </w:pPr>
      <w:rPr>
        <w:b w:val="false"/>
        <w:rFonts w:ascii="Times New Roman CE" w:hAnsi="Times New Roman CE"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75">
    <w:lvl w:ilvl="0">
      <w:start w:val="1"/>
      <w:numFmt w:val="upperRoman"/>
      <w:lvlText w:val="%1."/>
      <w:lvlJc w:val="right"/>
      <w:pPr>
        <w:ind w:left="720" w:hanging="360"/>
      </w:pPr>
      <w:rPr>
        <w:b w:val="false"/>
        <w:rFonts w:ascii="Times New Roman CE" w:hAnsi="Times New Roman CE"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76">
    <w:lvl w:ilvl="0">
      <w:start w:val="1"/>
      <w:numFmt w:val="decimal"/>
      <w:lvlText w:val="%1."/>
      <w:lvlJc w:val="left"/>
      <w:pPr>
        <w:ind w:left="720" w:hanging="360"/>
      </w:pPr>
      <w:rPr>
        <w:sz w:val="22"/>
        <w:b/>
        <w:rFonts w:ascii="Times New Roman CE" w:hAnsi="Times New Roman CE"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77">
    <w:lvl w:ilvl="0">
      <w:start w:val="1"/>
      <w:numFmt w:val="decimal"/>
      <w:lvlText w:val="%1."/>
      <w:lvlJc w:val="left"/>
      <w:pPr>
        <w:ind w:left="720" w:hanging="360"/>
      </w:pPr>
      <w:rPr>
        <w:sz w:val="22"/>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78">
    <w:lvl w:ilvl="0">
      <w:start w:val="1"/>
      <w:numFmt w:val="decimal"/>
      <w:lvlText w:val="%1."/>
      <w:lvlJc w:val="left"/>
      <w:pPr>
        <w:ind w:left="720" w:hanging="360"/>
      </w:pPr>
      <w:rPr>
        <w:sz w:val="22"/>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79">
    <w:lvl w:ilvl="0">
      <w:start w:val="1"/>
      <w:numFmt w:val="decimal"/>
      <w:lvlText w:val="%1."/>
      <w:lvlJc w:val="left"/>
      <w:pPr>
        <w:ind w:left="720" w:hanging="360"/>
      </w:pPr>
      <w:rPr>
        <w:sz w:val="22"/>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80">
    <w:lvl w:ilvl="0">
      <w:start w:val="1"/>
      <w:numFmt w:val="decimal"/>
      <w:lvlText w:val="%1."/>
      <w:lvlJc w:val="left"/>
      <w:pPr>
        <w:ind w:left="720" w:hanging="360"/>
      </w:pPr>
      <w:rPr>
        <w:sz w:val="22"/>
        <w:b/>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81">
    <w:lvl w:ilvl="0">
      <w:start w:val="1"/>
      <w:numFmt w:val="decimal"/>
      <w:lvlText w:val="%1."/>
      <w:lvlJc w:val="left"/>
      <w:pPr>
        <w:ind w:left="720" w:hanging="360"/>
      </w:pPr>
      <w:rPr>
        <w:sz w:val="22"/>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82">
    <w:lvl w:ilvl="0">
      <w:start w:val="1"/>
      <w:numFmt w:val="decimal"/>
      <w:lvlText w:val="%1."/>
      <w:lvlJc w:val="left"/>
      <w:pPr>
        <w:ind w:left="720" w:hanging="360"/>
      </w:pPr>
      <w:rPr>
        <w:sz w:val="22"/>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83">
    <w:lvl w:ilvl="0">
      <w:start w:val="1"/>
      <w:numFmt w:val="decimal"/>
      <w:lvlText w:val="%1."/>
      <w:lvlJc w:val="left"/>
      <w:pPr>
        <w:ind w:left="720" w:hanging="360"/>
      </w:pPr>
      <w:rPr>
        <w:sz w:val="22"/>
        <w:rFonts w:ascii="Times New Roman" w:hAnsi="Times New Roman"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84">
    <w:lvl w:ilvl="0">
      <w:start w:val="1"/>
      <w:numFmt w:val="decimal"/>
      <w:lvlText w:val="%1."/>
      <w:lvlJc w:val="left"/>
      <w:pPr>
        <w:ind w:left="720" w:hanging="360"/>
      </w:pPr>
      <w:rPr>
        <w:sz w:val="22"/>
        <w:b/>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85">
    <w:lvl w:ilvl="0">
      <w:start w:val="1"/>
      <w:numFmt w:val="decimal"/>
      <w:lvlText w:val="%1."/>
      <w:lvlJc w:val="left"/>
      <w:pPr>
        <w:ind w:left="720" w:hanging="360"/>
      </w:pPr>
      <w:rPr>
        <w:sz w:val="22"/>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86">
    <w:lvl w:ilvl="0">
      <w:start w:val="1"/>
      <w:numFmt w:val="decimal"/>
      <w:lvlText w:val="%1."/>
      <w:lvlJc w:val="left"/>
      <w:pPr>
        <w:ind w:left="720" w:hanging="360"/>
      </w:pPr>
      <w:rPr>
        <w:sz w:val="22"/>
        <w:b/>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87">
    <w:lvl w:ilvl="0">
      <w:start w:val="1"/>
      <w:numFmt w:val="decimal"/>
      <w:lvlText w:val="%1."/>
      <w:lvlJc w:val="left"/>
      <w:pPr>
        <w:ind w:left="720" w:hanging="360"/>
      </w:pPr>
      <w:rPr>
        <w:sz w:val="22"/>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88">
    <w:lvl w:ilvl="0">
      <w:start w:val="1"/>
      <w:numFmt w:val="decimal"/>
      <w:lvlText w:val="%1."/>
      <w:lvlJc w:val="left"/>
      <w:pPr>
        <w:ind w:left="720" w:hanging="360"/>
      </w:pPr>
      <w:rPr>
        <w:sz w:val="22"/>
        <w:b/>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89">
    <w:lvl w:ilvl="0">
      <w:start w:val="1"/>
      <w:numFmt w:val="decimal"/>
      <w:lvlText w:val="%1."/>
      <w:lvlJc w:val="left"/>
      <w:pPr>
        <w:ind w:left="720" w:hanging="360"/>
      </w:pPr>
      <w:rPr>
        <w:sz w:val="22"/>
        <w:b/>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90">
    <w:lvl w:ilvl="0">
      <w:start w:val="1"/>
      <w:numFmt w:val="upperRoman"/>
      <w:lvlText w:val="%1."/>
      <w:lvlJc w:val="right"/>
      <w:pPr>
        <w:ind w:left="720" w:hanging="360"/>
      </w:pPr>
      <w:rPr>
        <w:sz w:val="22"/>
        <w:b/>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91">
    <w:lvl w:ilvl="0">
      <w:start w:val="1"/>
      <w:numFmt w:val="decimal"/>
      <w:lvlText w:val="%1."/>
      <w:lvlJc w:val="left"/>
      <w:pPr>
        <w:ind w:left="720" w:hanging="360"/>
      </w:pPr>
      <w:rPr>
        <w:sz w:val="22"/>
        <w:b/>
        <w:rFonts w:ascii="Times New Roman" w:hAnsi="Times New Roman"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92">
    <w:lvl w:ilvl="0">
      <w:start w:val="1"/>
      <w:numFmt w:val="decimal"/>
      <w:lvlText w:val="%1."/>
      <w:lvlJc w:val="left"/>
      <w:pPr>
        <w:ind w:left="720" w:hanging="360"/>
      </w:pPr>
      <w:rPr>
        <w:sz w:val="22"/>
        <w:rFonts w:ascii="Times New Roman" w:hAnsi="Times New Roman"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93">
    <w:lvl w:ilvl="0">
      <w:start w:val="1"/>
      <w:numFmt w:val="decimal"/>
      <w:lvlText w:val="%1."/>
      <w:lvlJc w:val="left"/>
      <w:pPr>
        <w:ind w:left="720" w:hanging="360"/>
      </w:pPr>
      <w:rPr>
        <w:sz w:val="22"/>
        <w:rFonts w:ascii="Times New Roman" w:hAnsi="Times New Roman"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94">
    <w:lvl w:ilvl="0">
      <w:start w:val="1"/>
      <w:numFmt w:val="decimal"/>
      <w:lvlText w:val="%1."/>
      <w:lvlJc w:val="left"/>
      <w:pPr>
        <w:ind w:left="720" w:hanging="360"/>
      </w:pPr>
      <w:rPr>
        <w:sz w:val="22"/>
        <w:rFonts w:ascii="Times New Roman" w:hAnsi="Times New Roman"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95">
    <w:lvl w:ilvl="0">
      <w:start w:val="1"/>
      <w:numFmt w:val="decimal"/>
      <w:lvlText w:val="%1."/>
      <w:lvlJc w:val="left"/>
      <w:pPr>
        <w:ind w:left="720" w:hanging="360"/>
      </w:pPr>
      <w:rPr>
        <w:sz w:val="22"/>
        <w:rFonts w:ascii="Times New Roman" w:hAnsi="Times New Roman"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96">
    <w:lvl w:ilvl="0">
      <w:start w:val="1"/>
      <w:numFmt w:val="decimal"/>
      <w:lvlText w:val="%1."/>
      <w:lvlJc w:val="left"/>
      <w:pPr>
        <w:ind w:left="720" w:hanging="360"/>
      </w:pPr>
      <w:rPr>
        <w:sz w:val="22"/>
        <w:rFonts w:ascii="Times New Roman" w:hAnsi="Times New Roman"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97">
    <w:lvl w:ilvl="0">
      <w:start w:val="1"/>
      <w:numFmt w:val="decimal"/>
      <w:lvlText w:val="%1."/>
      <w:lvlJc w:val="left"/>
      <w:pPr>
        <w:ind w:left="720" w:hanging="360"/>
      </w:pPr>
      <w:rPr>
        <w:sz w:val="22"/>
        <w:rFonts w:ascii="CMTI10" w:hAnsi="CMTI10"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98">
    <w:lvl w:ilvl="0">
      <w:start w:val="1"/>
      <w:numFmt w:val="decimal"/>
      <w:lvlText w:val="%1."/>
      <w:lvlJc w:val="left"/>
      <w:pPr>
        <w:ind w:left="720" w:hanging="360"/>
      </w:pPr>
      <w:rPr>
        <w:sz w:val="22"/>
        <w:rFonts w:ascii="CMTI10" w:hAnsi="CMTI10"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99">
    <w:lvl w:ilvl="0">
      <w:start w:val="1"/>
      <w:numFmt w:val="decimal"/>
      <w:lvlText w:val="%1."/>
      <w:lvlJc w:val="left"/>
      <w:pPr>
        <w:ind w:left="720" w:hanging="360"/>
      </w:pPr>
      <w:rPr>
        <w:sz w:val="22"/>
        <w:rFonts w:ascii="CMTI10" w:hAnsi="CMTI10"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00">
    <w:lvl w:ilvl="0">
      <w:start w:val="1"/>
      <w:numFmt w:val="decimal"/>
      <w:lvlText w:val="%1."/>
      <w:lvlJc w:val="left"/>
      <w:pPr>
        <w:ind w:left="720" w:hanging="360"/>
      </w:pPr>
      <w:rPr>
        <w:sz w:val="22"/>
        <w:rFonts w:ascii="Times New Roman" w:hAnsi="Times New Roman"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01">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cs="Wingdings" w:hint="default"/>
      </w:rPr>
    </w:lvl>
    <w:lvl w:ilvl="3">
      <w:start w:val="1"/>
      <w:numFmt w:val="bullet"/>
      <w:lvlText w:val=""/>
      <w:lvlJc w:val="left"/>
      <w:pPr>
        <w:ind w:left="180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cs="Wingdings" w:hint="default"/>
      </w:rPr>
    </w:lvl>
    <w:lvl w:ilvl="6">
      <w:start w:val="1"/>
      <w:numFmt w:val="bullet"/>
      <w:lvlText w:val=""/>
      <w:lvlJc w:val="left"/>
      <w:pPr>
        <w:ind w:left="2880" w:hanging="360"/>
      </w:pPr>
      <w:rPr>
        <w:rFonts w:ascii="Symbol" w:hAnsi="Symbol" w:cs="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cs="Wingdings" w:hint="default"/>
      </w:rPr>
    </w:lvl>
  </w:abstractNum>
  <w:abstractNum w:abstractNumId="102">
    <w:lvl w:ilvl="0">
      <w:start w:val="10"/>
      <w:numFmt w:val="upperRoman"/>
      <w:lvlText w:val="%1."/>
      <w:lvlJc w:val="right"/>
      <w:pPr>
        <w:ind w:left="720" w:hanging="360"/>
      </w:pPr>
      <w:rPr>
        <w:sz w:val="22"/>
        <w:b/>
        <w:rFonts w:ascii="Times New Roman CE" w:hAnsi="Times New Roman CE"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103">
    <w:lvl w:ilvl="0">
      <w:start w:val="9"/>
      <w:numFmt w:val="upperRoman"/>
      <w:lvlText w:val="%1."/>
      <w:lvlJc w:val="right"/>
      <w:pPr>
        <w:ind w:left="720" w:hanging="360"/>
      </w:pPr>
      <w:rPr>
        <w:sz w:val="22"/>
        <w:b/>
        <w:rFonts w:ascii="Times New Roman" w:hAnsi="Times New Roman"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104">
    <w:lvl w:ilvl="0">
      <w:start w:val="1"/>
      <w:numFmt w:val="decimal"/>
      <w:lvlText w:val="%1."/>
      <w:lvlJc w:val="left"/>
      <w:pPr>
        <w:ind w:left="720" w:hanging="360"/>
      </w:pPr>
      <w:rPr>
        <w:sz w:val="22"/>
        <w:rFonts w:ascii="Times New Roman" w:hAnsi="Times New Roman"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05">
    <w:lvl w:ilvl="0">
      <w:start w:val="1"/>
      <w:numFmt w:val="decimal"/>
      <w:lvlText w:val="%1."/>
      <w:lvlJc w:val="left"/>
      <w:pPr>
        <w:ind w:left="720" w:hanging="360"/>
      </w:pPr>
      <w:rPr>
        <w:sz w:val="22"/>
        <w:rFonts w:ascii="Times New Roman" w:hAnsi="Times New Roman"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06">
    <w:lvl w:ilvl="0">
      <w:start w:val="1"/>
      <w:numFmt w:val="upperRoman"/>
      <w:lvlText w:val="%1."/>
      <w:lvlJc w:val="left"/>
      <w:pPr>
        <w:ind w:left="720" w:hanging="360"/>
      </w:pPr>
      <w:rPr>
        <w:sz w:val="26"/>
        <w:b/>
        <w:rFonts w:ascii="Times New Roman CE" w:hAnsi="Times New Roman CE"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7">
    <w:lvl w:ilvl="0">
      <w:start w:val="1"/>
      <w:numFmt w:val="upperRoman"/>
      <w:lvlText w:val="%1."/>
      <w:lvlJc w:val="left"/>
      <w:pPr>
        <w:ind w:left="720" w:hanging="360"/>
      </w:pPr>
      <w:rPr>
        <w:b/>
        <w:rFonts w:ascii="Times New Roman CE" w:hAnsi="Times New Roman CE"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8">
    <w:lvl w:ilvl="0">
      <w:start w:val="1"/>
      <w:numFmt w:val="upperRoman"/>
      <w:lvlText w:val="%1."/>
      <w:lvlJc w:val="right"/>
      <w:pPr>
        <w:ind w:left="720" w:hanging="360"/>
      </w:pPr>
      <w:rPr>
        <w:sz w:val="26"/>
        <w:b/>
        <w:rFonts w:ascii="Times New Roman" w:hAnsi="Times New Roman" w:cs="Times New Roman"/>
      </w:rPr>
    </w:lvl>
    <w:lvl w:ilvl="1">
      <w:start w:val="1"/>
      <w:numFmt w:val="decimal"/>
      <w:lvlText w:val="%2."/>
      <w:lvlJc w:val="left"/>
      <w:pPr>
        <w:ind w:left="1080" w:hanging="360"/>
      </w:pPr>
      <w:rPr>
        <w:rFonts w:cs="Symbol"/>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09">
    <w:lvl w:ilvl="0">
      <w:start w:val="1"/>
      <w:numFmt w:val="upperRoman"/>
      <w:lvlText w:val="%1."/>
      <w:lvlJc w:val="left"/>
      <w:pPr>
        <w:ind w:left="720" w:hanging="360"/>
      </w:pPr>
      <w:rPr>
        <w:b/>
        <w:rFonts w:ascii="Times New Roman CE" w:hAnsi="Times New Roman CE"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110">
    <w:lvl w:ilvl="0">
      <w:start w:val="1"/>
      <w:numFmt w:val="upperRoman"/>
      <w:lvlText w:val="%1."/>
      <w:lvlJc w:val="left"/>
      <w:pPr>
        <w:ind w:left="720" w:hanging="360"/>
      </w:pPr>
      <w:rPr>
        <w:sz w:val="26"/>
        <w:b/>
        <w:rFonts w:ascii="Times New Roman CE" w:hAnsi="Times New Roman CE"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1">
    <w:lvl w:ilvl="0">
      <w:start w:val="1"/>
      <w:numFmt w:val="bullet"/>
      <w:lvlText w:val=""/>
      <w:lvlJc w:val="left"/>
      <w:pPr>
        <w:ind w:left="72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cs="Wingdings" w:hint="default"/>
      </w:rPr>
    </w:lvl>
    <w:lvl w:ilvl="3">
      <w:start w:val="1"/>
      <w:numFmt w:val="bullet"/>
      <w:lvlText w:val=""/>
      <w:lvlJc w:val="left"/>
      <w:pPr>
        <w:ind w:left="180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cs="Wingdings" w:hint="default"/>
      </w:rPr>
    </w:lvl>
    <w:lvl w:ilvl="6">
      <w:start w:val="1"/>
      <w:numFmt w:val="bullet"/>
      <w:lvlText w:val=""/>
      <w:lvlJc w:val="left"/>
      <w:pPr>
        <w:ind w:left="2880" w:hanging="360"/>
      </w:pPr>
      <w:rPr>
        <w:rFonts w:ascii="Symbol" w:hAnsi="Symbol" w:cs="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cs="Wingdings" w:hint="default"/>
      </w:rPr>
    </w:lvl>
  </w:abstractNum>
  <w:abstractNum w:abstractNumId="112">
    <w:lvl w:ilvl="0">
      <w:start w:val="1"/>
      <w:numFmt w:val="decimal"/>
      <w:lvlText w:val="%1."/>
      <w:lvlJc w:val="left"/>
      <w:pPr>
        <w:ind w:left="720" w:hanging="360"/>
      </w:pPr>
      <w:rPr>
        <w:b/>
        <w:rFonts w:ascii="Times New Roman CE" w:hAnsi="Times New Roman CE"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113">
    <w:lvl w:ilvl="0">
      <w:start w:val="1"/>
      <w:numFmt w:val="upperRoman"/>
      <w:lvlText w:val="%1."/>
      <w:lvlJc w:val="right"/>
      <w:pPr>
        <w:ind w:left="720" w:hanging="360"/>
      </w:pPr>
      <w:rPr>
        <w:sz w:val="22"/>
        <w:b/>
        <w:rFonts w:ascii="Times New Roman CE" w:hAnsi="Times New Roman CE"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114">
    <w:lvl w:ilvl="0">
      <w:start w:val="1"/>
      <w:numFmt w:val="upperRoman"/>
      <w:lvlText w:val="%1."/>
      <w:lvlJc w:val="left"/>
      <w:pPr>
        <w:ind w:left="720" w:hanging="360"/>
      </w:pPr>
      <w:rPr>
        <w:sz w:val="22"/>
        <w:b/>
        <w:rFonts w:ascii="Times New Roman CE" w:hAnsi="Times New Roman CE"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115">
    <w:lvl w:ilvl="0">
      <w:start w:val="3"/>
      <w:numFmt w:val="upperRoman"/>
      <w:lvlText w:val="%1."/>
      <w:lvlJc w:val="left"/>
      <w:pPr>
        <w:ind w:left="720" w:hanging="360"/>
      </w:pPr>
      <w:rPr>
        <w:sz w:val="22"/>
        <w:b/>
        <w:rFonts w:ascii="Times New Roman CE" w:hAnsi="Times New Roman CE"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116">
    <w:lvl w:ilvl="0">
      <w:start w:val="1"/>
      <w:numFmt w:val="bullet"/>
      <w:lvlText w:val=""/>
      <w:lvlJc w:val="left"/>
      <w:pPr>
        <w:ind w:left="72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cs="Wingdings" w:hint="default"/>
      </w:rPr>
    </w:lvl>
    <w:lvl w:ilvl="3">
      <w:start w:val="1"/>
      <w:numFmt w:val="bullet"/>
      <w:lvlText w:val=""/>
      <w:lvlJc w:val="left"/>
      <w:pPr>
        <w:ind w:left="180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cs="Wingdings" w:hint="default"/>
      </w:rPr>
    </w:lvl>
    <w:lvl w:ilvl="6">
      <w:start w:val="1"/>
      <w:numFmt w:val="bullet"/>
      <w:lvlText w:val=""/>
      <w:lvlJc w:val="left"/>
      <w:pPr>
        <w:ind w:left="2880" w:hanging="360"/>
      </w:pPr>
      <w:rPr>
        <w:rFonts w:ascii="Symbol" w:hAnsi="Symbol" w:cs="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cs="Wingdings" w:hint="default"/>
      </w:rPr>
    </w:lvl>
  </w:abstractNum>
  <w:abstractNum w:abstractNumId="117">
    <w:lvl w:ilvl="0">
      <w:start w:val="1"/>
      <w:numFmt w:val="upperRoman"/>
      <w:lvlText w:val="%1."/>
      <w:lvlJc w:val="left"/>
      <w:pPr>
        <w:ind w:left="720" w:hanging="360"/>
      </w:pPr>
      <w:rPr>
        <w:sz w:val="22"/>
        <w:rFonts w:ascii="Times New Roman CE" w:hAnsi="Times New Roman CE"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440" w:hanging="360"/>
      </w:pPr>
      <w:rPr>
        <w:rFonts w:cs="Times New Roman"/>
      </w:rPr>
    </w:lvl>
    <w:lvl w:ilvl="3">
      <w:start w:val="1"/>
      <w:numFmt w:val="decimal"/>
      <w:lvlText w:val="%4."/>
      <w:lvlJc w:val="left"/>
      <w:pPr>
        <w:ind w:left="1800" w:hanging="360"/>
      </w:pPr>
      <w:rPr>
        <w:rFonts w:cs="Times New Roman"/>
      </w:rPr>
    </w:lvl>
    <w:lvl w:ilvl="4">
      <w:start w:val="1"/>
      <w:numFmt w:val="lowerLetter"/>
      <w:lvlText w:val="%5."/>
      <w:lvlJc w:val="left"/>
      <w:pPr>
        <w:ind w:left="2160" w:hanging="360"/>
      </w:pPr>
      <w:rPr>
        <w:rFonts w:cs="Times New Roman"/>
      </w:rPr>
    </w:lvl>
    <w:lvl w:ilvl="5">
      <w:start w:val="1"/>
      <w:numFmt w:val="lowerRoman"/>
      <w:lvlText w:val="%6."/>
      <w:lvlJc w:val="righ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right"/>
      <w:pPr>
        <w:ind w:left="3600" w:hanging="360"/>
      </w:pPr>
      <w:rPr>
        <w:rFonts w:cs="Times New Roman"/>
      </w:rPr>
    </w:lvl>
  </w:abstractNum>
  <w:abstractNum w:abstractNumId="118">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bering>
</file>

<file path=word/settings.xml><?xml version="1.0" encoding="utf-8"?>
<w:settings xmlns:w="http://schemas.openxmlformats.org/wordprocessingml/2006/main">
  <w:zoom w:percent="100"/>
  <w:defaultTabStop w:val="708"/>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Lucida Sans"/>
        <w:szCs w:val="24"/>
        <w:lang w:val="ru-RU" w:eastAsia="zh-CN" w:bidi="hi-IN"/>
      </w:rPr>
    </w:rPrDefault>
    <w:pPrDefault>
      <w:pPr/>
    </w:pPrDefault>
  </w:docDefaults>
  <w:style w:type="paragraph" w:styleId="Normal">
    <w:name w:val="Normal"/>
    <w:qFormat/>
    <w:pPr>
      <w:widowControl/>
      <w:bidi w:val="0"/>
      <w:ind w:left="0" w:right="0" w:hanging="0"/>
      <w:jc w:val="left"/>
      <w:textAlignment w:val="auto"/>
    </w:pPr>
    <w:rPr>
      <w:rFonts w:ascii="Times New Roman" w:hAnsi="Times New Roman" w:eastAsia="Courier New" w:cs="Times New Roman"/>
      <w:color w:val="auto"/>
      <w:sz w:val="24"/>
      <w:szCs w:val="24"/>
      <w:lang w:val="ru-RU" w:eastAsia="ru-RU" w:bidi="ar-SA"/>
    </w:rPr>
  </w:style>
  <w:style w:type="paragraph" w:styleId="1">
    <w:name w:val="Heading 1"/>
    <w:basedOn w:val="Normal"/>
    <w:qFormat/>
    <w:pPr>
      <w:keepNext/>
      <w:widowControl/>
      <w:spacing w:before="240" w:after="60"/>
      <w:ind w:left="0" w:right="0" w:hanging="0"/>
      <w:jc w:val="left"/>
      <w:textAlignment w:val="auto"/>
      <w:outlineLvl w:val="0"/>
    </w:pPr>
    <w:rPr>
      <w:rFonts w:ascii="Arial" w:hAnsi="Arial" w:cs="Arial"/>
      <w:b/>
      <w:bCs/>
      <w:sz w:val="32"/>
      <w:szCs w:val="32"/>
      <w:lang w:val="ru-RU" w:eastAsia="ru-RU" w:bidi="ar-SA"/>
    </w:rPr>
  </w:style>
  <w:style w:type="paragraph" w:styleId="2">
    <w:name w:val="Heading 2"/>
    <w:basedOn w:val="Normal"/>
    <w:qFormat/>
    <w:pPr>
      <w:keepNext/>
      <w:widowControl/>
      <w:ind w:left="0" w:right="0" w:hanging="0"/>
      <w:jc w:val="left"/>
      <w:textAlignment w:val="auto"/>
      <w:outlineLvl w:val="1"/>
    </w:pPr>
    <w:rPr>
      <w:rFonts w:cs="Times New Roman"/>
      <w:sz w:val="28"/>
      <w:szCs w:val="24"/>
      <w:lang w:val="ro-RO" w:eastAsia="en-US" w:bidi="ar-SA"/>
    </w:rPr>
  </w:style>
  <w:style w:type="paragraph" w:styleId="3">
    <w:name w:val="Heading 3"/>
    <w:basedOn w:val="Normal"/>
    <w:qFormat/>
    <w:pPr>
      <w:widowControl/>
      <w:spacing w:lineRule="auto" w:line="268" w:before="200" w:after="0"/>
      <w:ind w:left="0" w:right="0" w:hanging="0"/>
      <w:jc w:val="left"/>
      <w:textAlignment w:val="auto"/>
      <w:outlineLvl w:val="2"/>
    </w:pPr>
    <w:rPr>
      <w:rFonts w:ascii="Cambria" w:hAnsi="Cambria" w:cs="Times New Roman"/>
      <w:b/>
      <w:bCs/>
      <w:sz w:val="22"/>
      <w:szCs w:val="22"/>
      <w:lang w:val="en-US" w:eastAsia="en-US" w:bidi="ar-SA"/>
    </w:rPr>
  </w:style>
  <w:style w:type="paragraph" w:styleId="4">
    <w:name w:val="Heading 4"/>
    <w:basedOn w:val="Normal"/>
    <w:qFormat/>
    <w:pPr>
      <w:keepNext/>
      <w:widowControl/>
      <w:spacing w:before="240" w:after="60"/>
      <w:ind w:left="0" w:right="0" w:hanging="0"/>
      <w:jc w:val="left"/>
      <w:textAlignment w:val="auto"/>
      <w:outlineLvl w:val="3"/>
    </w:pPr>
    <w:rPr>
      <w:rFonts w:cs="Times New Roman"/>
      <w:b/>
      <w:bCs/>
      <w:sz w:val="28"/>
      <w:szCs w:val="28"/>
      <w:lang w:val="en-US" w:eastAsia="ru-RU" w:bidi="ar-SA"/>
    </w:rPr>
  </w:style>
  <w:style w:type="paragraph" w:styleId="5">
    <w:name w:val="Heading 5"/>
    <w:basedOn w:val="Normal"/>
    <w:qFormat/>
    <w:pPr>
      <w:keepNext/>
      <w:widowControl/>
      <w:ind w:left="0" w:right="0" w:hanging="0"/>
      <w:jc w:val="center"/>
      <w:textAlignment w:val="auto"/>
      <w:outlineLvl w:val="4"/>
    </w:pPr>
    <w:rPr>
      <w:rFonts w:cs="Times New Roman"/>
      <w:b/>
      <w:bCs/>
      <w:spacing w:val="20"/>
      <w:sz w:val="22"/>
      <w:szCs w:val="20"/>
      <w:lang w:val="ro-MD" w:eastAsia="ru-RU" w:bidi="ar-SA"/>
    </w:rPr>
  </w:style>
  <w:style w:type="paragraph" w:styleId="6">
    <w:name w:val="Heading 6"/>
    <w:basedOn w:val="Normal"/>
    <w:qFormat/>
    <w:pPr>
      <w:widowControl/>
      <w:spacing w:lineRule="auto" w:line="268"/>
      <w:ind w:left="0" w:right="0" w:hanging="0"/>
      <w:jc w:val="left"/>
      <w:textAlignment w:val="auto"/>
      <w:outlineLvl w:val="5"/>
    </w:pPr>
    <w:rPr>
      <w:rFonts w:ascii="Cambria" w:hAnsi="Cambria" w:cs="Times New Roman"/>
      <w:b/>
      <w:bCs/>
      <w:i/>
      <w:iCs/>
      <w:color w:val="7F7F7F"/>
      <w:sz w:val="22"/>
      <w:szCs w:val="22"/>
      <w:lang w:val="en-US" w:eastAsia="en-US" w:bidi="ar-SA"/>
    </w:rPr>
  </w:style>
  <w:style w:type="paragraph" w:styleId="7">
    <w:name w:val="Heading 7"/>
    <w:basedOn w:val="Normal"/>
    <w:qFormat/>
    <w:pPr>
      <w:widowControl/>
      <w:suppressAutoHyphens w:val="true"/>
      <w:spacing w:before="240" w:after="60"/>
      <w:ind w:left="0" w:right="0" w:hanging="0"/>
      <w:jc w:val="left"/>
      <w:textAlignment w:val="auto"/>
      <w:outlineLvl w:val="6"/>
    </w:pPr>
    <w:rPr>
      <w:rFonts w:cs="Times New Roman"/>
      <w:sz w:val="24"/>
      <w:szCs w:val="24"/>
      <w:lang w:val="ru-RU" w:eastAsia="ar-SA" w:bidi="ar-SA"/>
    </w:rPr>
  </w:style>
  <w:style w:type="paragraph" w:styleId="8">
    <w:name w:val="Heading 8"/>
    <w:basedOn w:val="Normal"/>
    <w:qFormat/>
    <w:pPr>
      <w:widowControl/>
      <w:spacing w:lineRule="auto" w:line="276"/>
      <w:ind w:left="0" w:right="0" w:hanging="0"/>
      <w:jc w:val="left"/>
      <w:textAlignment w:val="auto"/>
      <w:outlineLvl w:val="7"/>
    </w:pPr>
    <w:rPr>
      <w:rFonts w:ascii="Cambria" w:hAnsi="Cambria" w:cs="Times New Roman"/>
      <w:sz w:val="20"/>
      <w:szCs w:val="20"/>
      <w:lang w:val="en-US" w:eastAsia="en-US" w:bidi="ar-SA"/>
    </w:rPr>
  </w:style>
  <w:style w:type="paragraph" w:styleId="9">
    <w:name w:val="Heading 9"/>
    <w:basedOn w:val="Normal"/>
    <w:qFormat/>
    <w:pPr>
      <w:widowControl/>
      <w:spacing w:lineRule="auto" w:line="276"/>
      <w:ind w:left="0" w:right="0" w:hanging="0"/>
      <w:jc w:val="left"/>
      <w:textAlignment w:val="auto"/>
      <w:outlineLvl w:val="8"/>
    </w:pPr>
    <w:rPr>
      <w:rFonts w:ascii="Cambria" w:hAnsi="Cambria" w:cs="Times New Roman"/>
      <w:i/>
      <w:iCs/>
      <w:spacing w:val="5"/>
      <w:sz w:val="20"/>
      <w:szCs w:val="20"/>
      <w:lang w:val="en-US" w:eastAsia="en-US" w:bidi="ar-SA"/>
    </w:rPr>
  </w:style>
  <w:style w:type="character" w:styleId="DefaultParagraphFont">
    <w:name w:val="Default Paragraph Font"/>
    <w:qFormat/>
    <w:rPr/>
  </w:style>
  <w:style w:type="character" w:styleId="Heading1Char">
    <w:name w:val="Heading 1 Char"/>
    <w:basedOn w:val="DefaultParagraphFont"/>
    <w:qFormat/>
    <w:rPr>
      <w:rFonts w:ascii="Arial" w:hAnsi="Arial" w:cs="Arial"/>
      <w:b/>
      <w:bCs/>
      <w:sz w:val="32"/>
      <w:szCs w:val="32"/>
    </w:rPr>
  </w:style>
  <w:style w:type="character" w:styleId="Heading2Char">
    <w:name w:val="Heading 2 Char"/>
    <w:basedOn w:val="DefaultParagraphFont"/>
    <w:qFormat/>
    <w:rPr>
      <w:rFonts w:cs="Times New Roman"/>
      <w:sz w:val="24"/>
      <w:szCs w:val="24"/>
      <w:lang w:val="ro-RO" w:eastAsia="ru-RU"/>
    </w:rPr>
  </w:style>
  <w:style w:type="character" w:styleId="Heading3Char">
    <w:name w:val="Heading 3 Char"/>
    <w:basedOn w:val="DefaultParagraphFont"/>
    <w:qFormat/>
    <w:rPr>
      <w:rFonts w:ascii="Cambria" w:hAnsi="Cambria" w:cs="Times New Roman"/>
      <w:b/>
      <w:bCs/>
      <w:sz w:val="22"/>
      <w:szCs w:val="22"/>
    </w:rPr>
  </w:style>
  <w:style w:type="character" w:styleId="Heading4Char">
    <w:name w:val="Heading 4 Char"/>
    <w:basedOn w:val="DefaultParagraphFont"/>
    <w:qFormat/>
    <w:rPr>
      <w:rFonts w:cs="Times New Roman"/>
      <w:b/>
      <w:bCs/>
      <w:sz w:val="28"/>
      <w:szCs w:val="28"/>
      <w:lang w:val="en-US" w:eastAsia="ru-RU"/>
    </w:rPr>
  </w:style>
  <w:style w:type="character" w:styleId="Heading5Char">
    <w:name w:val="Heading 5 Char"/>
    <w:basedOn w:val="DefaultParagraphFont"/>
    <w:qFormat/>
    <w:rPr>
      <w:rFonts w:cs="Times New Roman"/>
      <w:b/>
      <w:bCs/>
      <w:spacing w:val="20"/>
      <w:sz w:val="22"/>
      <w:lang w:val="ro-MD" w:eastAsia="ru-RU"/>
    </w:rPr>
  </w:style>
  <w:style w:type="character" w:styleId="Heading6Char">
    <w:name w:val="Heading 6 Char"/>
    <w:basedOn w:val="DefaultParagraphFont"/>
    <w:qFormat/>
    <w:rPr>
      <w:rFonts w:ascii="Cambria" w:hAnsi="Cambria" w:cs="Times New Roman"/>
      <w:b/>
      <w:bCs/>
      <w:i/>
      <w:iCs/>
      <w:color w:val="7F7F7F"/>
      <w:sz w:val="22"/>
      <w:szCs w:val="22"/>
    </w:rPr>
  </w:style>
  <w:style w:type="character" w:styleId="Heading7Char">
    <w:name w:val="Heading 7 Char"/>
    <w:basedOn w:val="DefaultParagraphFont"/>
    <w:qFormat/>
    <w:rPr>
      <w:rFonts w:cs="Times New Roman"/>
      <w:sz w:val="24"/>
      <w:szCs w:val="24"/>
      <w:lang w:val="ru-RU" w:eastAsia="ar-SA" w:bidi="ar-SA"/>
    </w:rPr>
  </w:style>
  <w:style w:type="character" w:styleId="Heading8Char">
    <w:name w:val="Heading 8 Char"/>
    <w:basedOn w:val="DefaultParagraphFont"/>
    <w:qFormat/>
    <w:rPr>
      <w:rFonts w:ascii="Cambria" w:hAnsi="Cambria" w:cs="Times New Roman"/>
    </w:rPr>
  </w:style>
  <w:style w:type="character" w:styleId="Heading9Char">
    <w:name w:val="Heading 9 Char"/>
    <w:basedOn w:val="DefaultParagraphFont"/>
    <w:qFormat/>
    <w:rPr>
      <w:rFonts w:ascii="Cambria" w:hAnsi="Cambria" w:cs="Times New Roman"/>
      <w:i/>
      <w:iCs/>
      <w:spacing w:val="5"/>
    </w:rPr>
  </w:style>
  <w:style w:type="character" w:styleId="HeaderChar">
    <w:name w:val="Header Char"/>
    <w:basedOn w:val="DefaultParagraphFont"/>
    <w:qFormat/>
    <w:rPr>
      <w:rFonts w:cs="Times New Roman"/>
      <w:sz w:val="26"/>
      <w:lang w:val="ro-RO" w:eastAsia="ru-RU"/>
    </w:rPr>
  </w:style>
  <w:style w:type="character" w:styleId="BodyTextIndentChar">
    <w:name w:val="Body Text Indent Char"/>
    <w:basedOn w:val="DefaultParagraphFont"/>
    <w:qFormat/>
    <w:rPr>
      <w:rFonts w:cs="Times New Roman"/>
      <w:b/>
      <w:sz w:val="26"/>
      <w:lang w:val="ro-RO" w:eastAsia="ru-RU"/>
    </w:rPr>
  </w:style>
  <w:style w:type="character" w:styleId="BalloonTextChar">
    <w:name w:val="Balloon Text Char"/>
    <w:basedOn w:val="DefaultParagraphFont"/>
    <w:qFormat/>
    <w:rPr>
      <w:rFonts w:ascii="Tahoma" w:hAnsi="Tahoma" w:cs="Tahoma"/>
      <w:sz w:val="16"/>
      <w:szCs w:val="16"/>
      <w:lang w:val="ru-RU" w:eastAsia="ru-RU"/>
    </w:rPr>
  </w:style>
  <w:style w:type="character" w:styleId="BodyTextChar">
    <w:name w:val="Body Text Char"/>
    <w:basedOn w:val="DefaultParagraphFont"/>
    <w:qFormat/>
    <w:rPr>
      <w:rFonts w:cs="Times New Roman"/>
      <w:sz w:val="24"/>
      <w:lang w:val="ro-RO" w:eastAsia="ru-RU" w:bidi="ar-SA"/>
    </w:rPr>
  </w:style>
  <w:style w:type="character" w:styleId="Pagenumber">
    <w:name w:val="page number"/>
    <w:basedOn w:val="DefaultParagraphFont"/>
    <w:qFormat/>
    <w:rPr>
      <w:rFonts w:cs="Times New Roman"/>
    </w:rPr>
  </w:style>
  <w:style w:type="character" w:styleId="FooterChar">
    <w:name w:val="Footer Char"/>
    <w:basedOn w:val="DefaultParagraphFont"/>
    <w:qFormat/>
    <w:rPr>
      <w:rFonts w:cs="Times New Roman"/>
      <w:sz w:val="24"/>
      <w:szCs w:val="24"/>
      <w:lang w:val="ro-RO" w:eastAsia="ru-RU"/>
    </w:rPr>
  </w:style>
  <w:style w:type="character" w:styleId="Style5">
    <w:name w:val="Интернет-ссылка"/>
    <w:basedOn w:val="DefaultParagraphFont"/>
    <w:rPr>
      <w:rFonts w:cs="Times New Roman"/>
      <w:color w:val="0000FF"/>
      <w:u w:val="single"/>
    </w:rPr>
  </w:style>
  <w:style w:type="character" w:styleId="Strong">
    <w:name w:val="Strong"/>
    <w:basedOn w:val="DefaultParagraphFont"/>
    <w:qFormat/>
    <w:rPr>
      <w:rFonts w:cs="Times New Roman"/>
      <w:b/>
      <w:bCs/>
    </w:rPr>
  </w:style>
  <w:style w:type="character" w:styleId="FollowedHyperlink">
    <w:name w:val="FollowedHyperlink"/>
    <w:basedOn w:val="DefaultParagraphFont"/>
    <w:qFormat/>
    <w:rPr>
      <w:rFonts w:cs="Times New Roman"/>
      <w:color w:val="800080"/>
      <w:u w:val="single"/>
    </w:rPr>
  </w:style>
  <w:style w:type="character" w:styleId="Style6">
    <w:name w:val="Выделение"/>
    <w:basedOn w:val="DefaultParagraphFont"/>
    <w:qFormat/>
    <w:rPr>
      <w:rFonts w:cs="Times New Roman"/>
      <w:i/>
      <w:iCs/>
    </w:rPr>
  </w:style>
  <w:style w:type="character" w:styleId="Crsisbn">
    <w:name w:val="crs_isbn"/>
    <w:basedOn w:val="DefaultParagraphFont"/>
    <w:qFormat/>
    <w:rPr>
      <w:rFonts w:cs="Times New Roman"/>
    </w:rPr>
  </w:style>
  <w:style w:type="character" w:styleId="Longtext">
    <w:name w:val="long_text"/>
    <w:basedOn w:val="DefaultParagraphFont"/>
    <w:qFormat/>
    <w:rPr>
      <w:rFonts w:cs="Times New Roman"/>
    </w:rPr>
  </w:style>
  <w:style w:type="character" w:styleId="Style7">
    <w:name w:val="Сильная ссылка"/>
    <w:basedOn w:val="DefaultParagraphFont"/>
    <w:qFormat/>
    <w:rPr>
      <w:rFonts w:cs="Times New Roman"/>
      <w:b/>
      <w:bCs/>
      <w:smallCaps/>
      <w:color w:val="C0504D"/>
      <w:spacing w:val="5"/>
      <w:u w:val="single"/>
    </w:rPr>
  </w:style>
  <w:style w:type="character" w:styleId="Applestylespan">
    <w:name w:val="apple-style-span"/>
    <w:basedOn w:val="DefaultParagraphFont"/>
    <w:qFormat/>
    <w:rPr>
      <w:rFonts w:cs="Times New Roman"/>
    </w:rPr>
  </w:style>
  <w:style w:type="character" w:styleId="SubtitleChar">
    <w:name w:val="Subtitle Char"/>
    <w:basedOn w:val="DefaultParagraphFont"/>
    <w:qFormat/>
    <w:rPr>
      <w:rFonts w:ascii="Arial" w:hAnsi="Arial" w:cs="Mangal"/>
      <w:i/>
      <w:iCs/>
      <w:sz w:val="28"/>
      <w:szCs w:val="28"/>
      <w:lang w:val="ru-RU" w:eastAsia="ar-SA" w:bidi="ar-SA"/>
    </w:rPr>
  </w:style>
  <w:style w:type="character" w:styleId="Hps">
    <w:name w:val="hps"/>
    <w:basedOn w:val="DefaultParagraphFont"/>
    <w:qFormat/>
    <w:rPr>
      <w:rFonts w:cs="Times New Roman"/>
    </w:rPr>
  </w:style>
  <w:style w:type="character" w:styleId="Atn">
    <w:name w:val="atn"/>
    <w:basedOn w:val="DefaultParagraphFont"/>
    <w:qFormat/>
    <w:rPr>
      <w:rFonts w:cs="Times New Roman"/>
    </w:rPr>
  </w:style>
  <w:style w:type="character" w:styleId="TitleChar">
    <w:name w:val="Title Char"/>
    <w:basedOn w:val="DefaultParagraphFont"/>
    <w:qFormat/>
    <w:rPr>
      <w:rFonts w:cs="Calibri"/>
      <w:sz w:val="48"/>
      <w:szCs w:val="48"/>
      <w:lang w:val="ru-RU" w:eastAsia="ar-SA" w:bidi="ar-SA"/>
    </w:rPr>
  </w:style>
  <w:style w:type="character" w:styleId="HTMLPreformattedChar">
    <w:name w:val="HTML Preformatted Char"/>
    <w:basedOn w:val="DefaultParagraphFont"/>
    <w:qFormat/>
    <w:rPr>
      <w:rFonts w:ascii="Courier New" w:hAnsi="Courier New" w:cs="Courier New"/>
      <w:color w:val="000000"/>
      <w:lang w:val="ru-RU" w:eastAsia="ru-RU"/>
    </w:rPr>
  </w:style>
  <w:style w:type="character" w:styleId="QuoteChar">
    <w:name w:val="Quote Char"/>
    <w:basedOn w:val="DefaultParagraphFont"/>
    <w:qFormat/>
    <w:rPr>
      <w:rFonts w:ascii="Calibri" w:hAnsi="Calibri" w:cs="Times New Roman"/>
      <w:i/>
      <w:iCs/>
      <w:sz w:val="22"/>
      <w:szCs w:val="22"/>
    </w:rPr>
  </w:style>
  <w:style w:type="character" w:styleId="IntenseQuoteChar">
    <w:name w:val="Intense Quote Char"/>
    <w:basedOn w:val="DefaultParagraphFont"/>
    <w:qFormat/>
    <w:rPr>
      <w:rFonts w:ascii="Calibri" w:hAnsi="Calibri" w:cs="Times New Roman"/>
      <w:b/>
      <w:bCs/>
      <w:i/>
      <w:iCs/>
      <w:sz w:val="22"/>
      <w:szCs w:val="22"/>
    </w:rPr>
  </w:style>
  <w:style w:type="character" w:styleId="SubtleEmphasis">
    <w:name w:val="Subtle Emphasis"/>
    <w:basedOn w:val="DefaultParagraphFont"/>
    <w:qFormat/>
    <w:rPr>
      <w:rFonts w:cs="Times New Roman"/>
      <w:i/>
    </w:rPr>
  </w:style>
  <w:style w:type="character" w:styleId="IntenseEmphasis">
    <w:name w:val="Intense Emphasis"/>
    <w:basedOn w:val="DefaultParagraphFont"/>
    <w:qFormat/>
    <w:rPr>
      <w:rFonts w:cs="Times New Roman"/>
      <w:b/>
    </w:rPr>
  </w:style>
  <w:style w:type="character" w:styleId="SubtleReference">
    <w:name w:val="Subtle Reference"/>
    <w:basedOn w:val="DefaultParagraphFont"/>
    <w:qFormat/>
    <w:rPr>
      <w:rFonts w:cs="Times New Roman"/>
      <w:smallCaps/>
    </w:rPr>
  </w:style>
  <w:style w:type="character" w:styleId="IntenseReference">
    <w:name w:val="Intense Reference"/>
    <w:basedOn w:val="DefaultParagraphFont"/>
    <w:qFormat/>
    <w:rPr>
      <w:rFonts w:cs="Times New Roman"/>
      <w:smallCaps/>
      <w:spacing w:val="5"/>
      <w:u w:val="single"/>
    </w:rPr>
  </w:style>
  <w:style w:type="character" w:styleId="BookTitle">
    <w:name w:val="Book Title"/>
    <w:basedOn w:val="DefaultParagraphFont"/>
    <w:qFormat/>
    <w:rPr>
      <w:rFonts w:cs="Times New Roman"/>
      <w:i/>
      <w:smallCaps/>
      <w:spacing w:val="5"/>
    </w:rPr>
  </w:style>
  <w:style w:type="character" w:styleId="Brief">
    <w:name w:val="brief"/>
    <w:basedOn w:val="DefaultParagraphFont"/>
    <w:qFormat/>
    <w:rPr>
      <w:rFonts w:cs="Times New Roman"/>
    </w:rPr>
  </w:style>
  <w:style w:type="character" w:styleId="HTMLCite">
    <w:name w:val="HTML Cite"/>
    <w:basedOn w:val="DefaultParagraphFont"/>
    <w:qFormat/>
    <w:rPr>
      <w:rFonts w:cs="Times New Roman"/>
      <w:color w:val="009933"/>
    </w:rPr>
  </w:style>
  <w:style w:type="character" w:styleId="Appleconvertedspace">
    <w:name w:val="apple-converted-space"/>
    <w:basedOn w:val="DefaultParagraphFont"/>
    <w:qFormat/>
    <w:rPr>
      <w:rFonts w:cs="Times New Roman"/>
    </w:rPr>
  </w:style>
  <w:style w:type="character" w:styleId="Longtext1">
    <w:name w:val="long_text1"/>
    <w:qFormat/>
    <w:rPr>
      <w:sz w:val="20"/>
    </w:rPr>
  </w:style>
  <w:style w:type="character" w:styleId="Rvts7">
    <w:name w:val="rvts7"/>
    <w:basedOn w:val="DefaultParagraphFont"/>
    <w:qFormat/>
    <w:rPr>
      <w:rFonts w:cs="Times New Roman"/>
    </w:rPr>
  </w:style>
  <w:style w:type="character" w:styleId="Hpsatn">
    <w:name w:val="hps atn"/>
    <w:basedOn w:val="DefaultParagraphFont"/>
    <w:qFormat/>
    <w:rPr>
      <w:rFonts w:cs="Times New Roman"/>
    </w:rPr>
  </w:style>
  <w:style w:type="character" w:styleId="Type">
    <w:name w:val="type"/>
    <w:basedOn w:val="DefaultParagraphFont"/>
    <w:qFormat/>
    <w:rPr>
      <w:rFonts w:cs="Times New Roman"/>
    </w:rPr>
  </w:style>
  <w:style w:type="character" w:styleId="Value">
    <w:name w:val="value"/>
    <w:basedOn w:val="DefaultParagraphFont"/>
    <w:qFormat/>
    <w:rPr>
      <w:rFonts w:cs="Times New Roman"/>
    </w:rPr>
  </w:style>
  <w:style w:type="character" w:styleId="Articlesname1">
    <w:name w:val="articles_name1"/>
    <w:basedOn w:val="DefaultParagraphFont"/>
    <w:qFormat/>
    <w:rPr>
      <w:rFonts w:ascii="Georgia" w:hAnsi="Georgia" w:cs="Times New Roman"/>
      <w:b/>
      <w:bCs/>
      <w:caps/>
      <w:color w:val="663300"/>
      <w:sz w:val="23"/>
      <w:szCs w:val="23"/>
    </w:rPr>
  </w:style>
  <w:style w:type="character" w:styleId="Skypec2cprintcontainer">
    <w:name w:val="skype_c2c_print_container"/>
    <w:basedOn w:val="DefaultParagraphFont"/>
    <w:qFormat/>
    <w:rPr>
      <w:rFonts w:cs="Times New Roman"/>
    </w:rPr>
  </w:style>
  <w:style w:type="character" w:styleId="AffiliationChar">
    <w:name w:val="affiliation Char"/>
    <w:qFormat/>
    <w:rPr>
      <w:rFonts w:ascii="Times" w:hAnsi="Times"/>
      <w:sz w:val="17"/>
      <w:lang w:val="ru-RU" w:eastAsia="de-DE"/>
    </w:rPr>
  </w:style>
  <w:style w:type="character" w:styleId="AbsatzStandardschriftart">
    <w:name w:val="Absatz-Standardschriftart"/>
    <w:qFormat/>
    <w:rPr/>
  </w:style>
  <w:style w:type="character" w:styleId="Shorttext">
    <w:name w:val="short_text"/>
    <w:basedOn w:val="DefaultParagraphFont"/>
    <w:qFormat/>
    <w:rPr>
      <w:rFonts w:cs="Times New Roman"/>
    </w:rPr>
  </w:style>
  <w:style w:type="character" w:styleId="BodyText2Char">
    <w:name w:val="Body Text 2 Char"/>
    <w:basedOn w:val="DefaultParagraphFont"/>
    <w:qFormat/>
    <w:rPr>
      <w:rFonts w:cs="Times New Roman"/>
      <w:sz w:val="24"/>
      <w:szCs w:val="24"/>
      <w:lang w:val="ru-RU" w:eastAsia="ru-RU"/>
    </w:rPr>
  </w:style>
  <w:style w:type="character" w:styleId="ListParagraphChar">
    <w:name w:val="List Paragraph Char"/>
    <w:qFormat/>
    <w:rPr>
      <w:sz w:val="24"/>
      <w:lang w:val="ru-RU" w:eastAsia="ru-RU"/>
    </w:rPr>
  </w:style>
  <w:style w:type="character" w:styleId="Volinfo">
    <w:name w:val="vol-info"/>
    <w:basedOn w:val="DefaultParagraphFont"/>
    <w:qFormat/>
    <w:rPr>
      <w:rFonts w:cs="Times New Roman"/>
    </w:rPr>
  </w:style>
  <w:style w:type="character" w:styleId="Pagenumbersinfo">
    <w:name w:val="page-numbers-info"/>
    <w:basedOn w:val="DefaultParagraphFont"/>
    <w:qFormat/>
    <w:rPr>
      <w:rFonts w:cs="Times New Roman"/>
    </w:rPr>
  </w:style>
  <w:style w:type="character" w:styleId="Highlight">
    <w:name w:val="highlight"/>
    <w:basedOn w:val="DefaultParagraphFont"/>
    <w:qFormat/>
    <w:rPr>
      <w:rFonts w:cs="Times New Roman"/>
    </w:rPr>
  </w:style>
  <w:style w:type="character" w:styleId="Inline">
    <w:name w:val="inline"/>
    <w:qFormat/>
    <w:rPr/>
  </w:style>
  <w:style w:type="character" w:styleId="Nowrap">
    <w:name w:val="nowrap"/>
    <w:qFormat/>
    <w:rPr/>
  </w:style>
  <w:style w:type="character" w:styleId="St">
    <w:name w:val="st"/>
    <w:basedOn w:val="DefaultParagraphFont"/>
    <w:qFormat/>
    <w:rPr>
      <w:rFonts w:cs="Times New Roman"/>
    </w:rPr>
  </w:style>
  <w:style w:type="character" w:styleId="Bold">
    <w:name w:val="bold"/>
    <w:basedOn w:val="DefaultParagraphFont"/>
    <w:qFormat/>
    <w:rPr>
      <w:rFonts w:cs="Times New Roman"/>
    </w:rPr>
  </w:style>
  <w:style w:type="character" w:styleId="ListLabel1">
    <w:name w:val="ListLabel 1"/>
    <w:qFormat/>
    <w:rPr>
      <w:rFonts w:ascii="Times New Roman" w:hAnsi="Times New Roman" w:cs="Times New Roman"/>
      <w:sz w:val="22"/>
    </w:rPr>
  </w:style>
  <w:style w:type="character" w:styleId="ListLabel2">
    <w:name w:val="ListLabel 2"/>
    <w:qFormat/>
    <w:rPr>
      <w:rFonts w:cs="Times New Roman"/>
    </w:rPr>
  </w:style>
  <w:style w:type="character" w:styleId="ListLabel3">
    <w:name w:val="ListLabel 3"/>
    <w:qFormat/>
    <w:rPr>
      <w:rFonts w:cs="Times New Roman"/>
    </w:rPr>
  </w:style>
  <w:style w:type="character" w:styleId="ListLabel4">
    <w:name w:val="ListLabel 4"/>
    <w:qFormat/>
    <w:rPr>
      <w:rFonts w:cs="Times New Roman"/>
    </w:rPr>
  </w:style>
  <w:style w:type="character" w:styleId="ListLabel5">
    <w:name w:val="ListLabel 5"/>
    <w:qFormat/>
    <w:rPr>
      <w:rFonts w:cs="Times New Roman"/>
    </w:rPr>
  </w:style>
  <w:style w:type="character" w:styleId="ListLabel6">
    <w:name w:val="ListLabel 6"/>
    <w:qFormat/>
    <w:rPr>
      <w:rFonts w:cs="Times New Roman"/>
    </w:rPr>
  </w:style>
  <w:style w:type="character" w:styleId="ListLabel7">
    <w:name w:val="ListLabel 7"/>
    <w:qFormat/>
    <w:rPr>
      <w:rFonts w:cs="Times New Roman"/>
    </w:rPr>
  </w:style>
  <w:style w:type="character" w:styleId="ListLabel8">
    <w:name w:val="ListLabel 8"/>
    <w:qFormat/>
    <w:rPr>
      <w:rFonts w:cs="Times New Roman"/>
    </w:rPr>
  </w:style>
  <w:style w:type="character" w:styleId="ListLabel9">
    <w:name w:val="ListLabel 9"/>
    <w:qFormat/>
    <w:rPr>
      <w:rFonts w:cs="Times New Roman"/>
    </w:rPr>
  </w:style>
  <w:style w:type="character" w:styleId="ListLabel10">
    <w:name w:val="ListLabel 10"/>
    <w:qFormat/>
    <w:rPr>
      <w:rFonts w:ascii="Times New Roman CE" w:hAnsi="Times New Roman CE" w:cs="Times New Roman"/>
      <w:b/>
      <w:sz w:val="22"/>
    </w:rPr>
  </w:style>
  <w:style w:type="character" w:styleId="ListLabel11">
    <w:name w:val="ListLabel 11"/>
    <w:qFormat/>
    <w:rPr>
      <w:rFonts w:cs="Times New Roman"/>
    </w:rPr>
  </w:style>
  <w:style w:type="character" w:styleId="ListLabel12">
    <w:name w:val="ListLabel 12"/>
    <w:qFormat/>
    <w:rPr>
      <w:rFonts w:cs="Times New Roman"/>
    </w:rPr>
  </w:style>
  <w:style w:type="character" w:styleId="ListLabel13">
    <w:name w:val="ListLabel 13"/>
    <w:qFormat/>
    <w:rPr>
      <w:rFonts w:cs="Times New Roman"/>
    </w:rPr>
  </w:style>
  <w:style w:type="character" w:styleId="ListLabel14">
    <w:name w:val="ListLabel 14"/>
    <w:qFormat/>
    <w:rPr>
      <w:rFonts w:cs="Times New Roman"/>
    </w:rPr>
  </w:style>
  <w:style w:type="character" w:styleId="ListLabel15">
    <w:name w:val="ListLabel 15"/>
    <w:qFormat/>
    <w:rPr>
      <w:rFonts w:cs="Times New Roman"/>
    </w:rPr>
  </w:style>
  <w:style w:type="character" w:styleId="ListLabel16">
    <w:name w:val="ListLabel 16"/>
    <w:qFormat/>
    <w:rPr>
      <w:rFonts w:cs="Times New Roman"/>
    </w:rPr>
  </w:style>
  <w:style w:type="character" w:styleId="ListLabel17">
    <w:name w:val="ListLabel 17"/>
    <w:qFormat/>
    <w:rPr>
      <w:rFonts w:cs="Times New Roman"/>
    </w:rPr>
  </w:style>
  <w:style w:type="character" w:styleId="ListLabel18">
    <w:name w:val="ListLabel 18"/>
    <w:qFormat/>
    <w:rPr>
      <w:rFonts w:cs="Times New Roman"/>
    </w:rPr>
  </w:style>
  <w:style w:type="character" w:styleId="ListLabel19">
    <w:name w:val="ListLabel 19"/>
    <w:qFormat/>
    <w:rPr>
      <w:rFonts w:cs="Times New Roman"/>
    </w:rPr>
  </w:style>
  <w:style w:type="character" w:styleId="ListLabel20">
    <w:name w:val="ListLabel 20"/>
    <w:qFormat/>
    <w:rPr>
      <w:rFonts w:cs="Times New Roman"/>
    </w:rPr>
  </w:style>
  <w:style w:type="character" w:styleId="ListLabel21">
    <w:name w:val="ListLabel 21"/>
    <w:qFormat/>
    <w:rPr>
      <w:rFonts w:cs="Times New Roman"/>
    </w:rPr>
  </w:style>
  <w:style w:type="character" w:styleId="ListLabel22">
    <w:name w:val="ListLabel 22"/>
    <w:qFormat/>
    <w:rPr>
      <w:rFonts w:cs="Times New Roman"/>
    </w:rPr>
  </w:style>
  <w:style w:type="character" w:styleId="ListLabel23">
    <w:name w:val="ListLabel 23"/>
    <w:qFormat/>
    <w:rPr>
      <w:rFonts w:cs="Times New Roman"/>
    </w:rPr>
  </w:style>
  <w:style w:type="character" w:styleId="ListLabel24">
    <w:name w:val="ListLabel 24"/>
    <w:qFormat/>
    <w:rPr>
      <w:rFonts w:cs="Times New Roman"/>
    </w:rPr>
  </w:style>
  <w:style w:type="character" w:styleId="ListLabel25">
    <w:name w:val="ListLabel 25"/>
    <w:qFormat/>
    <w:rPr>
      <w:rFonts w:cs="Times New Roman"/>
    </w:rPr>
  </w:style>
  <w:style w:type="character" w:styleId="ListLabel26">
    <w:name w:val="ListLabel 26"/>
    <w:qFormat/>
    <w:rPr>
      <w:rFonts w:cs="Times New Roman"/>
    </w:rPr>
  </w:style>
  <w:style w:type="character" w:styleId="ListLabel27">
    <w:name w:val="ListLabel 27"/>
    <w:qFormat/>
    <w:rPr>
      <w:rFonts w:cs="Times New Roman"/>
    </w:rPr>
  </w:style>
  <w:style w:type="character" w:styleId="ListLabel28">
    <w:name w:val="ListLabel 28"/>
    <w:qFormat/>
    <w:rPr>
      <w:rFonts w:cs="Times New Roman"/>
    </w:rPr>
  </w:style>
  <w:style w:type="character" w:styleId="ListLabel29">
    <w:name w:val="ListLabel 29"/>
    <w:qFormat/>
    <w:rPr>
      <w:rFonts w:cs="Times New Roman"/>
    </w:rPr>
  </w:style>
  <w:style w:type="character" w:styleId="ListLabel30">
    <w:name w:val="ListLabel 30"/>
    <w:qFormat/>
    <w:rPr>
      <w:rFonts w:cs="Times New Roman"/>
    </w:rPr>
  </w:style>
  <w:style w:type="character" w:styleId="ListLabel31">
    <w:name w:val="ListLabel 31"/>
    <w:qFormat/>
    <w:rPr>
      <w:rFonts w:cs="Times New Roman"/>
    </w:rPr>
  </w:style>
  <w:style w:type="character" w:styleId="ListLabel32">
    <w:name w:val="ListLabel 32"/>
    <w:qFormat/>
    <w:rPr>
      <w:rFonts w:cs="Times New Roman"/>
    </w:rPr>
  </w:style>
  <w:style w:type="character" w:styleId="ListLabel33">
    <w:name w:val="ListLabel 33"/>
    <w:qFormat/>
    <w:rPr>
      <w:rFonts w:cs="Times New Roman"/>
    </w:rPr>
  </w:style>
  <w:style w:type="character" w:styleId="ListLabel34">
    <w:name w:val="ListLabel 34"/>
    <w:qFormat/>
    <w:rPr>
      <w:rFonts w:cs="Times New Roman"/>
    </w:rPr>
  </w:style>
  <w:style w:type="character" w:styleId="ListLabel35">
    <w:name w:val="ListLabel 35"/>
    <w:qFormat/>
    <w:rPr>
      <w:rFonts w:cs="Times New Roman"/>
    </w:rPr>
  </w:style>
  <w:style w:type="character" w:styleId="ListLabel36">
    <w:name w:val="ListLabel 36"/>
    <w:qFormat/>
    <w:rPr>
      <w:rFonts w:cs="Times New Roman"/>
    </w:rPr>
  </w:style>
  <w:style w:type="character" w:styleId="ListLabel37">
    <w:name w:val="ListLabel 37"/>
    <w:qFormat/>
    <w:rPr>
      <w:rFonts w:ascii="Times New Roman CE" w:hAnsi="Times New Roman CE" w:cs="Times New Roman"/>
      <w:b/>
      <w:sz w:val="22"/>
    </w:rPr>
  </w:style>
  <w:style w:type="character" w:styleId="ListLabel38">
    <w:name w:val="ListLabel 38"/>
    <w:qFormat/>
    <w:rPr>
      <w:rFonts w:cs="Times New Roman"/>
    </w:rPr>
  </w:style>
  <w:style w:type="character" w:styleId="ListLabel39">
    <w:name w:val="ListLabel 39"/>
    <w:qFormat/>
    <w:rPr>
      <w:rFonts w:cs="Times New Roman"/>
    </w:rPr>
  </w:style>
  <w:style w:type="character" w:styleId="ListLabel40">
    <w:name w:val="ListLabel 40"/>
    <w:qFormat/>
    <w:rPr>
      <w:rFonts w:cs="Times New Roman"/>
    </w:rPr>
  </w:style>
  <w:style w:type="character" w:styleId="ListLabel41">
    <w:name w:val="ListLabel 41"/>
    <w:qFormat/>
    <w:rPr>
      <w:rFonts w:cs="Times New Roman"/>
    </w:rPr>
  </w:style>
  <w:style w:type="character" w:styleId="ListLabel42">
    <w:name w:val="ListLabel 42"/>
    <w:qFormat/>
    <w:rPr>
      <w:rFonts w:cs="Times New Roman"/>
    </w:rPr>
  </w:style>
  <w:style w:type="character" w:styleId="ListLabel43">
    <w:name w:val="ListLabel 43"/>
    <w:qFormat/>
    <w:rPr>
      <w:rFonts w:cs="Times New Roman"/>
    </w:rPr>
  </w:style>
  <w:style w:type="character" w:styleId="ListLabel44">
    <w:name w:val="ListLabel 44"/>
    <w:qFormat/>
    <w:rPr>
      <w:rFonts w:cs="Times New Roman"/>
    </w:rPr>
  </w:style>
  <w:style w:type="character" w:styleId="ListLabel45">
    <w:name w:val="ListLabel 45"/>
    <w:qFormat/>
    <w:rPr>
      <w:rFonts w:cs="Times New Roman"/>
    </w:rPr>
  </w:style>
  <w:style w:type="character" w:styleId="ListLabel46">
    <w:name w:val="ListLabel 46"/>
    <w:qFormat/>
    <w:rPr>
      <w:rFonts w:ascii="Times New Roman CE" w:hAnsi="Times New Roman CE" w:cs="Times New Roman"/>
      <w:b/>
      <w:sz w:val="22"/>
    </w:rPr>
  </w:style>
  <w:style w:type="character" w:styleId="ListLabel47">
    <w:name w:val="ListLabel 47"/>
    <w:qFormat/>
    <w:rPr>
      <w:rFonts w:cs="Times New Roman"/>
    </w:rPr>
  </w:style>
  <w:style w:type="character" w:styleId="ListLabel48">
    <w:name w:val="ListLabel 48"/>
    <w:qFormat/>
    <w:rPr>
      <w:rFonts w:cs="Times New Roman"/>
    </w:rPr>
  </w:style>
  <w:style w:type="character" w:styleId="ListLabel49">
    <w:name w:val="ListLabel 49"/>
    <w:qFormat/>
    <w:rPr>
      <w:rFonts w:cs="Times New Roman"/>
    </w:rPr>
  </w:style>
  <w:style w:type="character" w:styleId="ListLabel50">
    <w:name w:val="ListLabel 50"/>
    <w:qFormat/>
    <w:rPr>
      <w:rFonts w:cs="Times New Roman"/>
    </w:rPr>
  </w:style>
  <w:style w:type="character" w:styleId="ListLabel51">
    <w:name w:val="ListLabel 51"/>
    <w:qFormat/>
    <w:rPr>
      <w:rFonts w:cs="Times New Roman"/>
    </w:rPr>
  </w:style>
  <w:style w:type="character" w:styleId="ListLabel52">
    <w:name w:val="ListLabel 52"/>
    <w:qFormat/>
    <w:rPr>
      <w:rFonts w:cs="Times New Roman"/>
    </w:rPr>
  </w:style>
  <w:style w:type="character" w:styleId="ListLabel53">
    <w:name w:val="ListLabel 53"/>
    <w:qFormat/>
    <w:rPr>
      <w:rFonts w:cs="Times New Roman"/>
    </w:rPr>
  </w:style>
  <w:style w:type="character" w:styleId="ListLabel54">
    <w:name w:val="ListLabel 54"/>
    <w:qFormat/>
    <w:rPr>
      <w:rFonts w:cs="Times New Roman"/>
    </w:rPr>
  </w:style>
  <w:style w:type="character" w:styleId="ListLabel55">
    <w:name w:val="ListLabel 55"/>
    <w:qFormat/>
    <w:rPr>
      <w:rFonts w:ascii="Times New Roman" w:hAnsi="Times New Roman" w:cs="Times New Roman"/>
      <w:b/>
      <w:sz w:val="22"/>
    </w:rPr>
  </w:style>
  <w:style w:type="character" w:styleId="ListLabel56">
    <w:name w:val="ListLabel 56"/>
    <w:qFormat/>
    <w:rPr>
      <w:rFonts w:cs="Times New Roman"/>
    </w:rPr>
  </w:style>
  <w:style w:type="character" w:styleId="ListLabel57">
    <w:name w:val="ListLabel 57"/>
    <w:qFormat/>
    <w:rPr>
      <w:rFonts w:cs="Times New Roman"/>
    </w:rPr>
  </w:style>
  <w:style w:type="character" w:styleId="ListLabel58">
    <w:name w:val="ListLabel 58"/>
    <w:qFormat/>
    <w:rPr>
      <w:rFonts w:cs="Times New Roman"/>
    </w:rPr>
  </w:style>
  <w:style w:type="character" w:styleId="ListLabel59">
    <w:name w:val="ListLabel 59"/>
    <w:qFormat/>
    <w:rPr>
      <w:rFonts w:cs="Times New Roman"/>
    </w:rPr>
  </w:style>
  <w:style w:type="character" w:styleId="ListLabel60">
    <w:name w:val="ListLabel 60"/>
    <w:qFormat/>
    <w:rPr>
      <w:rFonts w:cs="Times New Roman"/>
    </w:rPr>
  </w:style>
  <w:style w:type="character" w:styleId="ListLabel61">
    <w:name w:val="ListLabel 61"/>
    <w:qFormat/>
    <w:rPr>
      <w:rFonts w:cs="Times New Roman"/>
    </w:rPr>
  </w:style>
  <w:style w:type="character" w:styleId="ListLabel62">
    <w:name w:val="ListLabel 62"/>
    <w:qFormat/>
    <w:rPr>
      <w:rFonts w:cs="Times New Roman"/>
    </w:rPr>
  </w:style>
  <w:style w:type="character" w:styleId="ListLabel63">
    <w:name w:val="ListLabel 63"/>
    <w:qFormat/>
    <w:rPr>
      <w:rFonts w:cs="Times New Roman"/>
    </w:rPr>
  </w:style>
  <w:style w:type="character" w:styleId="ListLabel64">
    <w:name w:val="ListLabel 64"/>
    <w:qFormat/>
    <w:rPr>
      <w:rFonts w:ascii="Times New Roman" w:hAnsi="Times New Roman" w:cs="Times New Roman"/>
      <w:b/>
      <w:sz w:val="22"/>
    </w:rPr>
  </w:style>
  <w:style w:type="character" w:styleId="ListLabel65">
    <w:name w:val="ListLabel 65"/>
    <w:qFormat/>
    <w:rPr>
      <w:rFonts w:cs="Times New Roman"/>
    </w:rPr>
  </w:style>
  <w:style w:type="character" w:styleId="ListLabel66">
    <w:name w:val="ListLabel 66"/>
    <w:qFormat/>
    <w:rPr>
      <w:rFonts w:cs="Times New Roman"/>
    </w:rPr>
  </w:style>
  <w:style w:type="character" w:styleId="ListLabel67">
    <w:name w:val="ListLabel 67"/>
    <w:qFormat/>
    <w:rPr>
      <w:rFonts w:cs="Times New Roman"/>
    </w:rPr>
  </w:style>
  <w:style w:type="character" w:styleId="ListLabel68">
    <w:name w:val="ListLabel 68"/>
    <w:qFormat/>
    <w:rPr>
      <w:rFonts w:cs="Times New Roman"/>
    </w:rPr>
  </w:style>
  <w:style w:type="character" w:styleId="ListLabel69">
    <w:name w:val="ListLabel 69"/>
    <w:qFormat/>
    <w:rPr>
      <w:rFonts w:cs="Times New Roman"/>
    </w:rPr>
  </w:style>
  <w:style w:type="character" w:styleId="ListLabel70">
    <w:name w:val="ListLabel 70"/>
    <w:qFormat/>
    <w:rPr>
      <w:rFonts w:cs="Times New Roman"/>
    </w:rPr>
  </w:style>
  <w:style w:type="character" w:styleId="ListLabel71">
    <w:name w:val="ListLabel 71"/>
    <w:qFormat/>
    <w:rPr>
      <w:rFonts w:cs="Times New Roman"/>
    </w:rPr>
  </w:style>
  <w:style w:type="character" w:styleId="ListLabel72">
    <w:name w:val="ListLabel 72"/>
    <w:qFormat/>
    <w:rPr>
      <w:rFonts w:ascii="Times New Roman" w:hAnsi="Times New Roman" w:cs="Times New Roman"/>
      <w:b/>
      <w:sz w:val="22"/>
    </w:rPr>
  </w:style>
  <w:style w:type="character" w:styleId="ListLabel73">
    <w:name w:val="ListLabel 73"/>
    <w:qFormat/>
    <w:rPr>
      <w:rFonts w:cs="Times New Roman"/>
    </w:rPr>
  </w:style>
  <w:style w:type="character" w:styleId="ListLabel74">
    <w:name w:val="ListLabel 74"/>
    <w:qFormat/>
    <w:rPr>
      <w:rFonts w:cs="Times New Roman"/>
    </w:rPr>
  </w:style>
  <w:style w:type="character" w:styleId="ListLabel75">
    <w:name w:val="ListLabel 75"/>
    <w:qFormat/>
    <w:rPr>
      <w:rFonts w:cs="Times New Roman"/>
    </w:rPr>
  </w:style>
  <w:style w:type="character" w:styleId="ListLabel76">
    <w:name w:val="ListLabel 76"/>
    <w:qFormat/>
    <w:rPr>
      <w:rFonts w:cs="Times New Roman"/>
    </w:rPr>
  </w:style>
  <w:style w:type="character" w:styleId="ListLabel77">
    <w:name w:val="ListLabel 77"/>
    <w:qFormat/>
    <w:rPr>
      <w:rFonts w:cs="Times New Roman"/>
    </w:rPr>
  </w:style>
  <w:style w:type="character" w:styleId="ListLabel78">
    <w:name w:val="ListLabel 78"/>
    <w:qFormat/>
    <w:rPr>
      <w:rFonts w:cs="Times New Roman"/>
    </w:rPr>
  </w:style>
  <w:style w:type="character" w:styleId="ListLabel79">
    <w:name w:val="ListLabel 79"/>
    <w:qFormat/>
    <w:rPr>
      <w:rFonts w:cs="Times New Roman"/>
    </w:rPr>
  </w:style>
  <w:style w:type="character" w:styleId="ListLabel80">
    <w:name w:val="ListLabel 80"/>
    <w:qFormat/>
    <w:rPr>
      <w:rFonts w:cs="Times New Roman"/>
    </w:rPr>
  </w:style>
  <w:style w:type="character" w:styleId="ListLabel81">
    <w:name w:val="ListLabel 81"/>
    <w:qFormat/>
    <w:rPr>
      <w:rFonts w:ascii="Times New Roman CE" w:hAnsi="Times New Roman CE" w:cs="Times New Roman"/>
      <w:b/>
      <w:sz w:val="27"/>
    </w:rPr>
  </w:style>
  <w:style w:type="character" w:styleId="ListLabel82">
    <w:name w:val="ListLabel 82"/>
    <w:qFormat/>
    <w:rPr>
      <w:rFonts w:cs="Times New Roman"/>
    </w:rPr>
  </w:style>
  <w:style w:type="character" w:styleId="ListLabel83">
    <w:name w:val="ListLabel 83"/>
    <w:qFormat/>
    <w:rPr>
      <w:rFonts w:cs="Times New Roman"/>
    </w:rPr>
  </w:style>
  <w:style w:type="character" w:styleId="ListLabel84">
    <w:name w:val="ListLabel 84"/>
    <w:qFormat/>
    <w:rPr>
      <w:rFonts w:cs="Times New Roman"/>
    </w:rPr>
  </w:style>
  <w:style w:type="character" w:styleId="ListLabel85">
    <w:name w:val="ListLabel 85"/>
    <w:qFormat/>
    <w:rPr>
      <w:rFonts w:cs="Times New Roman"/>
    </w:rPr>
  </w:style>
  <w:style w:type="character" w:styleId="ListLabel86">
    <w:name w:val="ListLabel 86"/>
    <w:qFormat/>
    <w:rPr>
      <w:rFonts w:cs="Times New Roman"/>
    </w:rPr>
  </w:style>
  <w:style w:type="character" w:styleId="ListLabel87">
    <w:name w:val="ListLabel 87"/>
    <w:qFormat/>
    <w:rPr>
      <w:rFonts w:cs="Times New Roman"/>
    </w:rPr>
  </w:style>
  <w:style w:type="character" w:styleId="ListLabel88">
    <w:name w:val="ListLabel 88"/>
    <w:qFormat/>
    <w:rPr>
      <w:rFonts w:cs="Times New Roman"/>
    </w:rPr>
  </w:style>
  <w:style w:type="character" w:styleId="ListLabel89">
    <w:name w:val="ListLabel 89"/>
    <w:qFormat/>
    <w:rPr>
      <w:rFonts w:cs="Times New Roman"/>
    </w:rPr>
  </w:style>
  <w:style w:type="character" w:styleId="ListLabel90">
    <w:name w:val="ListLabel 90"/>
    <w:qFormat/>
    <w:rPr>
      <w:rFonts w:ascii="Times New Roman CE" w:hAnsi="Times New Roman CE" w:cs="Times New Roman"/>
      <w:b/>
      <w:sz w:val="22"/>
    </w:rPr>
  </w:style>
  <w:style w:type="character" w:styleId="ListLabel91">
    <w:name w:val="ListLabel 91"/>
    <w:qFormat/>
    <w:rPr>
      <w:rFonts w:cs="Times New Roman"/>
    </w:rPr>
  </w:style>
  <w:style w:type="character" w:styleId="ListLabel92">
    <w:name w:val="ListLabel 92"/>
    <w:qFormat/>
    <w:rPr>
      <w:rFonts w:cs="Times New Roman"/>
    </w:rPr>
  </w:style>
  <w:style w:type="character" w:styleId="ListLabel93">
    <w:name w:val="ListLabel 93"/>
    <w:qFormat/>
    <w:rPr>
      <w:rFonts w:cs="Times New Roman"/>
    </w:rPr>
  </w:style>
  <w:style w:type="character" w:styleId="ListLabel94">
    <w:name w:val="ListLabel 94"/>
    <w:qFormat/>
    <w:rPr>
      <w:rFonts w:cs="Times New Roman"/>
    </w:rPr>
  </w:style>
  <w:style w:type="character" w:styleId="ListLabel95">
    <w:name w:val="ListLabel 95"/>
    <w:qFormat/>
    <w:rPr>
      <w:rFonts w:cs="Times New Roman"/>
    </w:rPr>
  </w:style>
  <w:style w:type="character" w:styleId="ListLabel96">
    <w:name w:val="ListLabel 96"/>
    <w:qFormat/>
    <w:rPr>
      <w:rFonts w:cs="Times New Roman"/>
    </w:rPr>
  </w:style>
  <w:style w:type="character" w:styleId="ListLabel97">
    <w:name w:val="ListLabel 97"/>
    <w:qFormat/>
    <w:rPr>
      <w:rFonts w:cs="Times New Roman"/>
    </w:rPr>
  </w:style>
  <w:style w:type="character" w:styleId="ListLabel98">
    <w:name w:val="ListLabel 98"/>
    <w:qFormat/>
    <w:rPr>
      <w:rFonts w:cs="Times New Roman"/>
    </w:rPr>
  </w:style>
  <w:style w:type="character" w:styleId="ListLabel99">
    <w:name w:val="ListLabel 99"/>
    <w:qFormat/>
    <w:rPr>
      <w:rFonts w:ascii="Times New Roman CE" w:hAnsi="Times New Roman CE" w:cs="Times New Roman"/>
      <w:sz w:val="22"/>
    </w:rPr>
  </w:style>
  <w:style w:type="character" w:styleId="ListLabel100">
    <w:name w:val="ListLabel 100"/>
    <w:qFormat/>
    <w:rPr>
      <w:rFonts w:cs="Times New Roman"/>
    </w:rPr>
  </w:style>
  <w:style w:type="character" w:styleId="ListLabel101">
    <w:name w:val="ListLabel 101"/>
    <w:qFormat/>
    <w:rPr>
      <w:rFonts w:cs="Times New Roman"/>
    </w:rPr>
  </w:style>
  <w:style w:type="character" w:styleId="ListLabel102">
    <w:name w:val="ListLabel 102"/>
    <w:qFormat/>
    <w:rPr>
      <w:rFonts w:cs="Times New Roman"/>
    </w:rPr>
  </w:style>
  <w:style w:type="character" w:styleId="ListLabel103">
    <w:name w:val="ListLabel 103"/>
    <w:qFormat/>
    <w:rPr>
      <w:rFonts w:cs="Times New Roman"/>
    </w:rPr>
  </w:style>
  <w:style w:type="character" w:styleId="ListLabel104">
    <w:name w:val="ListLabel 104"/>
    <w:qFormat/>
    <w:rPr>
      <w:rFonts w:cs="Times New Roman"/>
    </w:rPr>
  </w:style>
  <w:style w:type="character" w:styleId="ListLabel105">
    <w:name w:val="ListLabel 105"/>
    <w:qFormat/>
    <w:rPr>
      <w:rFonts w:cs="Times New Roman"/>
    </w:rPr>
  </w:style>
  <w:style w:type="character" w:styleId="ListLabel106">
    <w:name w:val="ListLabel 106"/>
    <w:qFormat/>
    <w:rPr>
      <w:rFonts w:cs="Times New Roman"/>
    </w:rPr>
  </w:style>
  <w:style w:type="character" w:styleId="ListLabel107">
    <w:name w:val="ListLabel 107"/>
    <w:qFormat/>
    <w:rPr>
      <w:rFonts w:cs="Times New Roman"/>
    </w:rPr>
  </w:style>
  <w:style w:type="character" w:styleId="ListLabel108">
    <w:name w:val="ListLabel 108"/>
    <w:qFormat/>
    <w:rPr>
      <w:rFonts w:ascii="Times New Roman CE" w:hAnsi="Times New Roman CE" w:cs="Times New Roman"/>
      <w:sz w:val="22"/>
    </w:rPr>
  </w:style>
  <w:style w:type="character" w:styleId="ListLabel109">
    <w:name w:val="ListLabel 109"/>
    <w:qFormat/>
    <w:rPr>
      <w:rFonts w:cs="Times New Roman"/>
    </w:rPr>
  </w:style>
  <w:style w:type="character" w:styleId="ListLabel110">
    <w:name w:val="ListLabel 110"/>
    <w:qFormat/>
    <w:rPr>
      <w:rFonts w:cs="Times New Roman"/>
    </w:rPr>
  </w:style>
  <w:style w:type="character" w:styleId="ListLabel111">
    <w:name w:val="ListLabel 111"/>
    <w:qFormat/>
    <w:rPr>
      <w:rFonts w:cs="Times New Roman"/>
    </w:rPr>
  </w:style>
  <w:style w:type="character" w:styleId="ListLabel112">
    <w:name w:val="ListLabel 112"/>
    <w:qFormat/>
    <w:rPr>
      <w:rFonts w:cs="Times New Roman"/>
    </w:rPr>
  </w:style>
  <w:style w:type="character" w:styleId="ListLabel113">
    <w:name w:val="ListLabel 113"/>
    <w:qFormat/>
    <w:rPr>
      <w:rFonts w:cs="Times New Roman"/>
    </w:rPr>
  </w:style>
  <w:style w:type="character" w:styleId="ListLabel114">
    <w:name w:val="ListLabel 114"/>
    <w:qFormat/>
    <w:rPr>
      <w:rFonts w:cs="Times New Roman"/>
    </w:rPr>
  </w:style>
  <w:style w:type="character" w:styleId="ListLabel115">
    <w:name w:val="ListLabel 115"/>
    <w:qFormat/>
    <w:rPr>
      <w:rFonts w:cs="Times New Roman"/>
    </w:rPr>
  </w:style>
  <w:style w:type="character" w:styleId="ListLabel116">
    <w:name w:val="ListLabel 116"/>
    <w:qFormat/>
    <w:rPr>
      <w:rFonts w:cs="Times New Roman"/>
    </w:rPr>
  </w:style>
  <w:style w:type="character" w:styleId="ListLabel117">
    <w:name w:val="ListLabel 117"/>
    <w:qFormat/>
    <w:rPr>
      <w:rFonts w:ascii="Times New Roman CE" w:hAnsi="Times New Roman CE" w:cs="Times New Roman"/>
      <w:sz w:val="22"/>
    </w:rPr>
  </w:style>
  <w:style w:type="character" w:styleId="ListLabel118">
    <w:name w:val="ListLabel 118"/>
    <w:qFormat/>
    <w:rPr>
      <w:rFonts w:cs="Times New Roman"/>
    </w:rPr>
  </w:style>
  <w:style w:type="character" w:styleId="ListLabel119">
    <w:name w:val="ListLabel 119"/>
    <w:qFormat/>
    <w:rPr>
      <w:rFonts w:cs="Times New Roman"/>
    </w:rPr>
  </w:style>
  <w:style w:type="character" w:styleId="ListLabel120">
    <w:name w:val="ListLabel 120"/>
    <w:qFormat/>
    <w:rPr>
      <w:rFonts w:cs="Times New Roman"/>
    </w:rPr>
  </w:style>
  <w:style w:type="character" w:styleId="ListLabel121">
    <w:name w:val="ListLabel 121"/>
    <w:qFormat/>
    <w:rPr>
      <w:rFonts w:cs="Times New Roman"/>
    </w:rPr>
  </w:style>
  <w:style w:type="character" w:styleId="ListLabel122">
    <w:name w:val="ListLabel 122"/>
    <w:qFormat/>
    <w:rPr>
      <w:rFonts w:cs="Times New Roman"/>
    </w:rPr>
  </w:style>
  <w:style w:type="character" w:styleId="ListLabel123">
    <w:name w:val="ListLabel 123"/>
    <w:qFormat/>
    <w:rPr>
      <w:rFonts w:cs="Times New Roman"/>
    </w:rPr>
  </w:style>
  <w:style w:type="character" w:styleId="ListLabel124">
    <w:name w:val="ListLabel 124"/>
    <w:qFormat/>
    <w:rPr>
      <w:rFonts w:cs="Times New Roman"/>
    </w:rPr>
  </w:style>
  <w:style w:type="character" w:styleId="ListLabel125">
    <w:name w:val="ListLabel 125"/>
    <w:qFormat/>
    <w:rPr>
      <w:rFonts w:cs="Times New Roman"/>
    </w:rPr>
  </w:style>
  <w:style w:type="character" w:styleId="ListLabel126">
    <w:name w:val="ListLabel 126"/>
    <w:qFormat/>
    <w:rPr>
      <w:rFonts w:ascii="Times New Roman" w:hAnsi="Times New Roman" w:cs="Times New Roman"/>
      <w:b/>
      <w:sz w:val="22"/>
    </w:rPr>
  </w:style>
  <w:style w:type="character" w:styleId="ListLabel127">
    <w:name w:val="ListLabel 127"/>
    <w:qFormat/>
    <w:rPr>
      <w:rFonts w:cs="Times New Roman"/>
    </w:rPr>
  </w:style>
  <w:style w:type="character" w:styleId="ListLabel128">
    <w:name w:val="ListLabel 128"/>
    <w:qFormat/>
    <w:rPr>
      <w:rFonts w:cs="Times New Roman"/>
    </w:rPr>
  </w:style>
  <w:style w:type="character" w:styleId="ListLabel129">
    <w:name w:val="ListLabel 129"/>
    <w:qFormat/>
    <w:rPr>
      <w:rFonts w:cs="Times New Roman"/>
    </w:rPr>
  </w:style>
  <w:style w:type="character" w:styleId="ListLabel130">
    <w:name w:val="ListLabel 130"/>
    <w:qFormat/>
    <w:rPr>
      <w:rFonts w:cs="Times New Roman"/>
    </w:rPr>
  </w:style>
  <w:style w:type="character" w:styleId="ListLabel131">
    <w:name w:val="ListLabel 131"/>
    <w:qFormat/>
    <w:rPr>
      <w:rFonts w:cs="Times New Roman"/>
    </w:rPr>
  </w:style>
  <w:style w:type="character" w:styleId="ListLabel132">
    <w:name w:val="ListLabel 132"/>
    <w:qFormat/>
    <w:rPr>
      <w:rFonts w:cs="Times New Roman"/>
    </w:rPr>
  </w:style>
  <w:style w:type="character" w:styleId="ListLabel133">
    <w:name w:val="ListLabel 133"/>
    <w:qFormat/>
    <w:rPr>
      <w:rFonts w:cs="Times New Roman"/>
    </w:rPr>
  </w:style>
  <w:style w:type="character" w:styleId="ListLabel134">
    <w:name w:val="ListLabel 134"/>
    <w:qFormat/>
    <w:rPr>
      <w:rFonts w:cs="Times New Roman"/>
    </w:rPr>
  </w:style>
  <w:style w:type="character" w:styleId="ListLabel135">
    <w:name w:val="ListLabel 135"/>
    <w:qFormat/>
    <w:rPr>
      <w:rFonts w:ascii="Times New Roman" w:hAnsi="Times New Roman" w:eastAsia="Times New Roman" w:cs="CMR12"/>
      <w:sz w:val="22"/>
    </w:rPr>
  </w:style>
  <w:style w:type="character" w:styleId="ListLabel136">
    <w:name w:val="ListLabel 136"/>
    <w:qFormat/>
    <w:rPr>
      <w:rFonts w:ascii="Times New Roman" w:hAnsi="Times New Roman" w:cs="Times New Roman"/>
      <w:b/>
      <w:sz w:val="22"/>
    </w:rPr>
  </w:style>
  <w:style w:type="character" w:styleId="ListLabel137">
    <w:name w:val="ListLabel 137"/>
    <w:qFormat/>
    <w:rPr>
      <w:rFonts w:cs="Times New Roman"/>
    </w:rPr>
  </w:style>
  <w:style w:type="character" w:styleId="ListLabel138">
    <w:name w:val="ListLabel 138"/>
    <w:qFormat/>
    <w:rPr>
      <w:rFonts w:cs="Times New Roman"/>
    </w:rPr>
  </w:style>
  <w:style w:type="character" w:styleId="ListLabel139">
    <w:name w:val="ListLabel 139"/>
    <w:qFormat/>
    <w:rPr>
      <w:rFonts w:cs="Times New Roman"/>
    </w:rPr>
  </w:style>
  <w:style w:type="character" w:styleId="ListLabel140">
    <w:name w:val="ListLabel 140"/>
    <w:qFormat/>
    <w:rPr>
      <w:rFonts w:cs="Times New Roman"/>
    </w:rPr>
  </w:style>
  <w:style w:type="character" w:styleId="ListLabel141">
    <w:name w:val="ListLabel 141"/>
    <w:qFormat/>
    <w:rPr>
      <w:rFonts w:cs="Times New Roman"/>
    </w:rPr>
  </w:style>
  <w:style w:type="character" w:styleId="ListLabel142">
    <w:name w:val="ListLabel 142"/>
    <w:qFormat/>
    <w:rPr>
      <w:rFonts w:cs="Times New Roman"/>
    </w:rPr>
  </w:style>
  <w:style w:type="character" w:styleId="ListLabel143">
    <w:name w:val="ListLabel 143"/>
    <w:qFormat/>
    <w:rPr>
      <w:rFonts w:cs="Times New Roman"/>
    </w:rPr>
  </w:style>
  <w:style w:type="character" w:styleId="ListLabel144">
    <w:name w:val="ListLabel 144"/>
    <w:qFormat/>
    <w:rPr>
      <w:rFonts w:cs="Times New Roman"/>
    </w:rPr>
  </w:style>
  <w:style w:type="character" w:styleId="ListLabel145">
    <w:name w:val="ListLabel 145"/>
    <w:qFormat/>
    <w:rPr>
      <w:rFonts w:ascii="Times New Roman" w:hAnsi="Times New Roman" w:cs="Times New Roman"/>
      <w:b/>
      <w:sz w:val="22"/>
    </w:rPr>
  </w:style>
  <w:style w:type="character" w:styleId="ListLabel146">
    <w:name w:val="ListLabel 146"/>
    <w:qFormat/>
    <w:rPr>
      <w:rFonts w:cs="Times New Roman"/>
    </w:rPr>
  </w:style>
  <w:style w:type="character" w:styleId="ListLabel147">
    <w:name w:val="ListLabel 147"/>
    <w:qFormat/>
    <w:rPr>
      <w:rFonts w:cs="Times New Roman"/>
    </w:rPr>
  </w:style>
  <w:style w:type="character" w:styleId="ListLabel148">
    <w:name w:val="ListLabel 148"/>
    <w:qFormat/>
    <w:rPr>
      <w:rFonts w:cs="Times New Roman"/>
    </w:rPr>
  </w:style>
  <w:style w:type="character" w:styleId="ListLabel149">
    <w:name w:val="ListLabel 149"/>
    <w:qFormat/>
    <w:rPr>
      <w:rFonts w:cs="Times New Roman"/>
    </w:rPr>
  </w:style>
  <w:style w:type="character" w:styleId="ListLabel150">
    <w:name w:val="ListLabel 150"/>
    <w:qFormat/>
    <w:rPr>
      <w:rFonts w:cs="Times New Roman"/>
    </w:rPr>
  </w:style>
  <w:style w:type="character" w:styleId="ListLabel151">
    <w:name w:val="ListLabel 151"/>
    <w:qFormat/>
    <w:rPr>
      <w:rFonts w:cs="Times New Roman"/>
    </w:rPr>
  </w:style>
  <w:style w:type="character" w:styleId="ListLabel152">
    <w:name w:val="ListLabel 152"/>
    <w:qFormat/>
    <w:rPr>
      <w:rFonts w:cs="Times New Roman"/>
    </w:rPr>
  </w:style>
  <w:style w:type="character" w:styleId="ListLabel153">
    <w:name w:val="ListLabel 153"/>
    <w:qFormat/>
    <w:rPr>
      <w:rFonts w:cs="Times New Roman"/>
    </w:rPr>
  </w:style>
  <w:style w:type="character" w:styleId="ListLabel154">
    <w:name w:val="ListLabel 154"/>
    <w:qFormat/>
    <w:rPr>
      <w:rFonts w:cs="Times New Roman"/>
    </w:rPr>
  </w:style>
  <w:style w:type="character" w:styleId="ListLabel155">
    <w:name w:val="ListLabel 155"/>
    <w:qFormat/>
    <w:rPr>
      <w:rFonts w:cs="Times New Roman"/>
    </w:rPr>
  </w:style>
  <w:style w:type="character" w:styleId="ListLabel156">
    <w:name w:val="ListLabel 156"/>
    <w:qFormat/>
    <w:rPr>
      <w:rFonts w:cs="Times New Roman"/>
    </w:rPr>
  </w:style>
  <w:style w:type="character" w:styleId="ListLabel157">
    <w:name w:val="ListLabel 157"/>
    <w:qFormat/>
    <w:rPr>
      <w:rFonts w:cs="Times New Roman"/>
    </w:rPr>
  </w:style>
  <w:style w:type="character" w:styleId="ListLabel158">
    <w:name w:val="ListLabel 158"/>
    <w:qFormat/>
    <w:rPr>
      <w:rFonts w:cs="Times New Roman"/>
    </w:rPr>
  </w:style>
  <w:style w:type="character" w:styleId="ListLabel159">
    <w:name w:val="ListLabel 159"/>
    <w:qFormat/>
    <w:rPr>
      <w:rFonts w:cs="Times New Roman"/>
    </w:rPr>
  </w:style>
  <w:style w:type="character" w:styleId="ListLabel160">
    <w:name w:val="ListLabel 160"/>
    <w:qFormat/>
    <w:rPr>
      <w:rFonts w:cs="Times New Roman"/>
    </w:rPr>
  </w:style>
  <w:style w:type="character" w:styleId="ListLabel161">
    <w:name w:val="ListLabel 161"/>
    <w:qFormat/>
    <w:rPr>
      <w:rFonts w:cs="Times New Roman"/>
    </w:rPr>
  </w:style>
  <w:style w:type="character" w:styleId="ListLabel162">
    <w:name w:val="ListLabel 162"/>
    <w:qFormat/>
    <w:rPr>
      <w:rFonts w:cs="Times New Roman"/>
    </w:rPr>
  </w:style>
  <w:style w:type="character" w:styleId="ListLabel163">
    <w:name w:val="ListLabel 163"/>
    <w:qFormat/>
    <w:rPr>
      <w:rFonts w:ascii="Times New Roman CE" w:hAnsi="Times New Roman CE" w:cs="Times New Roman"/>
      <w:b/>
      <w:sz w:val="24"/>
    </w:rPr>
  </w:style>
  <w:style w:type="character" w:styleId="ListLabel164">
    <w:name w:val="ListLabel 164"/>
    <w:qFormat/>
    <w:rPr>
      <w:rFonts w:cs="Times New Roman"/>
    </w:rPr>
  </w:style>
  <w:style w:type="character" w:styleId="ListLabel165">
    <w:name w:val="ListLabel 165"/>
    <w:qFormat/>
    <w:rPr>
      <w:rFonts w:cs="Times New Roman"/>
    </w:rPr>
  </w:style>
  <w:style w:type="character" w:styleId="ListLabel166">
    <w:name w:val="ListLabel 166"/>
    <w:qFormat/>
    <w:rPr>
      <w:rFonts w:cs="Times New Roman"/>
    </w:rPr>
  </w:style>
  <w:style w:type="character" w:styleId="ListLabel167">
    <w:name w:val="ListLabel 167"/>
    <w:qFormat/>
    <w:rPr>
      <w:rFonts w:cs="Times New Roman"/>
    </w:rPr>
  </w:style>
  <w:style w:type="character" w:styleId="ListLabel168">
    <w:name w:val="ListLabel 168"/>
    <w:qFormat/>
    <w:rPr>
      <w:rFonts w:cs="Times New Roman"/>
    </w:rPr>
  </w:style>
  <w:style w:type="character" w:styleId="ListLabel169">
    <w:name w:val="ListLabel 169"/>
    <w:qFormat/>
    <w:rPr>
      <w:rFonts w:cs="Times New Roman"/>
    </w:rPr>
  </w:style>
  <w:style w:type="character" w:styleId="ListLabel170">
    <w:name w:val="ListLabel 170"/>
    <w:qFormat/>
    <w:rPr>
      <w:rFonts w:cs="Times New Roman"/>
    </w:rPr>
  </w:style>
  <w:style w:type="character" w:styleId="ListLabel171">
    <w:name w:val="ListLabel 171"/>
    <w:qFormat/>
    <w:rPr>
      <w:rFonts w:cs="Times New Roman"/>
    </w:rPr>
  </w:style>
  <w:style w:type="character" w:styleId="ListLabel172">
    <w:name w:val="ListLabel 172"/>
    <w:qFormat/>
    <w:rPr>
      <w:rFonts w:ascii="Times New Roman CE" w:hAnsi="Times New Roman CE" w:cs="Times New Roman"/>
      <w:sz w:val="22"/>
    </w:rPr>
  </w:style>
  <w:style w:type="character" w:styleId="ListLabel173">
    <w:name w:val="ListLabel 173"/>
    <w:qFormat/>
    <w:rPr>
      <w:rFonts w:cs="Times New Roman"/>
    </w:rPr>
  </w:style>
  <w:style w:type="character" w:styleId="ListLabel174">
    <w:name w:val="ListLabel 174"/>
    <w:qFormat/>
    <w:rPr>
      <w:rFonts w:cs="Times New Roman"/>
    </w:rPr>
  </w:style>
  <w:style w:type="character" w:styleId="ListLabel175">
    <w:name w:val="ListLabel 175"/>
    <w:qFormat/>
    <w:rPr>
      <w:rFonts w:cs="Times New Roman"/>
    </w:rPr>
  </w:style>
  <w:style w:type="character" w:styleId="ListLabel176">
    <w:name w:val="ListLabel 176"/>
    <w:qFormat/>
    <w:rPr>
      <w:rFonts w:cs="Times New Roman"/>
    </w:rPr>
  </w:style>
  <w:style w:type="character" w:styleId="ListLabel177">
    <w:name w:val="ListLabel 177"/>
    <w:qFormat/>
    <w:rPr>
      <w:rFonts w:cs="Times New Roman"/>
    </w:rPr>
  </w:style>
  <w:style w:type="character" w:styleId="ListLabel178">
    <w:name w:val="ListLabel 178"/>
    <w:qFormat/>
    <w:rPr>
      <w:rFonts w:cs="Times New Roman"/>
    </w:rPr>
  </w:style>
  <w:style w:type="character" w:styleId="ListLabel179">
    <w:name w:val="ListLabel 179"/>
    <w:qFormat/>
    <w:rPr>
      <w:rFonts w:cs="Times New Roman"/>
    </w:rPr>
  </w:style>
  <w:style w:type="character" w:styleId="ListLabel180">
    <w:name w:val="ListLabel 180"/>
    <w:qFormat/>
    <w:rPr>
      <w:rFonts w:cs="Times New Roman"/>
    </w:rPr>
  </w:style>
  <w:style w:type="character" w:styleId="ListLabel181">
    <w:name w:val="ListLabel 181"/>
    <w:qFormat/>
    <w:rPr>
      <w:rFonts w:ascii="Times New Roman" w:hAnsi="Times New Roman" w:cs="Times New Roman"/>
      <w:b/>
      <w:sz w:val="22"/>
    </w:rPr>
  </w:style>
  <w:style w:type="character" w:styleId="ListLabel182">
    <w:name w:val="ListLabel 182"/>
    <w:qFormat/>
    <w:rPr>
      <w:rFonts w:cs="Times New Roman"/>
    </w:rPr>
  </w:style>
  <w:style w:type="character" w:styleId="ListLabel183">
    <w:name w:val="ListLabel 183"/>
    <w:qFormat/>
    <w:rPr>
      <w:rFonts w:cs="Times New Roman"/>
    </w:rPr>
  </w:style>
  <w:style w:type="character" w:styleId="ListLabel184">
    <w:name w:val="ListLabel 184"/>
    <w:qFormat/>
    <w:rPr>
      <w:rFonts w:cs="Times New Roman"/>
    </w:rPr>
  </w:style>
  <w:style w:type="character" w:styleId="ListLabel185">
    <w:name w:val="ListLabel 185"/>
    <w:qFormat/>
    <w:rPr>
      <w:rFonts w:cs="Times New Roman"/>
    </w:rPr>
  </w:style>
  <w:style w:type="character" w:styleId="ListLabel186">
    <w:name w:val="ListLabel 186"/>
    <w:qFormat/>
    <w:rPr>
      <w:rFonts w:cs="Times New Roman"/>
    </w:rPr>
  </w:style>
  <w:style w:type="character" w:styleId="ListLabel187">
    <w:name w:val="ListLabel 187"/>
    <w:qFormat/>
    <w:rPr>
      <w:rFonts w:cs="Times New Roman"/>
    </w:rPr>
  </w:style>
  <w:style w:type="character" w:styleId="ListLabel188">
    <w:name w:val="ListLabel 188"/>
    <w:qFormat/>
    <w:rPr>
      <w:rFonts w:cs="Times New Roman"/>
    </w:rPr>
  </w:style>
  <w:style w:type="character" w:styleId="ListLabel189">
    <w:name w:val="ListLabel 189"/>
    <w:qFormat/>
    <w:rPr>
      <w:rFonts w:cs="Times New Roman"/>
    </w:rPr>
  </w:style>
  <w:style w:type="character" w:styleId="ListLabel190">
    <w:name w:val="ListLabel 190"/>
    <w:qFormat/>
    <w:rPr>
      <w:rFonts w:ascii="Times New Roman" w:hAnsi="Times New Roman" w:cs="Times New Roman"/>
      <w:b/>
      <w:sz w:val="22"/>
    </w:rPr>
  </w:style>
  <w:style w:type="character" w:styleId="ListLabel191">
    <w:name w:val="ListLabel 191"/>
    <w:qFormat/>
    <w:rPr>
      <w:rFonts w:cs="Times New Roman"/>
    </w:rPr>
  </w:style>
  <w:style w:type="character" w:styleId="ListLabel192">
    <w:name w:val="ListLabel 192"/>
    <w:qFormat/>
    <w:rPr>
      <w:rFonts w:cs="Times New Roman"/>
    </w:rPr>
  </w:style>
  <w:style w:type="character" w:styleId="ListLabel193">
    <w:name w:val="ListLabel 193"/>
    <w:qFormat/>
    <w:rPr>
      <w:rFonts w:cs="Times New Roman"/>
    </w:rPr>
  </w:style>
  <w:style w:type="character" w:styleId="ListLabel194">
    <w:name w:val="ListLabel 194"/>
    <w:qFormat/>
    <w:rPr>
      <w:rFonts w:cs="Times New Roman"/>
    </w:rPr>
  </w:style>
  <w:style w:type="character" w:styleId="ListLabel195">
    <w:name w:val="ListLabel 195"/>
    <w:qFormat/>
    <w:rPr>
      <w:rFonts w:cs="Times New Roman"/>
    </w:rPr>
  </w:style>
  <w:style w:type="character" w:styleId="ListLabel196">
    <w:name w:val="ListLabel 196"/>
    <w:qFormat/>
    <w:rPr>
      <w:rFonts w:cs="Times New Roman"/>
    </w:rPr>
  </w:style>
  <w:style w:type="character" w:styleId="ListLabel197">
    <w:name w:val="ListLabel 197"/>
    <w:qFormat/>
    <w:rPr>
      <w:rFonts w:cs="Times New Roman"/>
    </w:rPr>
  </w:style>
  <w:style w:type="character" w:styleId="ListLabel198">
    <w:name w:val="ListLabel 198"/>
    <w:qFormat/>
    <w:rPr>
      <w:rFonts w:cs="Times New Roman"/>
    </w:rPr>
  </w:style>
  <w:style w:type="character" w:styleId="ListLabel199">
    <w:name w:val="ListLabel 199"/>
    <w:qFormat/>
    <w:rPr>
      <w:rFonts w:ascii="Times New Roman CE" w:hAnsi="Times New Roman CE" w:cs="Times New Roman"/>
      <w:b/>
      <w:sz w:val="22"/>
    </w:rPr>
  </w:style>
  <w:style w:type="character" w:styleId="ListLabel200">
    <w:name w:val="ListLabel 200"/>
    <w:qFormat/>
    <w:rPr>
      <w:rFonts w:cs="Times New Roman"/>
    </w:rPr>
  </w:style>
  <w:style w:type="character" w:styleId="ListLabel201">
    <w:name w:val="ListLabel 201"/>
    <w:qFormat/>
    <w:rPr>
      <w:rFonts w:cs="Times New Roman"/>
    </w:rPr>
  </w:style>
  <w:style w:type="character" w:styleId="ListLabel202">
    <w:name w:val="ListLabel 202"/>
    <w:qFormat/>
    <w:rPr>
      <w:rFonts w:cs="Times New Roman"/>
    </w:rPr>
  </w:style>
  <w:style w:type="character" w:styleId="ListLabel203">
    <w:name w:val="ListLabel 203"/>
    <w:qFormat/>
    <w:rPr>
      <w:rFonts w:cs="Times New Roman"/>
    </w:rPr>
  </w:style>
  <w:style w:type="character" w:styleId="ListLabel204">
    <w:name w:val="ListLabel 204"/>
    <w:qFormat/>
    <w:rPr>
      <w:rFonts w:cs="Times New Roman"/>
    </w:rPr>
  </w:style>
  <w:style w:type="character" w:styleId="ListLabel205">
    <w:name w:val="ListLabel 205"/>
    <w:qFormat/>
    <w:rPr>
      <w:rFonts w:cs="Times New Roman"/>
    </w:rPr>
  </w:style>
  <w:style w:type="character" w:styleId="ListLabel206">
    <w:name w:val="ListLabel 206"/>
    <w:qFormat/>
    <w:rPr>
      <w:rFonts w:cs="Times New Roman"/>
    </w:rPr>
  </w:style>
  <w:style w:type="character" w:styleId="ListLabel207">
    <w:name w:val="ListLabel 207"/>
    <w:qFormat/>
    <w:rPr>
      <w:rFonts w:cs="Times New Roman"/>
    </w:rPr>
  </w:style>
  <w:style w:type="character" w:styleId="ListLabel208">
    <w:name w:val="ListLabel 208"/>
    <w:qFormat/>
    <w:rPr>
      <w:rFonts w:ascii="Times New Roman" w:hAnsi="Times New Roman" w:cs="Times New Roman"/>
      <w:b/>
      <w:sz w:val="22"/>
    </w:rPr>
  </w:style>
  <w:style w:type="character" w:styleId="ListLabel209">
    <w:name w:val="ListLabel 209"/>
    <w:qFormat/>
    <w:rPr>
      <w:rFonts w:cs="Times New Roman"/>
    </w:rPr>
  </w:style>
  <w:style w:type="character" w:styleId="ListLabel210">
    <w:name w:val="ListLabel 210"/>
    <w:qFormat/>
    <w:rPr>
      <w:rFonts w:cs="Times New Roman"/>
    </w:rPr>
  </w:style>
  <w:style w:type="character" w:styleId="ListLabel211">
    <w:name w:val="ListLabel 211"/>
    <w:qFormat/>
    <w:rPr>
      <w:rFonts w:cs="Times New Roman"/>
    </w:rPr>
  </w:style>
  <w:style w:type="character" w:styleId="ListLabel212">
    <w:name w:val="ListLabel 212"/>
    <w:qFormat/>
    <w:rPr>
      <w:rFonts w:cs="Times New Roman"/>
    </w:rPr>
  </w:style>
  <w:style w:type="character" w:styleId="ListLabel213">
    <w:name w:val="ListLabel 213"/>
    <w:qFormat/>
    <w:rPr>
      <w:rFonts w:cs="Times New Roman"/>
    </w:rPr>
  </w:style>
  <w:style w:type="character" w:styleId="ListLabel214">
    <w:name w:val="ListLabel 214"/>
    <w:qFormat/>
    <w:rPr>
      <w:rFonts w:cs="Times New Roman"/>
    </w:rPr>
  </w:style>
  <w:style w:type="character" w:styleId="ListLabel215">
    <w:name w:val="ListLabel 215"/>
    <w:qFormat/>
    <w:rPr>
      <w:rFonts w:cs="Times New Roman"/>
    </w:rPr>
  </w:style>
  <w:style w:type="character" w:styleId="ListLabel216">
    <w:name w:val="ListLabel 216"/>
    <w:qFormat/>
    <w:rPr>
      <w:rFonts w:cs="Times New Roman"/>
    </w:rPr>
  </w:style>
  <w:style w:type="character" w:styleId="ListLabel217">
    <w:name w:val="ListLabel 217"/>
    <w:qFormat/>
    <w:rPr>
      <w:rFonts w:ascii="Times New Roman" w:hAnsi="Times New Roman" w:cs="Times New Roman"/>
      <w:b/>
      <w:sz w:val="22"/>
    </w:rPr>
  </w:style>
  <w:style w:type="character" w:styleId="ListLabel218">
    <w:name w:val="ListLabel 218"/>
    <w:qFormat/>
    <w:rPr>
      <w:rFonts w:cs="Times New Roman"/>
    </w:rPr>
  </w:style>
  <w:style w:type="character" w:styleId="ListLabel219">
    <w:name w:val="ListLabel 219"/>
    <w:qFormat/>
    <w:rPr>
      <w:rFonts w:cs="Times New Roman"/>
    </w:rPr>
  </w:style>
  <w:style w:type="character" w:styleId="ListLabel220">
    <w:name w:val="ListLabel 220"/>
    <w:qFormat/>
    <w:rPr>
      <w:rFonts w:cs="Times New Roman"/>
    </w:rPr>
  </w:style>
  <w:style w:type="character" w:styleId="ListLabel221">
    <w:name w:val="ListLabel 221"/>
    <w:qFormat/>
    <w:rPr>
      <w:rFonts w:cs="Times New Roman"/>
    </w:rPr>
  </w:style>
  <w:style w:type="character" w:styleId="ListLabel222">
    <w:name w:val="ListLabel 222"/>
    <w:qFormat/>
    <w:rPr>
      <w:rFonts w:cs="Times New Roman"/>
    </w:rPr>
  </w:style>
  <w:style w:type="character" w:styleId="ListLabel223">
    <w:name w:val="ListLabel 223"/>
    <w:qFormat/>
    <w:rPr>
      <w:rFonts w:cs="Times New Roman"/>
    </w:rPr>
  </w:style>
  <w:style w:type="character" w:styleId="ListLabel224">
    <w:name w:val="ListLabel 224"/>
    <w:qFormat/>
    <w:rPr>
      <w:rFonts w:cs="Times New Roman"/>
    </w:rPr>
  </w:style>
  <w:style w:type="character" w:styleId="ListLabel225">
    <w:name w:val="ListLabel 225"/>
    <w:qFormat/>
    <w:rPr>
      <w:rFonts w:cs="Times New Roman"/>
    </w:rPr>
  </w:style>
  <w:style w:type="character" w:styleId="ListLabel226">
    <w:name w:val="ListLabel 226"/>
    <w:qFormat/>
    <w:rPr>
      <w:rFonts w:ascii="Times New Roman CE" w:hAnsi="Times New Roman CE" w:cs="Times New Roman"/>
      <w:b/>
      <w:sz w:val="22"/>
    </w:rPr>
  </w:style>
  <w:style w:type="character" w:styleId="ListLabel227">
    <w:name w:val="ListLabel 227"/>
    <w:qFormat/>
    <w:rPr>
      <w:rFonts w:cs="Times New Roman"/>
    </w:rPr>
  </w:style>
  <w:style w:type="character" w:styleId="ListLabel228">
    <w:name w:val="ListLabel 228"/>
    <w:qFormat/>
    <w:rPr>
      <w:rFonts w:cs="Times New Roman"/>
    </w:rPr>
  </w:style>
  <w:style w:type="character" w:styleId="ListLabel229">
    <w:name w:val="ListLabel 229"/>
    <w:qFormat/>
    <w:rPr>
      <w:rFonts w:cs="Times New Roman"/>
    </w:rPr>
  </w:style>
  <w:style w:type="character" w:styleId="ListLabel230">
    <w:name w:val="ListLabel 230"/>
    <w:qFormat/>
    <w:rPr>
      <w:rFonts w:cs="Times New Roman"/>
    </w:rPr>
  </w:style>
  <w:style w:type="character" w:styleId="ListLabel231">
    <w:name w:val="ListLabel 231"/>
    <w:qFormat/>
    <w:rPr>
      <w:rFonts w:cs="Times New Roman"/>
    </w:rPr>
  </w:style>
  <w:style w:type="character" w:styleId="ListLabel232">
    <w:name w:val="ListLabel 232"/>
    <w:qFormat/>
    <w:rPr>
      <w:rFonts w:cs="Times New Roman"/>
    </w:rPr>
  </w:style>
  <w:style w:type="character" w:styleId="ListLabel233">
    <w:name w:val="ListLabel 233"/>
    <w:qFormat/>
    <w:rPr>
      <w:rFonts w:cs="Times New Roman"/>
    </w:rPr>
  </w:style>
  <w:style w:type="character" w:styleId="ListLabel234">
    <w:name w:val="ListLabel 234"/>
    <w:qFormat/>
    <w:rPr>
      <w:rFonts w:cs="Times New Roman"/>
    </w:rPr>
  </w:style>
  <w:style w:type="character" w:styleId="ListLabel235">
    <w:name w:val="ListLabel 235"/>
    <w:qFormat/>
    <w:rPr>
      <w:rFonts w:ascii="Times New Roman CE" w:hAnsi="Times New Roman CE" w:cs="Times New Roman"/>
      <w:b/>
      <w:sz w:val="22"/>
    </w:rPr>
  </w:style>
  <w:style w:type="character" w:styleId="ListLabel236">
    <w:name w:val="ListLabel 236"/>
    <w:qFormat/>
    <w:rPr>
      <w:rFonts w:cs="Times New Roman"/>
    </w:rPr>
  </w:style>
  <w:style w:type="character" w:styleId="ListLabel237">
    <w:name w:val="ListLabel 237"/>
    <w:qFormat/>
    <w:rPr>
      <w:rFonts w:cs="Times New Roman"/>
    </w:rPr>
  </w:style>
  <w:style w:type="character" w:styleId="ListLabel238">
    <w:name w:val="ListLabel 238"/>
    <w:qFormat/>
    <w:rPr>
      <w:rFonts w:cs="Times New Roman"/>
    </w:rPr>
  </w:style>
  <w:style w:type="character" w:styleId="ListLabel239">
    <w:name w:val="ListLabel 239"/>
    <w:qFormat/>
    <w:rPr>
      <w:rFonts w:cs="Times New Roman"/>
    </w:rPr>
  </w:style>
  <w:style w:type="character" w:styleId="ListLabel240">
    <w:name w:val="ListLabel 240"/>
    <w:qFormat/>
    <w:rPr>
      <w:rFonts w:cs="Times New Roman"/>
    </w:rPr>
  </w:style>
  <w:style w:type="character" w:styleId="ListLabel241">
    <w:name w:val="ListLabel 241"/>
    <w:qFormat/>
    <w:rPr>
      <w:rFonts w:cs="Times New Roman"/>
    </w:rPr>
  </w:style>
  <w:style w:type="character" w:styleId="ListLabel242">
    <w:name w:val="ListLabel 242"/>
    <w:qFormat/>
    <w:rPr>
      <w:rFonts w:cs="Times New Roman"/>
    </w:rPr>
  </w:style>
  <w:style w:type="character" w:styleId="ListLabel243">
    <w:name w:val="ListLabel 243"/>
    <w:qFormat/>
    <w:rPr>
      <w:rFonts w:cs="Times New Roman"/>
    </w:rPr>
  </w:style>
  <w:style w:type="character" w:styleId="ListLabel244">
    <w:name w:val="ListLabel 244"/>
    <w:qFormat/>
    <w:rPr>
      <w:rFonts w:ascii="Times New Roman CE" w:hAnsi="Times New Roman CE" w:cs="Times New Roman"/>
      <w:b/>
      <w:sz w:val="22"/>
    </w:rPr>
  </w:style>
  <w:style w:type="character" w:styleId="ListLabel245">
    <w:name w:val="ListLabel 245"/>
    <w:qFormat/>
    <w:rPr>
      <w:rFonts w:cs="Times New Roman"/>
    </w:rPr>
  </w:style>
  <w:style w:type="character" w:styleId="ListLabel246">
    <w:name w:val="ListLabel 246"/>
    <w:qFormat/>
    <w:rPr>
      <w:rFonts w:cs="Times New Roman"/>
    </w:rPr>
  </w:style>
  <w:style w:type="character" w:styleId="ListLabel247">
    <w:name w:val="ListLabel 247"/>
    <w:qFormat/>
    <w:rPr>
      <w:rFonts w:cs="Times New Roman"/>
    </w:rPr>
  </w:style>
  <w:style w:type="character" w:styleId="ListLabel248">
    <w:name w:val="ListLabel 248"/>
    <w:qFormat/>
    <w:rPr>
      <w:rFonts w:cs="Times New Roman"/>
    </w:rPr>
  </w:style>
  <w:style w:type="character" w:styleId="ListLabel249">
    <w:name w:val="ListLabel 249"/>
    <w:qFormat/>
    <w:rPr>
      <w:rFonts w:cs="Times New Roman"/>
    </w:rPr>
  </w:style>
  <w:style w:type="character" w:styleId="ListLabel250">
    <w:name w:val="ListLabel 250"/>
    <w:qFormat/>
    <w:rPr>
      <w:rFonts w:cs="Times New Roman"/>
    </w:rPr>
  </w:style>
  <w:style w:type="character" w:styleId="ListLabel251">
    <w:name w:val="ListLabel 251"/>
    <w:qFormat/>
    <w:rPr>
      <w:rFonts w:cs="Times New Roman"/>
    </w:rPr>
  </w:style>
  <w:style w:type="character" w:styleId="ListLabel252">
    <w:name w:val="ListLabel 252"/>
    <w:qFormat/>
    <w:rPr>
      <w:rFonts w:cs="Times New Roman"/>
    </w:rPr>
  </w:style>
  <w:style w:type="character" w:styleId="ListLabel253">
    <w:name w:val="ListLabel 253"/>
    <w:qFormat/>
    <w:rPr>
      <w:rFonts w:ascii="Times New Roman CE" w:hAnsi="Times New Roman CE" w:cs="Times New Roman"/>
      <w:b/>
      <w:sz w:val="22"/>
    </w:rPr>
  </w:style>
  <w:style w:type="character" w:styleId="ListLabel254">
    <w:name w:val="ListLabel 254"/>
    <w:qFormat/>
    <w:rPr>
      <w:rFonts w:cs="Times New Roman"/>
    </w:rPr>
  </w:style>
  <w:style w:type="character" w:styleId="ListLabel255">
    <w:name w:val="ListLabel 255"/>
    <w:qFormat/>
    <w:rPr>
      <w:rFonts w:cs="Times New Roman"/>
    </w:rPr>
  </w:style>
  <w:style w:type="character" w:styleId="ListLabel256">
    <w:name w:val="ListLabel 256"/>
    <w:qFormat/>
    <w:rPr>
      <w:rFonts w:cs="Times New Roman"/>
    </w:rPr>
  </w:style>
  <w:style w:type="character" w:styleId="ListLabel257">
    <w:name w:val="ListLabel 257"/>
    <w:qFormat/>
    <w:rPr>
      <w:rFonts w:cs="Times New Roman"/>
    </w:rPr>
  </w:style>
  <w:style w:type="character" w:styleId="ListLabel258">
    <w:name w:val="ListLabel 258"/>
    <w:qFormat/>
    <w:rPr>
      <w:rFonts w:cs="Times New Roman"/>
    </w:rPr>
  </w:style>
  <w:style w:type="character" w:styleId="ListLabel259">
    <w:name w:val="ListLabel 259"/>
    <w:qFormat/>
    <w:rPr>
      <w:rFonts w:cs="Times New Roman"/>
    </w:rPr>
  </w:style>
  <w:style w:type="character" w:styleId="ListLabel260">
    <w:name w:val="ListLabel 260"/>
    <w:qFormat/>
    <w:rPr>
      <w:rFonts w:cs="Times New Roman"/>
    </w:rPr>
  </w:style>
  <w:style w:type="character" w:styleId="ListLabel261">
    <w:name w:val="ListLabel 261"/>
    <w:qFormat/>
    <w:rPr>
      <w:rFonts w:cs="Times New Roman"/>
    </w:rPr>
  </w:style>
  <w:style w:type="character" w:styleId="ListLabel262">
    <w:name w:val="ListLabel 262"/>
    <w:qFormat/>
    <w:rPr>
      <w:rFonts w:ascii="Times New Roman" w:hAnsi="Times New Roman" w:cs="Times New Roman"/>
      <w:sz w:val="22"/>
    </w:rPr>
  </w:style>
  <w:style w:type="character" w:styleId="ListLabel263">
    <w:name w:val="ListLabel 263"/>
    <w:qFormat/>
    <w:rPr>
      <w:rFonts w:cs="Times New Roman"/>
    </w:rPr>
  </w:style>
  <w:style w:type="character" w:styleId="ListLabel264">
    <w:name w:val="ListLabel 264"/>
    <w:qFormat/>
    <w:rPr>
      <w:rFonts w:cs="Times New Roman"/>
    </w:rPr>
  </w:style>
  <w:style w:type="character" w:styleId="ListLabel265">
    <w:name w:val="ListLabel 265"/>
    <w:qFormat/>
    <w:rPr>
      <w:rFonts w:cs="Times New Roman"/>
    </w:rPr>
  </w:style>
  <w:style w:type="character" w:styleId="ListLabel266">
    <w:name w:val="ListLabel 266"/>
    <w:qFormat/>
    <w:rPr>
      <w:rFonts w:cs="Times New Roman"/>
    </w:rPr>
  </w:style>
  <w:style w:type="character" w:styleId="ListLabel267">
    <w:name w:val="ListLabel 267"/>
    <w:qFormat/>
    <w:rPr>
      <w:rFonts w:cs="Times New Roman"/>
    </w:rPr>
  </w:style>
  <w:style w:type="character" w:styleId="ListLabel268">
    <w:name w:val="ListLabel 268"/>
    <w:qFormat/>
    <w:rPr>
      <w:rFonts w:cs="Times New Roman"/>
    </w:rPr>
  </w:style>
  <w:style w:type="character" w:styleId="ListLabel269">
    <w:name w:val="ListLabel 269"/>
    <w:qFormat/>
    <w:rPr>
      <w:rFonts w:cs="Times New Roman"/>
    </w:rPr>
  </w:style>
  <w:style w:type="character" w:styleId="ListLabel270">
    <w:name w:val="ListLabel 270"/>
    <w:qFormat/>
    <w:rPr>
      <w:rFonts w:cs="Times New Roman"/>
    </w:rPr>
  </w:style>
  <w:style w:type="character" w:styleId="ListLabel271">
    <w:name w:val="ListLabel 271"/>
    <w:qFormat/>
    <w:rPr>
      <w:rFonts w:ascii="Times New Roman" w:hAnsi="Times New Roman" w:cs="Times New Roman"/>
      <w:b/>
      <w:sz w:val="22"/>
    </w:rPr>
  </w:style>
  <w:style w:type="character" w:styleId="ListLabel272">
    <w:name w:val="ListLabel 272"/>
    <w:qFormat/>
    <w:rPr>
      <w:rFonts w:cs="Times New Roman"/>
    </w:rPr>
  </w:style>
  <w:style w:type="character" w:styleId="ListLabel273">
    <w:name w:val="ListLabel 273"/>
    <w:qFormat/>
    <w:rPr>
      <w:rFonts w:cs="Times New Roman"/>
    </w:rPr>
  </w:style>
  <w:style w:type="character" w:styleId="ListLabel274">
    <w:name w:val="ListLabel 274"/>
    <w:qFormat/>
    <w:rPr>
      <w:rFonts w:cs="Times New Roman"/>
    </w:rPr>
  </w:style>
  <w:style w:type="character" w:styleId="ListLabel275">
    <w:name w:val="ListLabel 275"/>
    <w:qFormat/>
    <w:rPr>
      <w:rFonts w:cs="Times New Roman"/>
    </w:rPr>
  </w:style>
  <w:style w:type="character" w:styleId="ListLabel276">
    <w:name w:val="ListLabel 276"/>
    <w:qFormat/>
    <w:rPr>
      <w:rFonts w:cs="Times New Roman"/>
    </w:rPr>
  </w:style>
  <w:style w:type="character" w:styleId="ListLabel277">
    <w:name w:val="ListLabel 277"/>
    <w:qFormat/>
    <w:rPr>
      <w:rFonts w:cs="Times New Roman"/>
    </w:rPr>
  </w:style>
  <w:style w:type="character" w:styleId="ListLabel278">
    <w:name w:val="ListLabel 278"/>
    <w:qFormat/>
    <w:rPr>
      <w:rFonts w:cs="Times New Roman"/>
    </w:rPr>
  </w:style>
  <w:style w:type="character" w:styleId="ListLabel279">
    <w:name w:val="ListLabel 279"/>
    <w:qFormat/>
    <w:rPr>
      <w:rFonts w:cs="Times New Roman"/>
    </w:rPr>
  </w:style>
  <w:style w:type="character" w:styleId="ListLabel280">
    <w:name w:val="ListLabel 280"/>
    <w:qFormat/>
    <w:rPr>
      <w:rFonts w:ascii="Times New Roman" w:hAnsi="Times New Roman" w:cs="Times New Roman"/>
      <w:b/>
      <w:sz w:val="22"/>
    </w:rPr>
  </w:style>
  <w:style w:type="character" w:styleId="ListLabel281">
    <w:name w:val="ListLabel 281"/>
    <w:qFormat/>
    <w:rPr>
      <w:rFonts w:cs="Times New Roman"/>
    </w:rPr>
  </w:style>
  <w:style w:type="character" w:styleId="ListLabel282">
    <w:name w:val="ListLabel 282"/>
    <w:qFormat/>
    <w:rPr>
      <w:rFonts w:cs="Times New Roman"/>
    </w:rPr>
  </w:style>
  <w:style w:type="character" w:styleId="ListLabel283">
    <w:name w:val="ListLabel 283"/>
    <w:qFormat/>
    <w:rPr>
      <w:rFonts w:cs="Times New Roman"/>
    </w:rPr>
  </w:style>
  <w:style w:type="character" w:styleId="ListLabel284">
    <w:name w:val="ListLabel 284"/>
    <w:qFormat/>
    <w:rPr>
      <w:rFonts w:cs="Times New Roman"/>
    </w:rPr>
  </w:style>
  <w:style w:type="character" w:styleId="ListLabel285">
    <w:name w:val="ListLabel 285"/>
    <w:qFormat/>
    <w:rPr>
      <w:rFonts w:cs="Times New Roman"/>
    </w:rPr>
  </w:style>
  <w:style w:type="character" w:styleId="ListLabel286">
    <w:name w:val="ListLabel 286"/>
    <w:qFormat/>
    <w:rPr>
      <w:rFonts w:cs="Times New Roman"/>
    </w:rPr>
  </w:style>
  <w:style w:type="character" w:styleId="ListLabel287">
    <w:name w:val="ListLabel 287"/>
    <w:qFormat/>
    <w:rPr>
      <w:rFonts w:cs="Times New Roman"/>
    </w:rPr>
  </w:style>
  <w:style w:type="character" w:styleId="ListLabel288">
    <w:name w:val="ListLabel 288"/>
    <w:qFormat/>
    <w:rPr>
      <w:rFonts w:cs="Times New Roman"/>
    </w:rPr>
  </w:style>
  <w:style w:type="character" w:styleId="ListLabel289">
    <w:name w:val="ListLabel 289"/>
    <w:qFormat/>
    <w:rPr>
      <w:rFonts w:ascii="Times New Roman" w:hAnsi="Times New Roman" w:cs="Times New Roman"/>
      <w:b/>
      <w:sz w:val="22"/>
    </w:rPr>
  </w:style>
  <w:style w:type="character" w:styleId="ListLabel290">
    <w:name w:val="ListLabel 290"/>
    <w:qFormat/>
    <w:rPr>
      <w:rFonts w:cs="Times New Roman"/>
    </w:rPr>
  </w:style>
  <w:style w:type="character" w:styleId="ListLabel291">
    <w:name w:val="ListLabel 291"/>
    <w:qFormat/>
    <w:rPr>
      <w:rFonts w:cs="Times New Roman"/>
    </w:rPr>
  </w:style>
  <w:style w:type="character" w:styleId="ListLabel292">
    <w:name w:val="ListLabel 292"/>
    <w:qFormat/>
    <w:rPr>
      <w:rFonts w:cs="Times New Roman"/>
    </w:rPr>
  </w:style>
  <w:style w:type="character" w:styleId="ListLabel293">
    <w:name w:val="ListLabel 293"/>
    <w:qFormat/>
    <w:rPr>
      <w:rFonts w:cs="Times New Roman"/>
    </w:rPr>
  </w:style>
  <w:style w:type="character" w:styleId="ListLabel294">
    <w:name w:val="ListLabel 294"/>
    <w:qFormat/>
    <w:rPr>
      <w:rFonts w:cs="Times New Roman"/>
    </w:rPr>
  </w:style>
  <w:style w:type="character" w:styleId="ListLabel295">
    <w:name w:val="ListLabel 295"/>
    <w:qFormat/>
    <w:rPr>
      <w:rFonts w:cs="Times New Roman"/>
    </w:rPr>
  </w:style>
  <w:style w:type="character" w:styleId="ListLabel296">
    <w:name w:val="ListLabel 296"/>
    <w:qFormat/>
    <w:rPr>
      <w:rFonts w:cs="Times New Roman"/>
    </w:rPr>
  </w:style>
  <w:style w:type="character" w:styleId="ListLabel297">
    <w:name w:val="ListLabel 297"/>
    <w:qFormat/>
    <w:rPr>
      <w:rFonts w:cs="Times New Roman"/>
    </w:rPr>
  </w:style>
  <w:style w:type="character" w:styleId="ListLabel298">
    <w:name w:val="ListLabel 298"/>
    <w:qFormat/>
    <w:rPr>
      <w:rFonts w:ascii="Times New Roman" w:hAnsi="Times New Roman" w:cs="Times New Roman"/>
      <w:sz w:val="22"/>
    </w:rPr>
  </w:style>
  <w:style w:type="character" w:styleId="ListLabel299">
    <w:name w:val="ListLabel 299"/>
    <w:qFormat/>
    <w:rPr>
      <w:rFonts w:cs="Times New Roman"/>
    </w:rPr>
  </w:style>
  <w:style w:type="character" w:styleId="ListLabel300">
    <w:name w:val="ListLabel 300"/>
    <w:qFormat/>
    <w:rPr>
      <w:rFonts w:cs="Times New Roman"/>
    </w:rPr>
  </w:style>
  <w:style w:type="character" w:styleId="ListLabel301">
    <w:name w:val="ListLabel 301"/>
    <w:qFormat/>
    <w:rPr>
      <w:rFonts w:cs="Times New Roman"/>
    </w:rPr>
  </w:style>
  <w:style w:type="character" w:styleId="ListLabel302">
    <w:name w:val="ListLabel 302"/>
    <w:qFormat/>
    <w:rPr>
      <w:rFonts w:cs="Times New Roman"/>
    </w:rPr>
  </w:style>
  <w:style w:type="character" w:styleId="ListLabel303">
    <w:name w:val="ListLabel 303"/>
    <w:qFormat/>
    <w:rPr>
      <w:rFonts w:cs="Times New Roman"/>
    </w:rPr>
  </w:style>
  <w:style w:type="character" w:styleId="ListLabel304">
    <w:name w:val="ListLabel 304"/>
    <w:qFormat/>
    <w:rPr>
      <w:rFonts w:cs="Times New Roman"/>
    </w:rPr>
  </w:style>
  <w:style w:type="character" w:styleId="ListLabel305">
    <w:name w:val="ListLabel 305"/>
    <w:qFormat/>
    <w:rPr>
      <w:rFonts w:cs="Times New Roman"/>
    </w:rPr>
  </w:style>
  <w:style w:type="character" w:styleId="ListLabel306">
    <w:name w:val="ListLabel 306"/>
    <w:qFormat/>
    <w:rPr>
      <w:rFonts w:cs="Times New Roman"/>
    </w:rPr>
  </w:style>
  <w:style w:type="character" w:styleId="ListLabel307">
    <w:name w:val="ListLabel 307"/>
    <w:qFormat/>
    <w:rPr>
      <w:rFonts w:ascii="Times New Roman" w:hAnsi="Times New Roman" w:cs="Times New Roman"/>
      <w:sz w:val="22"/>
    </w:rPr>
  </w:style>
  <w:style w:type="character" w:styleId="ListLabel308">
    <w:name w:val="ListLabel 308"/>
    <w:qFormat/>
    <w:rPr>
      <w:rFonts w:cs="Times New Roman"/>
    </w:rPr>
  </w:style>
  <w:style w:type="character" w:styleId="ListLabel309">
    <w:name w:val="ListLabel 309"/>
    <w:qFormat/>
    <w:rPr>
      <w:rFonts w:cs="Times New Roman"/>
    </w:rPr>
  </w:style>
  <w:style w:type="character" w:styleId="ListLabel310">
    <w:name w:val="ListLabel 310"/>
    <w:qFormat/>
    <w:rPr>
      <w:rFonts w:cs="Times New Roman"/>
    </w:rPr>
  </w:style>
  <w:style w:type="character" w:styleId="ListLabel311">
    <w:name w:val="ListLabel 311"/>
    <w:qFormat/>
    <w:rPr>
      <w:rFonts w:cs="Times New Roman"/>
    </w:rPr>
  </w:style>
  <w:style w:type="character" w:styleId="ListLabel312">
    <w:name w:val="ListLabel 312"/>
    <w:qFormat/>
    <w:rPr>
      <w:rFonts w:cs="Times New Roman"/>
    </w:rPr>
  </w:style>
  <w:style w:type="character" w:styleId="ListLabel313">
    <w:name w:val="ListLabel 313"/>
    <w:qFormat/>
    <w:rPr>
      <w:rFonts w:cs="Times New Roman"/>
    </w:rPr>
  </w:style>
  <w:style w:type="character" w:styleId="ListLabel314">
    <w:name w:val="ListLabel 314"/>
    <w:qFormat/>
    <w:rPr>
      <w:rFonts w:cs="Times New Roman"/>
    </w:rPr>
  </w:style>
  <w:style w:type="character" w:styleId="ListLabel315">
    <w:name w:val="ListLabel 315"/>
    <w:qFormat/>
    <w:rPr>
      <w:rFonts w:cs="Times New Roman"/>
    </w:rPr>
  </w:style>
  <w:style w:type="character" w:styleId="ListLabel316">
    <w:name w:val="ListLabel 316"/>
    <w:qFormat/>
    <w:rPr>
      <w:rFonts w:ascii="Times New Roman" w:hAnsi="Times New Roman" w:cs="Times New Roman"/>
      <w:sz w:val="22"/>
    </w:rPr>
  </w:style>
  <w:style w:type="character" w:styleId="ListLabel317">
    <w:name w:val="ListLabel 317"/>
    <w:qFormat/>
    <w:rPr>
      <w:rFonts w:cs="Times New Roman"/>
    </w:rPr>
  </w:style>
  <w:style w:type="character" w:styleId="ListLabel318">
    <w:name w:val="ListLabel 318"/>
    <w:qFormat/>
    <w:rPr>
      <w:rFonts w:cs="Times New Roman"/>
    </w:rPr>
  </w:style>
  <w:style w:type="character" w:styleId="ListLabel319">
    <w:name w:val="ListLabel 319"/>
    <w:qFormat/>
    <w:rPr>
      <w:rFonts w:cs="Times New Roman"/>
    </w:rPr>
  </w:style>
  <w:style w:type="character" w:styleId="ListLabel320">
    <w:name w:val="ListLabel 320"/>
    <w:qFormat/>
    <w:rPr>
      <w:rFonts w:cs="Times New Roman"/>
    </w:rPr>
  </w:style>
  <w:style w:type="character" w:styleId="ListLabel321">
    <w:name w:val="ListLabel 321"/>
    <w:qFormat/>
    <w:rPr>
      <w:rFonts w:cs="Times New Roman"/>
    </w:rPr>
  </w:style>
  <w:style w:type="character" w:styleId="ListLabel322">
    <w:name w:val="ListLabel 322"/>
    <w:qFormat/>
    <w:rPr>
      <w:rFonts w:cs="Times New Roman"/>
    </w:rPr>
  </w:style>
  <w:style w:type="character" w:styleId="ListLabel323">
    <w:name w:val="ListLabel 323"/>
    <w:qFormat/>
    <w:rPr>
      <w:rFonts w:cs="Times New Roman"/>
    </w:rPr>
  </w:style>
  <w:style w:type="character" w:styleId="ListLabel324">
    <w:name w:val="ListLabel 324"/>
    <w:qFormat/>
    <w:rPr>
      <w:rFonts w:cs="Times New Roman"/>
    </w:rPr>
  </w:style>
  <w:style w:type="character" w:styleId="ListLabel325">
    <w:name w:val="ListLabel 325"/>
    <w:qFormat/>
    <w:rPr>
      <w:rFonts w:ascii="Times New Roman" w:hAnsi="Times New Roman" w:cs="Times New Roman"/>
      <w:sz w:val="22"/>
    </w:rPr>
  </w:style>
  <w:style w:type="character" w:styleId="ListLabel326">
    <w:name w:val="ListLabel 326"/>
    <w:qFormat/>
    <w:rPr>
      <w:rFonts w:cs="Times New Roman"/>
    </w:rPr>
  </w:style>
  <w:style w:type="character" w:styleId="ListLabel327">
    <w:name w:val="ListLabel 327"/>
    <w:qFormat/>
    <w:rPr>
      <w:rFonts w:cs="Times New Roman"/>
    </w:rPr>
  </w:style>
  <w:style w:type="character" w:styleId="ListLabel328">
    <w:name w:val="ListLabel 328"/>
    <w:qFormat/>
    <w:rPr>
      <w:rFonts w:cs="Times New Roman"/>
    </w:rPr>
  </w:style>
  <w:style w:type="character" w:styleId="ListLabel329">
    <w:name w:val="ListLabel 329"/>
    <w:qFormat/>
    <w:rPr>
      <w:rFonts w:cs="Times New Roman"/>
    </w:rPr>
  </w:style>
  <w:style w:type="character" w:styleId="ListLabel330">
    <w:name w:val="ListLabel 330"/>
    <w:qFormat/>
    <w:rPr>
      <w:rFonts w:cs="Times New Roman"/>
    </w:rPr>
  </w:style>
  <w:style w:type="character" w:styleId="ListLabel331">
    <w:name w:val="ListLabel 331"/>
    <w:qFormat/>
    <w:rPr>
      <w:rFonts w:cs="Times New Roman"/>
    </w:rPr>
  </w:style>
  <w:style w:type="character" w:styleId="ListLabel332">
    <w:name w:val="ListLabel 332"/>
    <w:qFormat/>
    <w:rPr>
      <w:rFonts w:cs="Times New Roman"/>
    </w:rPr>
  </w:style>
  <w:style w:type="character" w:styleId="ListLabel333">
    <w:name w:val="ListLabel 333"/>
    <w:qFormat/>
    <w:rPr>
      <w:rFonts w:cs="Times New Roman"/>
    </w:rPr>
  </w:style>
  <w:style w:type="character" w:styleId="ListLabel334">
    <w:name w:val="ListLabel 334"/>
    <w:qFormat/>
    <w:rPr>
      <w:rFonts w:ascii="Times New Roman" w:hAnsi="Times New Roman" w:cs="Times New Roman"/>
      <w:sz w:val="22"/>
    </w:rPr>
  </w:style>
  <w:style w:type="character" w:styleId="ListLabel335">
    <w:name w:val="ListLabel 335"/>
    <w:qFormat/>
    <w:rPr>
      <w:rFonts w:cs="Times New Roman"/>
    </w:rPr>
  </w:style>
  <w:style w:type="character" w:styleId="ListLabel336">
    <w:name w:val="ListLabel 336"/>
    <w:qFormat/>
    <w:rPr>
      <w:rFonts w:cs="Times New Roman"/>
    </w:rPr>
  </w:style>
  <w:style w:type="character" w:styleId="ListLabel337">
    <w:name w:val="ListLabel 337"/>
    <w:qFormat/>
    <w:rPr>
      <w:rFonts w:cs="Times New Roman"/>
    </w:rPr>
  </w:style>
  <w:style w:type="character" w:styleId="ListLabel338">
    <w:name w:val="ListLabel 338"/>
    <w:qFormat/>
    <w:rPr>
      <w:rFonts w:cs="Times New Roman"/>
    </w:rPr>
  </w:style>
  <w:style w:type="character" w:styleId="ListLabel339">
    <w:name w:val="ListLabel 339"/>
    <w:qFormat/>
    <w:rPr>
      <w:rFonts w:cs="Times New Roman"/>
    </w:rPr>
  </w:style>
  <w:style w:type="character" w:styleId="ListLabel340">
    <w:name w:val="ListLabel 340"/>
    <w:qFormat/>
    <w:rPr>
      <w:rFonts w:cs="Times New Roman"/>
    </w:rPr>
  </w:style>
  <w:style w:type="character" w:styleId="ListLabel341">
    <w:name w:val="ListLabel 341"/>
    <w:qFormat/>
    <w:rPr>
      <w:rFonts w:cs="Times New Roman"/>
    </w:rPr>
  </w:style>
  <w:style w:type="character" w:styleId="ListLabel342">
    <w:name w:val="ListLabel 342"/>
    <w:qFormat/>
    <w:rPr>
      <w:rFonts w:cs="Times New Roman"/>
    </w:rPr>
  </w:style>
  <w:style w:type="character" w:styleId="ListLabel343">
    <w:name w:val="ListLabel 343"/>
    <w:qFormat/>
    <w:rPr>
      <w:rFonts w:ascii="Times New Roman CE" w:hAnsi="Times New Roman CE" w:cs="Times New Roman"/>
      <w:sz w:val="22"/>
    </w:rPr>
  </w:style>
  <w:style w:type="character" w:styleId="ListLabel344">
    <w:name w:val="ListLabel 344"/>
    <w:qFormat/>
    <w:rPr>
      <w:rFonts w:cs="Times New Roman"/>
    </w:rPr>
  </w:style>
  <w:style w:type="character" w:styleId="ListLabel345">
    <w:name w:val="ListLabel 345"/>
    <w:qFormat/>
    <w:rPr>
      <w:rFonts w:cs="Times New Roman"/>
    </w:rPr>
  </w:style>
  <w:style w:type="character" w:styleId="ListLabel346">
    <w:name w:val="ListLabel 346"/>
    <w:qFormat/>
    <w:rPr>
      <w:rFonts w:cs="Times New Roman"/>
    </w:rPr>
  </w:style>
  <w:style w:type="character" w:styleId="ListLabel347">
    <w:name w:val="ListLabel 347"/>
    <w:qFormat/>
    <w:rPr>
      <w:rFonts w:cs="Times New Roman"/>
    </w:rPr>
  </w:style>
  <w:style w:type="character" w:styleId="ListLabel348">
    <w:name w:val="ListLabel 348"/>
    <w:qFormat/>
    <w:rPr>
      <w:rFonts w:cs="Times New Roman"/>
    </w:rPr>
  </w:style>
  <w:style w:type="character" w:styleId="ListLabel349">
    <w:name w:val="ListLabel 349"/>
    <w:qFormat/>
    <w:rPr>
      <w:rFonts w:cs="Times New Roman"/>
    </w:rPr>
  </w:style>
  <w:style w:type="character" w:styleId="ListLabel350">
    <w:name w:val="ListLabel 350"/>
    <w:qFormat/>
    <w:rPr>
      <w:rFonts w:cs="Times New Roman"/>
    </w:rPr>
  </w:style>
  <w:style w:type="character" w:styleId="ListLabel351">
    <w:name w:val="ListLabel 351"/>
    <w:qFormat/>
    <w:rPr>
      <w:rFonts w:cs="Times New Roman"/>
    </w:rPr>
  </w:style>
  <w:style w:type="character" w:styleId="ListLabel352">
    <w:name w:val="ListLabel 352"/>
    <w:qFormat/>
    <w:rPr>
      <w:rFonts w:ascii="Times New Roman CE" w:hAnsi="Times New Roman CE" w:cs="Times New Roman"/>
      <w:sz w:val="22"/>
    </w:rPr>
  </w:style>
  <w:style w:type="character" w:styleId="ListLabel353">
    <w:name w:val="ListLabel 353"/>
    <w:qFormat/>
    <w:rPr>
      <w:rFonts w:cs="Times New Roman"/>
    </w:rPr>
  </w:style>
  <w:style w:type="character" w:styleId="ListLabel354">
    <w:name w:val="ListLabel 354"/>
    <w:qFormat/>
    <w:rPr>
      <w:rFonts w:cs="Times New Roman"/>
    </w:rPr>
  </w:style>
  <w:style w:type="character" w:styleId="ListLabel355">
    <w:name w:val="ListLabel 355"/>
    <w:qFormat/>
    <w:rPr>
      <w:rFonts w:cs="Times New Roman"/>
    </w:rPr>
  </w:style>
  <w:style w:type="character" w:styleId="ListLabel356">
    <w:name w:val="ListLabel 356"/>
    <w:qFormat/>
    <w:rPr>
      <w:rFonts w:cs="Times New Roman"/>
    </w:rPr>
  </w:style>
  <w:style w:type="character" w:styleId="ListLabel357">
    <w:name w:val="ListLabel 357"/>
    <w:qFormat/>
    <w:rPr>
      <w:rFonts w:cs="Times New Roman"/>
    </w:rPr>
  </w:style>
  <w:style w:type="character" w:styleId="ListLabel358">
    <w:name w:val="ListLabel 358"/>
    <w:qFormat/>
    <w:rPr>
      <w:rFonts w:cs="Times New Roman"/>
    </w:rPr>
  </w:style>
  <w:style w:type="character" w:styleId="ListLabel359">
    <w:name w:val="ListLabel 359"/>
    <w:qFormat/>
    <w:rPr>
      <w:rFonts w:cs="Times New Roman"/>
    </w:rPr>
  </w:style>
  <w:style w:type="character" w:styleId="ListLabel360">
    <w:name w:val="ListLabel 360"/>
    <w:qFormat/>
    <w:rPr>
      <w:rFonts w:cs="Times New Roman"/>
    </w:rPr>
  </w:style>
  <w:style w:type="character" w:styleId="ListLabel361">
    <w:name w:val="ListLabel 361"/>
    <w:qFormat/>
    <w:rPr>
      <w:rFonts w:ascii="Times New Roman" w:hAnsi="Times New Roman" w:cs="Times New Roman"/>
      <w:sz w:val="22"/>
    </w:rPr>
  </w:style>
  <w:style w:type="character" w:styleId="ListLabel362">
    <w:name w:val="ListLabel 362"/>
    <w:qFormat/>
    <w:rPr>
      <w:rFonts w:cs="Times New Roman"/>
    </w:rPr>
  </w:style>
  <w:style w:type="character" w:styleId="ListLabel363">
    <w:name w:val="ListLabel 363"/>
    <w:qFormat/>
    <w:rPr>
      <w:rFonts w:cs="Times New Roman"/>
    </w:rPr>
  </w:style>
  <w:style w:type="character" w:styleId="ListLabel364">
    <w:name w:val="ListLabel 364"/>
    <w:qFormat/>
    <w:rPr>
      <w:rFonts w:cs="Times New Roman"/>
    </w:rPr>
  </w:style>
  <w:style w:type="character" w:styleId="ListLabel365">
    <w:name w:val="ListLabel 365"/>
    <w:qFormat/>
    <w:rPr>
      <w:rFonts w:cs="Times New Roman"/>
    </w:rPr>
  </w:style>
  <w:style w:type="character" w:styleId="ListLabel366">
    <w:name w:val="ListLabel 366"/>
    <w:qFormat/>
    <w:rPr>
      <w:rFonts w:cs="Times New Roman"/>
    </w:rPr>
  </w:style>
  <w:style w:type="character" w:styleId="ListLabel367">
    <w:name w:val="ListLabel 367"/>
    <w:qFormat/>
    <w:rPr>
      <w:rFonts w:cs="Times New Roman"/>
    </w:rPr>
  </w:style>
  <w:style w:type="character" w:styleId="ListLabel368">
    <w:name w:val="ListLabel 368"/>
    <w:qFormat/>
    <w:rPr>
      <w:rFonts w:cs="Times New Roman"/>
    </w:rPr>
  </w:style>
  <w:style w:type="character" w:styleId="ListLabel369">
    <w:name w:val="ListLabel 369"/>
    <w:qFormat/>
    <w:rPr>
      <w:rFonts w:cs="Times New Roman"/>
    </w:rPr>
  </w:style>
  <w:style w:type="character" w:styleId="ListLabel370">
    <w:name w:val="ListLabel 370"/>
    <w:qFormat/>
    <w:rPr>
      <w:rFonts w:ascii="Times New Roman CE" w:hAnsi="Times New Roman CE" w:cs="Times New Roman"/>
      <w:sz w:val="22"/>
    </w:rPr>
  </w:style>
  <w:style w:type="character" w:styleId="ListLabel371">
    <w:name w:val="ListLabel 371"/>
    <w:qFormat/>
    <w:rPr>
      <w:rFonts w:cs="Times New Roman"/>
    </w:rPr>
  </w:style>
  <w:style w:type="character" w:styleId="ListLabel372">
    <w:name w:val="ListLabel 372"/>
    <w:qFormat/>
    <w:rPr>
      <w:rFonts w:cs="Times New Roman"/>
    </w:rPr>
  </w:style>
  <w:style w:type="character" w:styleId="ListLabel373">
    <w:name w:val="ListLabel 373"/>
    <w:qFormat/>
    <w:rPr>
      <w:rFonts w:cs="Times New Roman"/>
    </w:rPr>
  </w:style>
  <w:style w:type="character" w:styleId="ListLabel374">
    <w:name w:val="ListLabel 374"/>
    <w:qFormat/>
    <w:rPr>
      <w:rFonts w:cs="Times New Roman"/>
    </w:rPr>
  </w:style>
  <w:style w:type="character" w:styleId="ListLabel375">
    <w:name w:val="ListLabel 375"/>
    <w:qFormat/>
    <w:rPr>
      <w:rFonts w:cs="Times New Roman"/>
    </w:rPr>
  </w:style>
  <w:style w:type="character" w:styleId="ListLabel376">
    <w:name w:val="ListLabel 376"/>
    <w:qFormat/>
    <w:rPr>
      <w:rFonts w:cs="Times New Roman"/>
    </w:rPr>
  </w:style>
  <w:style w:type="character" w:styleId="ListLabel377">
    <w:name w:val="ListLabel 377"/>
    <w:qFormat/>
    <w:rPr>
      <w:rFonts w:cs="Times New Roman"/>
    </w:rPr>
  </w:style>
  <w:style w:type="character" w:styleId="ListLabel378">
    <w:name w:val="ListLabel 378"/>
    <w:qFormat/>
    <w:rPr>
      <w:rFonts w:cs="Times New Roman"/>
    </w:rPr>
  </w:style>
  <w:style w:type="character" w:styleId="ListLabel379">
    <w:name w:val="ListLabel 379"/>
    <w:qFormat/>
    <w:rPr>
      <w:rFonts w:ascii="Times New Roman" w:hAnsi="Times New Roman" w:cs="Times New Roman"/>
      <w:sz w:val="22"/>
    </w:rPr>
  </w:style>
  <w:style w:type="character" w:styleId="ListLabel380">
    <w:name w:val="ListLabel 380"/>
    <w:qFormat/>
    <w:rPr>
      <w:rFonts w:cs="Times New Roman"/>
    </w:rPr>
  </w:style>
  <w:style w:type="character" w:styleId="ListLabel381">
    <w:name w:val="ListLabel 381"/>
    <w:qFormat/>
    <w:rPr>
      <w:rFonts w:cs="Times New Roman"/>
    </w:rPr>
  </w:style>
  <w:style w:type="character" w:styleId="ListLabel382">
    <w:name w:val="ListLabel 382"/>
    <w:qFormat/>
    <w:rPr>
      <w:rFonts w:cs="Times New Roman"/>
    </w:rPr>
  </w:style>
  <w:style w:type="character" w:styleId="ListLabel383">
    <w:name w:val="ListLabel 383"/>
    <w:qFormat/>
    <w:rPr>
      <w:rFonts w:cs="Times New Roman"/>
    </w:rPr>
  </w:style>
  <w:style w:type="character" w:styleId="ListLabel384">
    <w:name w:val="ListLabel 384"/>
    <w:qFormat/>
    <w:rPr>
      <w:rFonts w:cs="Times New Roman"/>
    </w:rPr>
  </w:style>
  <w:style w:type="character" w:styleId="ListLabel385">
    <w:name w:val="ListLabel 385"/>
    <w:qFormat/>
    <w:rPr>
      <w:rFonts w:cs="Times New Roman"/>
    </w:rPr>
  </w:style>
  <w:style w:type="character" w:styleId="ListLabel386">
    <w:name w:val="ListLabel 386"/>
    <w:qFormat/>
    <w:rPr>
      <w:rFonts w:cs="Times New Roman"/>
    </w:rPr>
  </w:style>
  <w:style w:type="character" w:styleId="ListLabel387">
    <w:name w:val="ListLabel 387"/>
    <w:qFormat/>
    <w:rPr>
      <w:rFonts w:cs="Times New Roman"/>
    </w:rPr>
  </w:style>
  <w:style w:type="character" w:styleId="ListLabel388">
    <w:name w:val="ListLabel 388"/>
    <w:qFormat/>
    <w:rPr>
      <w:rFonts w:ascii="Times New Roman" w:hAnsi="Times New Roman" w:cs="Times New Roman"/>
      <w:b/>
      <w:sz w:val="22"/>
    </w:rPr>
  </w:style>
  <w:style w:type="character" w:styleId="ListLabel389">
    <w:name w:val="ListLabel 389"/>
    <w:qFormat/>
    <w:rPr>
      <w:rFonts w:cs="Times New Roman"/>
    </w:rPr>
  </w:style>
  <w:style w:type="character" w:styleId="ListLabel390">
    <w:name w:val="ListLabel 390"/>
    <w:qFormat/>
    <w:rPr>
      <w:rFonts w:cs="Times New Roman"/>
    </w:rPr>
  </w:style>
  <w:style w:type="character" w:styleId="ListLabel391">
    <w:name w:val="ListLabel 391"/>
    <w:qFormat/>
    <w:rPr>
      <w:rFonts w:cs="Times New Roman"/>
    </w:rPr>
  </w:style>
  <w:style w:type="character" w:styleId="ListLabel392">
    <w:name w:val="ListLabel 392"/>
    <w:qFormat/>
    <w:rPr>
      <w:rFonts w:cs="Times New Roman"/>
    </w:rPr>
  </w:style>
  <w:style w:type="character" w:styleId="ListLabel393">
    <w:name w:val="ListLabel 393"/>
    <w:qFormat/>
    <w:rPr>
      <w:rFonts w:cs="Times New Roman"/>
    </w:rPr>
  </w:style>
  <w:style w:type="character" w:styleId="ListLabel394">
    <w:name w:val="ListLabel 394"/>
    <w:qFormat/>
    <w:rPr>
      <w:rFonts w:cs="Times New Roman"/>
    </w:rPr>
  </w:style>
  <w:style w:type="character" w:styleId="ListLabel395">
    <w:name w:val="ListLabel 395"/>
    <w:qFormat/>
    <w:rPr>
      <w:rFonts w:cs="Times New Roman"/>
    </w:rPr>
  </w:style>
  <w:style w:type="character" w:styleId="ListLabel396">
    <w:name w:val="ListLabel 396"/>
    <w:qFormat/>
    <w:rPr>
      <w:rFonts w:cs="Times New Roman"/>
    </w:rPr>
  </w:style>
  <w:style w:type="character" w:styleId="ListLabel397">
    <w:name w:val="ListLabel 397"/>
    <w:qFormat/>
    <w:rPr>
      <w:rFonts w:ascii="Times New Roman" w:hAnsi="Times New Roman" w:cs="Times New Roman"/>
      <w:sz w:val="22"/>
    </w:rPr>
  </w:style>
  <w:style w:type="character" w:styleId="ListLabel398">
    <w:name w:val="ListLabel 398"/>
    <w:qFormat/>
    <w:rPr>
      <w:rFonts w:cs="Times New Roman"/>
    </w:rPr>
  </w:style>
  <w:style w:type="character" w:styleId="ListLabel399">
    <w:name w:val="ListLabel 399"/>
    <w:qFormat/>
    <w:rPr>
      <w:rFonts w:cs="Times New Roman"/>
    </w:rPr>
  </w:style>
  <w:style w:type="character" w:styleId="ListLabel400">
    <w:name w:val="ListLabel 400"/>
    <w:qFormat/>
    <w:rPr>
      <w:rFonts w:cs="Times New Roman"/>
    </w:rPr>
  </w:style>
  <w:style w:type="character" w:styleId="ListLabel401">
    <w:name w:val="ListLabel 401"/>
    <w:qFormat/>
    <w:rPr>
      <w:rFonts w:cs="Times New Roman"/>
    </w:rPr>
  </w:style>
  <w:style w:type="character" w:styleId="ListLabel402">
    <w:name w:val="ListLabel 402"/>
    <w:qFormat/>
    <w:rPr>
      <w:rFonts w:cs="Times New Roman"/>
    </w:rPr>
  </w:style>
  <w:style w:type="character" w:styleId="ListLabel403">
    <w:name w:val="ListLabel 403"/>
    <w:qFormat/>
    <w:rPr>
      <w:rFonts w:cs="Times New Roman"/>
    </w:rPr>
  </w:style>
  <w:style w:type="character" w:styleId="ListLabel404">
    <w:name w:val="ListLabel 404"/>
    <w:qFormat/>
    <w:rPr>
      <w:rFonts w:cs="Times New Roman"/>
    </w:rPr>
  </w:style>
  <w:style w:type="character" w:styleId="ListLabel405">
    <w:name w:val="ListLabel 405"/>
    <w:qFormat/>
    <w:rPr>
      <w:rFonts w:cs="Times New Roman"/>
    </w:rPr>
  </w:style>
  <w:style w:type="character" w:styleId="ListLabel406">
    <w:name w:val="ListLabel 406"/>
    <w:qFormat/>
    <w:rPr>
      <w:rFonts w:ascii="Times New Roman" w:hAnsi="Times New Roman" w:cs="Times New Roman"/>
      <w:sz w:val="22"/>
    </w:rPr>
  </w:style>
  <w:style w:type="character" w:styleId="ListLabel407">
    <w:name w:val="ListLabel 407"/>
    <w:qFormat/>
    <w:rPr>
      <w:rFonts w:cs="Times New Roman"/>
    </w:rPr>
  </w:style>
  <w:style w:type="character" w:styleId="ListLabel408">
    <w:name w:val="ListLabel 408"/>
    <w:qFormat/>
    <w:rPr>
      <w:rFonts w:cs="Times New Roman"/>
    </w:rPr>
  </w:style>
  <w:style w:type="character" w:styleId="ListLabel409">
    <w:name w:val="ListLabel 409"/>
    <w:qFormat/>
    <w:rPr>
      <w:rFonts w:cs="Times New Roman"/>
    </w:rPr>
  </w:style>
  <w:style w:type="character" w:styleId="ListLabel410">
    <w:name w:val="ListLabel 410"/>
    <w:qFormat/>
    <w:rPr>
      <w:rFonts w:cs="Times New Roman"/>
    </w:rPr>
  </w:style>
  <w:style w:type="character" w:styleId="ListLabel411">
    <w:name w:val="ListLabel 411"/>
    <w:qFormat/>
    <w:rPr>
      <w:rFonts w:cs="Times New Roman"/>
    </w:rPr>
  </w:style>
  <w:style w:type="character" w:styleId="ListLabel412">
    <w:name w:val="ListLabel 412"/>
    <w:qFormat/>
    <w:rPr>
      <w:rFonts w:cs="Times New Roman"/>
    </w:rPr>
  </w:style>
  <w:style w:type="character" w:styleId="ListLabel413">
    <w:name w:val="ListLabel 413"/>
    <w:qFormat/>
    <w:rPr>
      <w:rFonts w:cs="Times New Roman"/>
    </w:rPr>
  </w:style>
  <w:style w:type="character" w:styleId="ListLabel414">
    <w:name w:val="ListLabel 414"/>
    <w:qFormat/>
    <w:rPr>
      <w:rFonts w:cs="Times New Roman"/>
    </w:rPr>
  </w:style>
  <w:style w:type="character" w:styleId="ListLabel415">
    <w:name w:val="ListLabel 415"/>
    <w:qFormat/>
    <w:rPr>
      <w:rFonts w:ascii="Times New Roman" w:hAnsi="Times New Roman" w:cs="Times New Roman"/>
      <w:sz w:val="22"/>
    </w:rPr>
  </w:style>
  <w:style w:type="character" w:styleId="ListLabel416">
    <w:name w:val="ListLabel 416"/>
    <w:qFormat/>
    <w:rPr>
      <w:rFonts w:cs="Times New Roman"/>
    </w:rPr>
  </w:style>
  <w:style w:type="character" w:styleId="ListLabel417">
    <w:name w:val="ListLabel 417"/>
    <w:qFormat/>
    <w:rPr>
      <w:rFonts w:cs="Times New Roman"/>
    </w:rPr>
  </w:style>
  <w:style w:type="character" w:styleId="ListLabel418">
    <w:name w:val="ListLabel 418"/>
    <w:qFormat/>
    <w:rPr>
      <w:rFonts w:cs="Times New Roman"/>
    </w:rPr>
  </w:style>
  <w:style w:type="character" w:styleId="ListLabel419">
    <w:name w:val="ListLabel 419"/>
    <w:qFormat/>
    <w:rPr>
      <w:rFonts w:cs="Times New Roman"/>
    </w:rPr>
  </w:style>
  <w:style w:type="character" w:styleId="ListLabel420">
    <w:name w:val="ListLabel 420"/>
    <w:qFormat/>
    <w:rPr>
      <w:rFonts w:cs="Times New Roman"/>
    </w:rPr>
  </w:style>
  <w:style w:type="character" w:styleId="ListLabel421">
    <w:name w:val="ListLabel 421"/>
    <w:qFormat/>
    <w:rPr>
      <w:rFonts w:cs="Times New Roman"/>
    </w:rPr>
  </w:style>
  <w:style w:type="character" w:styleId="ListLabel422">
    <w:name w:val="ListLabel 422"/>
    <w:qFormat/>
    <w:rPr>
      <w:rFonts w:cs="Times New Roman"/>
    </w:rPr>
  </w:style>
  <w:style w:type="character" w:styleId="ListLabel423">
    <w:name w:val="ListLabel 423"/>
    <w:qFormat/>
    <w:rPr>
      <w:rFonts w:cs="Times New Roman"/>
    </w:rPr>
  </w:style>
  <w:style w:type="character" w:styleId="ListLabel424">
    <w:name w:val="ListLabel 424"/>
    <w:qFormat/>
    <w:rPr>
      <w:rFonts w:ascii="Times New Roman" w:hAnsi="Times New Roman" w:cs="Times New Roman"/>
      <w:sz w:val="22"/>
    </w:rPr>
  </w:style>
  <w:style w:type="character" w:styleId="ListLabel425">
    <w:name w:val="ListLabel 425"/>
    <w:qFormat/>
    <w:rPr>
      <w:rFonts w:cs="Times New Roman"/>
    </w:rPr>
  </w:style>
  <w:style w:type="character" w:styleId="ListLabel426">
    <w:name w:val="ListLabel 426"/>
    <w:qFormat/>
    <w:rPr>
      <w:rFonts w:cs="Times New Roman"/>
    </w:rPr>
  </w:style>
  <w:style w:type="character" w:styleId="ListLabel427">
    <w:name w:val="ListLabel 427"/>
    <w:qFormat/>
    <w:rPr>
      <w:rFonts w:cs="Times New Roman"/>
    </w:rPr>
  </w:style>
  <w:style w:type="character" w:styleId="ListLabel428">
    <w:name w:val="ListLabel 428"/>
    <w:qFormat/>
    <w:rPr>
      <w:rFonts w:cs="Times New Roman"/>
    </w:rPr>
  </w:style>
  <w:style w:type="character" w:styleId="ListLabel429">
    <w:name w:val="ListLabel 429"/>
    <w:qFormat/>
    <w:rPr>
      <w:rFonts w:cs="Times New Roman"/>
    </w:rPr>
  </w:style>
  <w:style w:type="character" w:styleId="ListLabel430">
    <w:name w:val="ListLabel 430"/>
    <w:qFormat/>
    <w:rPr>
      <w:rFonts w:cs="Times New Roman"/>
    </w:rPr>
  </w:style>
  <w:style w:type="character" w:styleId="ListLabel431">
    <w:name w:val="ListLabel 431"/>
    <w:qFormat/>
    <w:rPr>
      <w:rFonts w:cs="Times New Roman"/>
    </w:rPr>
  </w:style>
  <w:style w:type="character" w:styleId="ListLabel432">
    <w:name w:val="ListLabel 432"/>
    <w:qFormat/>
    <w:rPr>
      <w:rFonts w:cs="Times New Roman"/>
    </w:rPr>
  </w:style>
  <w:style w:type="character" w:styleId="ListLabel433">
    <w:name w:val="ListLabel 433"/>
    <w:qFormat/>
    <w:rPr>
      <w:rFonts w:ascii="Times New Roman" w:hAnsi="Times New Roman" w:cs="Times New Roman"/>
      <w:sz w:val="22"/>
    </w:rPr>
  </w:style>
  <w:style w:type="character" w:styleId="ListLabel434">
    <w:name w:val="ListLabel 434"/>
    <w:qFormat/>
    <w:rPr>
      <w:rFonts w:cs="Times New Roman"/>
    </w:rPr>
  </w:style>
  <w:style w:type="character" w:styleId="ListLabel435">
    <w:name w:val="ListLabel 435"/>
    <w:qFormat/>
    <w:rPr>
      <w:rFonts w:cs="Times New Roman"/>
    </w:rPr>
  </w:style>
  <w:style w:type="character" w:styleId="ListLabel436">
    <w:name w:val="ListLabel 436"/>
    <w:qFormat/>
    <w:rPr>
      <w:rFonts w:cs="Times New Roman"/>
    </w:rPr>
  </w:style>
  <w:style w:type="character" w:styleId="ListLabel437">
    <w:name w:val="ListLabel 437"/>
    <w:qFormat/>
    <w:rPr>
      <w:rFonts w:cs="Times New Roman"/>
    </w:rPr>
  </w:style>
  <w:style w:type="character" w:styleId="ListLabel438">
    <w:name w:val="ListLabel 438"/>
    <w:qFormat/>
    <w:rPr>
      <w:rFonts w:cs="Times New Roman"/>
    </w:rPr>
  </w:style>
  <w:style w:type="character" w:styleId="ListLabel439">
    <w:name w:val="ListLabel 439"/>
    <w:qFormat/>
    <w:rPr>
      <w:rFonts w:cs="Times New Roman"/>
    </w:rPr>
  </w:style>
  <w:style w:type="character" w:styleId="ListLabel440">
    <w:name w:val="ListLabel 440"/>
    <w:qFormat/>
    <w:rPr>
      <w:rFonts w:cs="Times New Roman"/>
    </w:rPr>
  </w:style>
  <w:style w:type="character" w:styleId="ListLabel441">
    <w:name w:val="ListLabel 441"/>
    <w:qFormat/>
    <w:rPr>
      <w:rFonts w:cs="Times New Roman"/>
    </w:rPr>
  </w:style>
  <w:style w:type="character" w:styleId="ListLabel442">
    <w:name w:val="ListLabel 442"/>
    <w:qFormat/>
    <w:rPr>
      <w:rFonts w:ascii="Times New Roman" w:hAnsi="Times New Roman" w:cs="Times New Roman"/>
      <w:sz w:val="22"/>
    </w:rPr>
  </w:style>
  <w:style w:type="character" w:styleId="ListLabel443">
    <w:name w:val="ListLabel 443"/>
    <w:qFormat/>
    <w:rPr>
      <w:rFonts w:cs="Times New Roman"/>
    </w:rPr>
  </w:style>
  <w:style w:type="character" w:styleId="ListLabel444">
    <w:name w:val="ListLabel 444"/>
    <w:qFormat/>
    <w:rPr>
      <w:rFonts w:cs="Times New Roman"/>
    </w:rPr>
  </w:style>
  <w:style w:type="character" w:styleId="ListLabel445">
    <w:name w:val="ListLabel 445"/>
    <w:qFormat/>
    <w:rPr>
      <w:rFonts w:cs="Times New Roman"/>
    </w:rPr>
  </w:style>
  <w:style w:type="character" w:styleId="ListLabel446">
    <w:name w:val="ListLabel 446"/>
    <w:qFormat/>
    <w:rPr>
      <w:rFonts w:cs="Times New Roman"/>
    </w:rPr>
  </w:style>
  <w:style w:type="character" w:styleId="ListLabel447">
    <w:name w:val="ListLabel 447"/>
    <w:qFormat/>
    <w:rPr>
      <w:rFonts w:cs="Times New Roman"/>
    </w:rPr>
  </w:style>
  <w:style w:type="character" w:styleId="ListLabel448">
    <w:name w:val="ListLabel 448"/>
    <w:qFormat/>
    <w:rPr>
      <w:rFonts w:cs="Times New Roman"/>
    </w:rPr>
  </w:style>
  <w:style w:type="character" w:styleId="ListLabel449">
    <w:name w:val="ListLabel 449"/>
    <w:qFormat/>
    <w:rPr>
      <w:rFonts w:cs="Times New Roman"/>
    </w:rPr>
  </w:style>
  <w:style w:type="character" w:styleId="ListLabel450">
    <w:name w:val="ListLabel 450"/>
    <w:qFormat/>
    <w:rPr>
      <w:rFonts w:cs="Times New Roman"/>
    </w:rPr>
  </w:style>
  <w:style w:type="character" w:styleId="ListLabel451">
    <w:name w:val="ListLabel 451"/>
    <w:qFormat/>
    <w:rPr>
      <w:rFonts w:ascii="Times New Roman" w:hAnsi="Times New Roman" w:cs="Times New Roman"/>
      <w:sz w:val="22"/>
    </w:rPr>
  </w:style>
  <w:style w:type="character" w:styleId="ListLabel452">
    <w:name w:val="ListLabel 452"/>
    <w:qFormat/>
    <w:rPr>
      <w:rFonts w:cs="Times New Roman"/>
    </w:rPr>
  </w:style>
  <w:style w:type="character" w:styleId="ListLabel453">
    <w:name w:val="ListLabel 453"/>
    <w:qFormat/>
    <w:rPr>
      <w:rFonts w:cs="Times New Roman"/>
    </w:rPr>
  </w:style>
  <w:style w:type="character" w:styleId="ListLabel454">
    <w:name w:val="ListLabel 454"/>
    <w:qFormat/>
    <w:rPr>
      <w:rFonts w:cs="Times New Roman"/>
    </w:rPr>
  </w:style>
  <w:style w:type="character" w:styleId="ListLabel455">
    <w:name w:val="ListLabel 455"/>
    <w:qFormat/>
    <w:rPr>
      <w:rFonts w:cs="Times New Roman"/>
    </w:rPr>
  </w:style>
  <w:style w:type="character" w:styleId="ListLabel456">
    <w:name w:val="ListLabel 456"/>
    <w:qFormat/>
    <w:rPr>
      <w:rFonts w:cs="Times New Roman"/>
    </w:rPr>
  </w:style>
  <w:style w:type="character" w:styleId="ListLabel457">
    <w:name w:val="ListLabel 457"/>
    <w:qFormat/>
    <w:rPr>
      <w:rFonts w:cs="Times New Roman"/>
    </w:rPr>
  </w:style>
  <w:style w:type="character" w:styleId="ListLabel458">
    <w:name w:val="ListLabel 458"/>
    <w:qFormat/>
    <w:rPr>
      <w:rFonts w:cs="Times New Roman"/>
    </w:rPr>
  </w:style>
  <w:style w:type="character" w:styleId="ListLabel459">
    <w:name w:val="ListLabel 459"/>
    <w:qFormat/>
    <w:rPr>
      <w:rFonts w:cs="Times New Roman"/>
    </w:rPr>
  </w:style>
  <w:style w:type="character" w:styleId="ListLabel460">
    <w:name w:val="ListLabel 460"/>
    <w:qFormat/>
    <w:rPr>
      <w:rFonts w:ascii="Times New Roman CE" w:hAnsi="Times New Roman CE" w:cs="Times New Roman"/>
      <w:sz w:val="22"/>
    </w:rPr>
  </w:style>
  <w:style w:type="character" w:styleId="ListLabel461">
    <w:name w:val="ListLabel 461"/>
    <w:qFormat/>
    <w:rPr>
      <w:rFonts w:cs="Times New Roman"/>
    </w:rPr>
  </w:style>
  <w:style w:type="character" w:styleId="ListLabel462">
    <w:name w:val="ListLabel 462"/>
    <w:qFormat/>
    <w:rPr>
      <w:rFonts w:cs="Times New Roman"/>
    </w:rPr>
  </w:style>
  <w:style w:type="character" w:styleId="ListLabel463">
    <w:name w:val="ListLabel 463"/>
    <w:qFormat/>
    <w:rPr>
      <w:rFonts w:cs="Times New Roman"/>
    </w:rPr>
  </w:style>
  <w:style w:type="character" w:styleId="ListLabel464">
    <w:name w:val="ListLabel 464"/>
    <w:qFormat/>
    <w:rPr>
      <w:rFonts w:cs="Times New Roman"/>
    </w:rPr>
  </w:style>
  <w:style w:type="character" w:styleId="ListLabel465">
    <w:name w:val="ListLabel 465"/>
    <w:qFormat/>
    <w:rPr>
      <w:rFonts w:cs="Times New Roman"/>
    </w:rPr>
  </w:style>
  <w:style w:type="character" w:styleId="ListLabel466">
    <w:name w:val="ListLabel 466"/>
    <w:qFormat/>
    <w:rPr>
      <w:rFonts w:cs="Times New Roman"/>
    </w:rPr>
  </w:style>
  <w:style w:type="character" w:styleId="ListLabel467">
    <w:name w:val="ListLabel 467"/>
    <w:qFormat/>
    <w:rPr>
      <w:rFonts w:cs="Times New Roman"/>
    </w:rPr>
  </w:style>
  <w:style w:type="character" w:styleId="ListLabel468">
    <w:name w:val="ListLabel 468"/>
    <w:qFormat/>
    <w:rPr>
      <w:rFonts w:cs="Times New Roman"/>
    </w:rPr>
  </w:style>
  <w:style w:type="character" w:styleId="ListLabel469">
    <w:name w:val="ListLabel 469"/>
    <w:qFormat/>
    <w:rPr>
      <w:rFonts w:ascii="Times New Roman" w:hAnsi="Times New Roman" w:cs="Times New Roman"/>
      <w:sz w:val="22"/>
    </w:rPr>
  </w:style>
  <w:style w:type="character" w:styleId="ListLabel470">
    <w:name w:val="ListLabel 470"/>
    <w:qFormat/>
    <w:rPr>
      <w:rFonts w:cs="Times New Roman"/>
    </w:rPr>
  </w:style>
  <w:style w:type="character" w:styleId="ListLabel471">
    <w:name w:val="ListLabel 471"/>
    <w:qFormat/>
    <w:rPr>
      <w:rFonts w:cs="Times New Roman"/>
    </w:rPr>
  </w:style>
  <w:style w:type="character" w:styleId="ListLabel472">
    <w:name w:val="ListLabel 472"/>
    <w:qFormat/>
    <w:rPr>
      <w:rFonts w:cs="Times New Roman"/>
    </w:rPr>
  </w:style>
  <w:style w:type="character" w:styleId="ListLabel473">
    <w:name w:val="ListLabel 473"/>
    <w:qFormat/>
    <w:rPr>
      <w:rFonts w:cs="Times New Roman"/>
    </w:rPr>
  </w:style>
  <w:style w:type="character" w:styleId="ListLabel474">
    <w:name w:val="ListLabel 474"/>
    <w:qFormat/>
    <w:rPr>
      <w:rFonts w:cs="Times New Roman"/>
    </w:rPr>
  </w:style>
  <w:style w:type="character" w:styleId="ListLabel475">
    <w:name w:val="ListLabel 475"/>
    <w:qFormat/>
    <w:rPr>
      <w:rFonts w:cs="Times New Roman"/>
    </w:rPr>
  </w:style>
  <w:style w:type="character" w:styleId="ListLabel476">
    <w:name w:val="ListLabel 476"/>
    <w:qFormat/>
    <w:rPr>
      <w:rFonts w:cs="Times New Roman"/>
    </w:rPr>
  </w:style>
  <w:style w:type="character" w:styleId="ListLabel477">
    <w:name w:val="ListLabel 477"/>
    <w:qFormat/>
    <w:rPr>
      <w:rFonts w:cs="Times New Roman"/>
    </w:rPr>
  </w:style>
  <w:style w:type="character" w:styleId="ListLabel478">
    <w:name w:val="ListLabel 478"/>
    <w:qFormat/>
    <w:rPr>
      <w:rFonts w:ascii="Times New Roman" w:hAnsi="Times New Roman" w:cs="Times New Roman"/>
      <w:sz w:val="22"/>
    </w:rPr>
  </w:style>
  <w:style w:type="character" w:styleId="ListLabel479">
    <w:name w:val="ListLabel 479"/>
    <w:qFormat/>
    <w:rPr>
      <w:rFonts w:cs="Times New Roman"/>
    </w:rPr>
  </w:style>
  <w:style w:type="character" w:styleId="ListLabel480">
    <w:name w:val="ListLabel 480"/>
    <w:qFormat/>
    <w:rPr>
      <w:rFonts w:cs="Times New Roman"/>
    </w:rPr>
  </w:style>
  <w:style w:type="character" w:styleId="ListLabel481">
    <w:name w:val="ListLabel 481"/>
    <w:qFormat/>
    <w:rPr>
      <w:rFonts w:cs="Times New Roman"/>
    </w:rPr>
  </w:style>
  <w:style w:type="character" w:styleId="ListLabel482">
    <w:name w:val="ListLabel 482"/>
    <w:qFormat/>
    <w:rPr>
      <w:rFonts w:cs="Times New Roman"/>
    </w:rPr>
  </w:style>
  <w:style w:type="character" w:styleId="ListLabel483">
    <w:name w:val="ListLabel 483"/>
    <w:qFormat/>
    <w:rPr>
      <w:rFonts w:cs="Times New Roman"/>
    </w:rPr>
  </w:style>
  <w:style w:type="character" w:styleId="ListLabel484">
    <w:name w:val="ListLabel 484"/>
    <w:qFormat/>
    <w:rPr>
      <w:rFonts w:cs="Times New Roman"/>
    </w:rPr>
  </w:style>
  <w:style w:type="character" w:styleId="ListLabel485">
    <w:name w:val="ListLabel 485"/>
    <w:qFormat/>
    <w:rPr>
      <w:rFonts w:cs="Times New Roman"/>
    </w:rPr>
  </w:style>
  <w:style w:type="character" w:styleId="ListLabel486">
    <w:name w:val="ListLabel 486"/>
    <w:qFormat/>
    <w:rPr>
      <w:rFonts w:cs="Times New Roman"/>
    </w:rPr>
  </w:style>
  <w:style w:type="character" w:styleId="ListLabel487">
    <w:name w:val="ListLabel 487"/>
    <w:qFormat/>
    <w:rPr>
      <w:rFonts w:ascii="Times New Roman" w:hAnsi="Times New Roman" w:cs="Times New Roman"/>
      <w:sz w:val="22"/>
    </w:rPr>
  </w:style>
  <w:style w:type="character" w:styleId="ListLabel488">
    <w:name w:val="ListLabel 488"/>
    <w:qFormat/>
    <w:rPr>
      <w:rFonts w:cs="Times New Roman"/>
    </w:rPr>
  </w:style>
  <w:style w:type="character" w:styleId="ListLabel489">
    <w:name w:val="ListLabel 489"/>
    <w:qFormat/>
    <w:rPr>
      <w:rFonts w:cs="Times New Roman"/>
    </w:rPr>
  </w:style>
  <w:style w:type="character" w:styleId="ListLabel490">
    <w:name w:val="ListLabel 490"/>
    <w:qFormat/>
    <w:rPr>
      <w:rFonts w:cs="Times New Roman"/>
    </w:rPr>
  </w:style>
  <w:style w:type="character" w:styleId="ListLabel491">
    <w:name w:val="ListLabel 491"/>
    <w:qFormat/>
    <w:rPr>
      <w:rFonts w:cs="Times New Roman"/>
    </w:rPr>
  </w:style>
  <w:style w:type="character" w:styleId="ListLabel492">
    <w:name w:val="ListLabel 492"/>
    <w:qFormat/>
    <w:rPr>
      <w:rFonts w:cs="Times New Roman"/>
    </w:rPr>
  </w:style>
  <w:style w:type="character" w:styleId="ListLabel493">
    <w:name w:val="ListLabel 493"/>
    <w:qFormat/>
    <w:rPr>
      <w:rFonts w:cs="Times New Roman"/>
    </w:rPr>
  </w:style>
  <w:style w:type="character" w:styleId="ListLabel494">
    <w:name w:val="ListLabel 494"/>
    <w:qFormat/>
    <w:rPr>
      <w:rFonts w:cs="Times New Roman"/>
    </w:rPr>
  </w:style>
  <w:style w:type="character" w:styleId="ListLabel495">
    <w:name w:val="ListLabel 495"/>
    <w:qFormat/>
    <w:rPr>
      <w:rFonts w:cs="Times New Roman"/>
    </w:rPr>
  </w:style>
  <w:style w:type="character" w:styleId="ListLabel496">
    <w:name w:val="ListLabel 496"/>
    <w:qFormat/>
    <w:rPr>
      <w:rFonts w:ascii="Times New Roman" w:hAnsi="Times New Roman" w:cs="Times New Roman"/>
      <w:sz w:val="22"/>
    </w:rPr>
  </w:style>
  <w:style w:type="character" w:styleId="ListLabel497">
    <w:name w:val="ListLabel 497"/>
    <w:qFormat/>
    <w:rPr>
      <w:rFonts w:cs="Times New Roman"/>
    </w:rPr>
  </w:style>
  <w:style w:type="character" w:styleId="ListLabel498">
    <w:name w:val="ListLabel 498"/>
    <w:qFormat/>
    <w:rPr>
      <w:rFonts w:cs="Times New Roman"/>
    </w:rPr>
  </w:style>
  <w:style w:type="character" w:styleId="ListLabel499">
    <w:name w:val="ListLabel 499"/>
    <w:qFormat/>
    <w:rPr>
      <w:rFonts w:cs="Times New Roman"/>
    </w:rPr>
  </w:style>
  <w:style w:type="character" w:styleId="ListLabel500">
    <w:name w:val="ListLabel 500"/>
    <w:qFormat/>
    <w:rPr>
      <w:rFonts w:cs="Times New Roman"/>
    </w:rPr>
  </w:style>
  <w:style w:type="character" w:styleId="ListLabel501">
    <w:name w:val="ListLabel 501"/>
    <w:qFormat/>
    <w:rPr>
      <w:rFonts w:cs="Times New Roman"/>
    </w:rPr>
  </w:style>
  <w:style w:type="character" w:styleId="ListLabel502">
    <w:name w:val="ListLabel 502"/>
    <w:qFormat/>
    <w:rPr>
      <w:rFonts w:cs="Times New Roman"/>
    </w:rPr>
  </w:style>
  <w:style w:type="character" w:styleId="ListLabel503">
    <w:name w:val="ListLabel 503"/>
    <w:qFormat/>
    <w:rPr>
      <w:rFonts w:cs="Times New Roman"/>
    </w:rPr>
  </w:style>
  <w:style w:type="character" w:styleId="ListLabel504">
    <w:name w:val="ListLabel 504"/>
    <w:qFormat/>
    <w:rPr>
      <w:rFonts w:cs="Times New Roman"/>
    </w:rPr>
  </w:style>
  <w:style w:type="character" w:styleId="ListLabel505">
    <w:name w:val="ListLabel 505"/>
    <w:qFormat/>
    <w:rPr>
      <w:rFonts w:ascii="Times New Roman" w:hAnsi="Times New Roman" w:cs="Times New Roman"/>
      <w:sz w:val="22"/>
    </w:rPr>
  </w:style>
  <w:style w:type="character" w:styleId="ListLabel506">
    <w:name w:val="ListLabel 506"/>
    <w:qFormat/>
    <w:rPr>
      <w:rFonts w:cs="Times New Roman"/>
    </w:rPr>
  </w:style>
  <w:style w:type="character" w:styleId="ListLabel507">
    <w:name w:val="ListLabel 507"/>
    <w:qFormat/>
    <w:rPr>
      <w:rFonts w:cs="Times New Roman"/>
    </w:rPr>
  </w:style>
  <w:style w:type="character" w:styleId="ListLabel508">
    <w:name w:val="ListLabel 508"/>
    <w:qFormat/>
    <w:rPr>
      <w:rFonts w:cs="Times New Roman"/>
    </w:rPr>
  </w:style>
  <w:style w:type="character" w:styleId="ListLabel509">
    <w:name w:val="ListLabel 509"/>
    <w:qFormat/>
    <w:rPr>
      <w:rFonts w:cs="Times New Roman"/>
    </w:rPr>
  </w:style>
  <w:style w:type="character" w:styleId="ListLabel510">
    <w:name w:val="ListLabel 510"/>
    <w:qFormat/>
    <w:rPr>
      <w:rFonts w:cs="Times New Roman"/>
    </w:rPr>
  </w:style>
  <w:style w:type="character" w:styleId="ListLabel511">
    <w:name w:val="ListLabel 511"/>
    <w:qFormat/>
    <w:rPr>
      <w:rFonts w:cs="Times New Roman"/>
    </w:rPr>
  </w:style>
  <w:style w:type="character" w:styleId="ListLabel512">
    <w:name w:val="ListLabel 512"/>
    <w:qFormat/>
    <w:rPr>
      <w:rFonts w:cs="Times New Roman"/>
    </w:rPr>
  </w:style>
  <w:style w:type="character" w:styleId="ListLabel513">
    <w:name w:val="ListLabel 513"/>
    <w:qFormat/>
    <w:rPr>
      <w:rFonts w:cs="Times New Roman"/>
    </w:rPr>
  </w:style>
  <w:style w:type="character" w:styleId="ListLabel514">
    <w:name w:val="ListLabel 514"/>
    <w:qFormat/>
    <w:rPr>
      <w:rFonts w:ascii="Times New Roman CE" w:hAnsi="Times New Roman CE" w:cs="Times New Roman"/>
      <w:b/>
      <w:sz w:val="22"/>
    </w:rPr>
  </w:style>
  <w:style w:type="character" w:styleId="ListLabel515">
    <w:name w:val="ListLabel 515"/>
    <w:qFormat/>
    <w:rPr>
      <w:rFonts w:cs="Times New Roman"/>
    </w:rPr>
  </w:style>
  <w:style w:type="character" w:styleId="ListLabel516">
    <w:name w:val="ListLabel 516"/>
    <w:qFormat/>
    <w:rPr>
      <w:rFonts w:cs="Times New Roman"/>
    </w:rPr>
  </w:style>
  <w:style w:type="character" w:styleId="ListLabel517">
    <w:name w:val="ListLabel 517"/>
    <w:qFormat/>
    <w:rPr>
      <w:rFonts w:cs="Times New Roman"/>
    </w:rPr>
  </w:style>
  <w:style w:type="character" w:styleId="ListLabel518">
    <w:name w:val="ListLabel 518"/>
    <w:qFormat/>
    <w:rPr>
      <w:rFonts w:cs="Times New Roman"/>
    </w:rPr>
  </w:style>
  <w:style w:type="character" w:styleId="ListLabel519">
    <w:name w:val="ListLabel 519"/>
    <w:qFormat/>
    <w:rPr>
      <w:rFonts w:cs="Times New Roman"/>
    </w:rPr>
  </w:style>
  <w:style w:type="character" w:styleId="ListLabel520">
    <w:name w:val="ListLabel 520"/>
    <w:qFormat/>
    <w:rPr>
      <w:rFonts w:cs="Times New Roman"/>
    </w:rPr>
  </w:style>
  <w:style w:type="character" w:styleId="ListLabel521">
    <w:name w:val="ListLabel 521"/>
    <w:qFormat/>
    <w:rPr>
      <w:rFonts w:cs="Times New Roman"/>
    </w:rPr>
  </w:style>
  <w:style w:type="character" w:styleId="ListLabel522">
    <w:name w:val="ListLabel 522"/>
    <w:qFormat/>
    <w:rPr>
      <w:rFonts w:cs="Times New Roman"/>
    </w:rPr>
  </w:style>
  <w:style w:type="character" w:styleId="ListLabel523">
    <w:name w:val="ListLabel 523"/>
    <w:qFormat/>
    <w:rPr>
      <w:rFonts w:ascii="Times New Roman" w:hAnsi="Times New Roman" w:cs="Times New Roman"/>
      <w:sz w:val="22"/>
    </w:rPr>
  </w:style>
  <w:style w:type="character" w:styleId="ListLabel524">
    <w:name w:val="ListLabel 524"/>
    <w:qFormat/>
    <w:rPr>
      <w:rFonts w:cs="Times New Roman"/>
    </w:rPr>
  </w:style>
  <w:style w:type="character" w:styleId="ListLabel525">
    <w:name w:val="ListLabel 525"/>
    <w:qFormat/>
    <w:rPr>
      <w:rFonts w:cs="Times New Roman"/>
    </w:rPr>
  </w:style>
  <w:style w:type="character" w:styleId="ListLabel526">
    <w:name w:val="ListLabel 526"/>
    <w:qFormat/>
    <w:rPr>
      <w:rFonts w:cs="Times New Roman"/>
    </w:rPr>
  </w:style>
  <w:style w:type="character" w:styleId="ListLabel527">
    <w:name w:val="ListLabel 527"/>
    <w:qFormat/>
    <w:rPr>
      <w:rFonts w:cs="Times New Roman"/>
    </w:rPr>
  </w:style>
  <w:style w:type="character" w:styleId="ListLabel528">
    <w:name w:val="ListLabel 528"/>
    <w:qFormat/>
    <w:rPr>
      <w:rFonts w:cs="Times New Roman"/>
    </w:rPr>
  </w:style>
  <w:style w:type="character" w:styleId="ListLabel529">
    <w:name w:val="ListLabel 529"/>
    <w:qFormat/>
    <w:rPr>
      <w:rFonts w:cs="Times New Roman"/>
    </w:rPr>
  </w:style>
  <w:style w:type="character" w:styleId="ListLabel530">
    <w:name w:val="ListLabel 530"/>
    <w:qFormat/>
    <w:rPr>
      <w:rFonts w:cs="Times New Roman"/>
    </w:rPr>
  </w:style>
  <w:style w:type="character" w:styleId="ListLabel531">
    <w:name w:val="ListLabel 531"/>
    <w:qFormat/>
    <w:rPr>
      <w:rFonts w:cs="Times New Roman"/>
    </w:rPr>
  </w:style>
  <w:style w:type="character" w:styleId="ListLabel532">
    <w:name w:val="ListLabel 532"/>
    <w:qFormat/>
    <w:rPr>
      <w:rFonts w:ascii="Times New Roman CE" w:hAnsi="Times New Roman CE" w:cs="Times New Roman"/>
      <w:sz w:val="22"/>
    </w:rPr>
  </w:style>
  <w:style w:type="character" w:styleId="ListLabel533">
    <w:name w:val="ListLabel 533"/>
    <w:qFormat/>
    <w:rPr>
      <w:rFonts w:cs="Times New Roman"/>
    </w:rPr>
  </w:style>
  <w:style w:type="character" w:styleId="ListLabel534">
    <w:name w:val="ListLabel 534"/>
    <w:qFormat/>
    <w:rPr>
      <w:rFonts w:cs="Times New Roman"/>
    </w:rPr>
  </w:style>
  <w:style w:type="character" w:styleId="ListLabel535">
    <w:name w:val="ListLabel 535"/>
    <w:qFormat/>
    <w:rPr>
      <w:rFonts w:cs="Times New Roman"/>
    </w:rPr>
  </w:style>
  <w:style w:type="character" w:styleId="ListLabel536">
    <w:name w:val="ListLabel 536"/>
    <w:qFormat/>
    <w:rPr>
      <w:rFonts w:cs="Times New Roman"/>
    </w:rPr>
  </w:style>
  <w:style w:type="character" w:styleId="ListLabel537">
    <w:name w:val="ListLabel 537"/>
    <w:qFormat/>
    <w:rPr>
      <w:rFonts w:cs="Times New Roman"/>
    </w:rPr>
  </w:style>
  <w:style w:type="character" w:styleId="ListLabel538">
    <w:name w:val="ListLabel 538"/>
    <w:qFormat/>
    <w:rPr>
      <w:rFonts w:cs="Times New Roman"/>
    </w:rPr>
  </w:style>
  <w:style w:type="character" w:styleId="ListLabel539">
    <w:name w:val="ListLabel 539"/>
    <w:qFormat/>
    <w:rPr>
      <w:rFonts w:cs="Times New Roman"/>
    </w:rPr>
  </w:style>
  <w:style w:type="character" w:styleId="ListLabel540">
    <w:name w:val="ListLabel 540"/>
    <w:qFormat/>
    <w:rPr>
      <w:rFonts w:cs="Times New Roman"/>
    </w:rPr>
  </w:style>
  <w:style w:type="character" w:styleId="ListLabel541">
    <w:name w:val="ListLabel 541"/>
    <w:qFormat/>
    <w:rPr>
      <w:rFonts w:ascii="Times New Roman" w:hAnsi="Times New Roman" w:cs="Times New Roman"/>
      <w:sz w:val="22"/>
    </w:rPr>
  </w:style>
  <w:style w:type="character" w:styleId="ListLabel542">
    <w:name w:val="ListLabel 542"/>
    <w:qFormat/>
    <w:rPr>
      <w:rFonts w:cs="Times New Roman"/>
    </w:rPr>
  </w:style>
  <w:style w:type="character" w:styleId="ListLabel543">
    <w:name w:val="ListLabel 543"/>
    <w:qFormat/>
    <w:rPr>
      <w:rFonts w:cs="Times New Roman"/>
    </w:rPr>
  </w:style>
  <w:style w:type="character" w:styleId="ListLabel544">
    <w:name w:val="ListLabel 544"/>
    <w:qFormat/>
    <w:rPr>
      <w:rFonts w:cs="Times New Roman"/>
    </w:rPr>
  </w:style>
  <w:style w:type="character" w:styleId="ListLabel545">
    <w:name w:val="ListLabel 545"/>
    <w:qFormat/>
    <w:rPr>
      <w:rFonts w:cs="Times New Roman"/>
    </w:rPr>
  </w:style>
  <w:style w:type="character" w:styleId="ListLabel546">
    <w:name w:val="ListLabel 546"/>
    <w:qFormat/>
    <w:rPr>
      <w:rFonts w:cs="Times New Roman"/>
    </w:rPr>
  </w:style>
  <w:style w:type="character" w:styleId="ListLabel547">
    <w:name w:val="ListLabel 547"/>
    <w:qFormat/>
    <w:rPr>
      <w:rFonts w:cs="Times New Roman"/>
    </w:rPr>
  </w:style>
  <w:style w:type="character" w:styleId="ListLabel548">
    <w:name w:val="ListLabel 548"/>
    <w:qFormat/>
    <w:rPr>
      <w:rFonts w:cs="Times New Roman"/>
    </w:rPr>
  </w:style>
  <w:style w:type="character" w:styleId="ListLabel549">
    <w:name w:val="ListLabel 549"/>
    <w:qFormat/>
    <w:rPr>
      <w:rFonts w:cs="Times New Roman"/>
    </w:rPr>
  </w:style>
  <w:style w:type="character" w:styleId="ListLabel550">
    <w:name w:val="ListLabel 550"/>
    <w:qFormat/>
    <w:rPr>
      <w:rFonts w:ascii="Times New Roman" w:hAnsi="Times New Roman" w:cs="Times New Roman"/>
      <w:sz w:val="22"/>
    </w:rPr>
  </w:style>
  <w:style w:type="character" w:styleId="ListLabel551">
    <w:name w:val="ListLabel 551"/>
    <w:qFormat/>
    <w:rPr>
      <w:rFonts w:cs="Times New Roman"/>
    </w:rPr>
  </w:style>
  <w:style w:type="character" w:styleId="ListLabel552">
    <w:name w:val="ListLabel 552"/>
    <w:qFormat/>
    <w:rPr>
      <w:rFonts w:cs="Times New Roman"/>
    </w:rPr>
  </w:style>
  <w:style w:type="character" w:styleId="ListLabel553">
    <w:name w:val="ListLabel 553"/>
    <w:qFormat/>
    <w:rPr>
      <w:rFonts w:cs="Times New Roman"/>
    </w:rPr>
  </w:style>
  <w:style w:type="character" w:styleId="ListLabel554">
    <w:name w:val="ListLabel 554"/>
    <w:qFormat/>
    <w:rPr>
      <w:rFonts w:cs="Times New Roman"/>
    </w:rPr>
  </w:style>
  <w:style w:type="character" w:styleId="ListLabel555">
    <w:name w:val="ListLabel 555"/>
    <w:qFormat/>
    <w:rPr>
      <w:rFonts w:cs="Times New Roman"/>
    </w:rPr>
  </w:style>
  <w:style w:type="character" w:styleId="ListLabel556">
    <w:name w:val="ListLabel 556"/>
    <w:qFormat/>
    <w:rPr>
      <w:rFonts w:cs="Times New Roman"/>
    </w:rPr>
  </w:style>
  <w:style w:type="character" w:styleId="ListLabel557">
    <w:name w:val="ListLabel 557"/>
    <w:qFormat/>
    <w:rPr>
      <w:rFonts w:cs="Times New Roman"/>
    </w:rPr>
  </w:style>
  <w:style w:type="character" w:styleId="ListLabel558">
    <w:name w:val="ListLabel 558"/>
    <w:qFormat/>
    <w:rPr>
      <w:rFonts w:cs="Times New Roman"/>
    </w:rPr>
  </w:style>
  <w:style w:type="character" w:styleId="ListLabel559">
    <w:name w:val="ListLabel 559"/>
    <w:qFormat/>
    <w:rPr>
      <w:rFonts w:ascii="Times New Roman" w:hAnsi="Times New Roman" w:cs="Times New Roman"/>
      <w:sz w:val="22"/>
    </w:rPr>
  </w:style>
  <w:style w:type="character" w:styleId="ListLabel560">
    <w:name w:val="ListLabel 560"/>
    <w:qFormat/>
    <w:rPr>
      <w:rFonts w:cs="Times New Roman"/>
    </w:rPr>
  </w:style>
  <w:style w:type="character" w:styleId="ListLabel561">
    <w:name w:val="ListLabel 561"/>
    <w:qFormat/>
    <w:rPr>
      <w:rFonts w:cs="Times New Roman"/>
    </w:rPr>
  </w:style>
  <w:style w:type="character" w:styleId="ListLabel562">
    <w:name w:val="ListLabel 562"/>
    <w:qFormat/>
    <w:rPr>
      <w:rFonts w:cs="Times New Roman"/>
    </w:rPr>
  </w:style>
  <w:style w:type="character" w:styleId="ListLabel563">
    <w:name w:val="ListLabel 563"/>
    <w:qFormat/>
    <w:rPr>
      <w:rFonts w:cs="Times New Roman"/>
    </w:rPr>
  </w:style>
  <w:style w:type="character" w:styleId="ListLabel564">
    <w:name w:val="ListLabel 564"/>
    <w:qFormat/>
    <w:rPr>
      <w:rFonts w:cs="Times New Roman"/>
    </w:rPr>
  </w:style>
  <w:style w:type="character" w:styleId="ListLabel565">
    <w:name w:val="ListLabel 565"/>
    <w:qFormat/>
    <w:rPr>
      <w:rFonts w:cs="Times New Roman"/>
    </w:rPr>
  </w:style>
  <w:style w:type="character" w:styleId="ListLabel566">
    <w:name w:val="ListLabel 566"/>
    <w:qFormat/>
    <w:rPr>
      <w:rFonts w:cs="Times New Roman"/>
    </w:rPr>
  </w:style>
  <w:style w:type="character" w:styleId="ListLabel567">
    <w:name w:val="ListLabel 567"/>
    <w:qFormat/>
    <w:rPr>
      <w:rFonts w:cs="Times New Roman"/>
    </w:rPr>
  </w:style>
  <w:style w:type="character" w:styleId="ListLabel568">
    <w:name w:val="ListLabel 568"/>
    <w:qFormat/>
    <w:rPr>
      <w:rFonts w:ascii="Times New Roman" w:hAnsi="Times New Roman" w:cs="Times New Roman"/>
      <w:sz w:val="22"/>
    </w:rPr>
  </w:style>
  <w:style w:type="character" w:styleId="ListLabel569">
    <w:name w:val="ListLabel 569"/>
    <w:qFormat/>
    <w:rPr>
      <w:rFonts w:cs="Times New Roman"/>
    </w:rPr>
  </w:style>
  <w:style w:type="character" w:styleId="ListLabel570">
    <w:name w:val="ListLabel 570"/>
    <w:qFormat/>
    <w:rPr>
      <w:rFonts w:cs="Times New Roman"/>
    </w:rPr>
  </w:style>
  <w:style w:type="character" w:styleId="ListLabel571">
    <w:name w:val="ListLabel 571"/>
    <w:qFormat/>
    <w:rPr>
      <w:rFonts w:cs="Times New Roman"/>
    </w:rPr>
  </w:style>
  <w:style w:type="character" w:styleId="ListLabel572">
    <w:name w:val="ListLabel 572"/>
    <w:qFormat/>
    <w:rPr>
      <w:rFonts w:cs="Times New Roman"/>
    </w:rPr>
  </w:style>
  <w:style w:type="character" w:styleId="ListLabel573">
    <w:name w:val="ListLabel 573"/>
    <w:qFormat/>
    <w:rPr>
      <w:rFonts w:cs="Times New Roman"/>
    </w:rPr>
  </w:style>
  <w:style w:type="character" w:styleId="ListLabel574">
    <w:name w:val="ListLabel 574"/>
    <w:qFormat/>
    <w:rPr>
      <w:rFonts w:cs="Times New Roman"/>
    </w:rPr>
  </w:style>
  <w:style w:type="character" w:styleId="ListLabel575">
    <w:name w:val="ListLabel 575"/>
    <w:qFormat/>
    <w:rPr>
      <w:rFonts w:cs="Times New Roman"/>
    </w:rPr>
  </w:style>
  <w:style w:type="character" w:styleId="ListLabel576">
    <w:name w:val="ListLabel 576"/>
    <w:qFormat/>
    <w:rPr>
      <w:rFonts w:cs="Times New Roman"/>
    </w:rPr>
  </w:style>
  <w:style w:type="character" w:styleId="ListLabel577">
    <w:name w:val="ListLabel 577"/>
    <w:qFormat/>
    <w:rPr>
      <w:rFonts w:ascii="Times New Roman" w:hAnsi="Times New Roman" w:cs="Times New Roman"/>
      <w:sz w:val="22"/>
    </w:rPr>
  </w:style>
  <w:style w:type="character" w:styleId="ListLabel578">
    <w:name w:val="ListLabel 578"/>
    <w:qFormat/>
    <w:rPr>
      <w:rFonts w:ascii="Times New Roman" w:hAnsi="Times New Roman" w:cs="Times New Roman"/>
      <w:sz w:val="22"/>
    </w:rPr>
  </w:style>
  <w:style w:type="character" w:styleId="ListLabel579">
    <w:name w:val="ListLabel 579"/>
    <w:qFormat/>
    <w:rPr>
      <w:rFonts w:cs="Times New Roman"/>
    </w:rPr>
  </w:style>
  <w:style w:type="character" w:styleId="ListLabel580">
    <w:name w:val="ListLabel 580"/>
    <w:qFormat/>
    <w:rPr>
      <w:rFonts w:cs="Times New Roman"/>
    </w:rPr>
  </w:style>
  <w:style w:type="character" w:styleId="ListLabel581">
    <w:name w:val="ListLabel 581"/>
    <w:qFormat/>
    <w:rPr>
      <w:rFonts w:cs="Times New Roman"/>
    </w:rPr>
  </w:style>
  <w:style w:type="character" w:styleId="ListLabel582">
    <w:name w:val="ListLabel 582"/>
    <w:qFormat/>
    <w:rPr>
      <w:rFonts w:cs="Times New Roman"/>
    </w:rPr>
  </w:style>
  <w:style w:type="character" w:styleId="ListLabel583">
    <w:name w:val="ListLabel 583"/>
    <w:qFormat/>
    <w:rPr>
      <w:rFonts w:cs="Times New Roman"/>
    </w:rPr>
  </w:style>
  <w:style w:type="character" w:styleId="ListLabel584">
    <w:name w:val="ListLabel 584"/>
    <w:qFormat/>
    <w:rPr>
      <w:rFonts w:cs="Times New Roman"/>
    </w:rPr>
  </w:style>
  <w:style w:type="character" w:styleId="ListLabel585">
    <w:name w:val="ListLabel 585"/>
    <w:qFormat/>
    <w:rPr>
      <w:rFonts w:cs="Times New Roman"/>
    </w:rPr>
  </w:style>
  <w:style w:type="character" w:styleId="ListLabel586">
    <w:name w:val="ListLabel 586"/>
    <w:qFormat/>
    <w:rPr>
      <w:rFonts w:ascii="Times New Roman CE" w:hAnsi="Times New Roman CE" w:cs="Times New Roman"/>
      <w:b/>
      <w:sz w:val="22"/>
    </w:rPr>
  </w:style>
  <w:style w:type="character" w:styleId="ListLabel587">
    <w:name w:val="ListLabel 587"/>
    <w:qFormat/>
    <w:rPr>
      <w:rFonts w:cs="Times New Roman"/>
    </w:rPr>
  </w:style>
  <w:style w:type="character" w:styleId="ListLabel588">
    <w:name w:val="ListLabel 588"/>
    <w:qFormat/>
    <w:rPr>
      <w:rFonts w:cs="Times New Roman"/>
    </w:rPr>
  </w:style>
  <w:style w:type="character" w:styleId="ListLabel589">
    <w:name w:val="ListLabel 589"/>
    <w:qFormat/>
    <w:rPr>
      <w:rFonts w:cs="Times New Roman"/>
    </w:rPr>
  </w:style>
  <w:style w:type="character" w:styleId="ListLabel590">
    <w:name w:val="ListLabel 590"/>
    <w:qFormat/>
    <w:rPr>
      <w:rFonts w:cs="Times New Roman"/>
    </w:rPr>
  </w:style>
  <w:style w:type="character" w:styleId="ListLabel591">
    <w:name w:val="ListLabel 591"/>
    <w:qFormat/>
    <w:rPr>
      <w:rFonts w:cs="Times New Roman"/>
    </w:rPr>
  </w:style>
  <w:style w:type="character" w:styleId="ListLabel592">
    <w:name w:val="ListLabel 592"/>
    <w:qFormat/>
    <w:rPr>
      <w:rFonts w:cs="Times New Roman"/>
    </w:rPr>
  </w:style>
  <w:style w:type="character" w:styleId="ListLabel593">
    <w:name w:val="ListLabel 593"/>
    <w:qFormat/>
    <w:rPr>
      <w:rFonts w:cs="Times New Roman"/>
    </w:rPr>
  </w:style>
  <w:style w:type="character" w:styleId="ListLabel594">
    <w:name w:val="ListLabel 594"/>
    <w:qFormat/>
    <w:rPr>
      <w:rFonts w:cs="Times New Roman"/>
    </w:rPr>
  </w:style>
  <w:style w:type="character" w:styleId="ListLabel595">
    <w:name w:val="ListLabel 595"/>
    <w:qFormat/>
    <w:rPr>
      <w:rFonts w:ascii="Times New Roman" w:hAnsi="Times New Roman" w:cs="Times New Roman"/>
      <w:sz w:val="22"/>
    </w:rPr>
  </w:style>
  <w:style w:type="character" w:styleId="ListLabel596">
    <w:name w:val="ListLabel 596"/>
    <w:qFormat/>
    <w:rPr>
      <w:rFonts w:cs="Times New Roman"/>
    </w:rPr>
  </w:style>
  <w:style w:type="character" w:styleId="ListLabel597">
    <w:name w:val="ListLabel 597"/>
    <w:qFormat/>
    <w:rPr>
      <w:rFonts w:cs="Times New Roman"/>
    </w:rPr>
  </w:style>
  <w:style w:type="character" w:styleId="ListLabel598">
    <w:name w:val="ListLabel 598"/>
    <w:qFormat/>
    <w:rPr>
      <w:rFonts w:cs="Times New Roman"/>
    </w:rPr>
  </w:style>
  <w:style w:type="character" w:styleId="ListLabel599">
    <w:name w:val="ListLabel 599"/>
    <w:qFormat/>
    <w:rPr>
      <w:rFonts w:cs="Times New Roman"/>
    </w:rPr>
  </w:style>
  <w:style w:type="character" w:styleId="ListLabel600">
    <w:name w:val="ListLabel 600"/>
    <w:qFormat/>
    <w:rPr>
      <w:rFonts w:cs="Times New Roman"/>
    </w:rPr>
  </w:style>
  <w:style w:type="character" w:styleId="ListLabel601">
    <w:name w:val="ListLabel 601"/>
    <w:qFormat/>
    <w:rPr>
      <w:rFonts w:cs="Times New Roman"/>
    </w:rPr>
  </w:style>
  <w:style w:type="character" w:styleId="ListLabel602">
    <w:name w:val="ListLabel 602"/>
    <w:qFormat/>
    <w:rPr>
      <w:rFonts w:cs="Times New Roman"/>
    </w:rPr>
  </w:style>
  <w:style w:type="character" w:styleId="ListLabel603">
    <w:name w:val="ListLabel 603"/>
    <w:qFormat/>
    <w:rPr>
      <w:rFonts w:cs="Times New Roman"/>
    </w:rPr>
  </w:style>
  <w:style w:type="character" w:styleId="ListLabel604">
    <w:name w:val="ListLabel 604"/>
    <w:qFormat/>
    <w:rPr>
      <w:rFonts w:ascii="Times New Roman" w:hAnsi="Times New Roman" w:cs="Times New Roman"/>
      <w:sz w:val="22"/>
    </w:rPr>
  </w:style>
  <w:style w:type="character" w:styleId="ListLabel605">
    <w:name w:val="ListLabel 605"/>
    <w:qFormat/>
    <w:rPr>
      <w:rFonts w:cs="Times New Roman"/>
    </w:rPr>
  </w:style>
  <w:style w:type="character" w:styleId="ListLabel606">
    <w:name w:val="ListLabel 606"/>
    <w:qFormat/>
    <w:rPr>
      <w:rFonts w:cs="Times New Roman"/>
    </w:rPr>
  </w:style>
  <w:style w:type="character" w:styleId="ListLabel607">
    <w:name w:val="ListLabel 607"/>
    <w:qFormat/>
    <w:rPr>
      <w:rFonts w:cs="Times New Roman"/>
    </w:rPr>
  </w:style>
  <w:style w:type="character" w:styleId="ListLabel608">
    <w:name w:val="ListLabel 608"/>
    <w:qFormat/>
    <w:rPr>
      <w:rFonts w:cs="Times New Roman"/>
    </w:rPr>
  </w:style>
  <w:style w:type="character" w:styleId="ListLabel609">
    <w:name w:val="ListLabel 609"/>
    <w:qFormat/>
    <w:rPr>
      <w:rFonts w:cs="Times New Roman"/>
    </w:rPr>
  </w:style>
  <w:style w:type="character" w:styleId="ListLabel610">
    <w:name w:val="ListLabel 610"/>
    <w:qFormat/>
    <w:rPr>
      <w:rFonts w:cs="Times New Roman"/>
    </w:rPr>
  </w:style>
  <w:style w:type="character" w:styleId="ListLabel611">
    <w:name w:val="ListLabel 611"/>
    <w:qFormat/>
    <w:rPr>
      <w:rFonts w:cs="Times New Roman"/>
    </w:rPr>
  </w:style>
  <w:style w:type="character" w:styleId="ListLabel612">
    <w:name w:val="ListLabel 612"/>
    <w:qFormat/>
    <w:rPr>
      <w:rFonts w:cs="Times New Roman"/>
    </w:rPr>
  </w:style>
  <w:style w:type="character" w:styleId="ListLabel613">
    <w:name w:val="ListLabel 613"/>
    <w:qFormat/>
    <w:rPr>
      <w:rFonts w:ascii="Times New Roman" w:hAnsi="Times New Roman" w:cs="Times New Roman"/>
      <w:sz w:val="22"/>
    </w:rPr>
  </w:style>
  <w:style w:type="character" w:styleId="ListLabel614">
    <w:name w:val="ListLabel 614"/>
    <w:qFormat/>
    <w:rPr>
      <w:rFonts w:cs="Times New Roman"/>
    </w:rPr>
  </w:style>
  <w:style w:type="character" w:styleId="ListLabel615">
    <w:name w:val="ListLabel 615"/>
    <w:qFormat/>
    <w:rPr>
      <w:rFonts w:cs="Times New Roman"/>
    </w:rPr>
  </w:style>
  <w:style w:type="character" w:styleId="ListLabel616">
    <w:name w:val="ListLabel 616"/>
    <w:qFormat/>
    <w:rPr>
      <w:rFonts w:cs="Times New Roman"/>
    </w:rPr>
  </w:style>
  <w:style w:type="character" w:styleId="ListLabel617">
    <w:name w:val="ListLabel 617"/>
    <w:qFormat/>
    <w:rPr>
      <w:rFonts w:cs="Times New Roman"/>
    </w:rPr>
  </w:style>
  <w:style w:type="character" w:styleId="ListLabel618">
    <w:name w:val="ListLabel 618"/>
    <w:qFormat/>
    <w:rPr>
      <w:rFonts w:cs="Times New Roman"/>
    </w:rPr>
  </w:style>
  <w:style w:type="character" w:styleId="ListLabel619">
    <w:name w:val="ListLabel 619"/>
    <w:qFormat/>
    <w:rPr>
      <w:rFonts w:cs="Times New Roman"/>
    </w:rPr>
  </w:style>
  <w:style w:type="character" w:styleId="ListLabel620">
    <w:name w:val="ListLabel 620"/>
    <w:qFormat/>
    <w:rPr>
      <w:rFonts w:cs="Times New Roman"/>
    </w:rPr>
  </w:style>
  <w:style w:type="character" w:styleId="ListLabel621">
    <w:name w:val="ListLabel 621"/>
    <w:qFormat/>
    <w:rPr>
      <w:rFonts w:cs="Times New Roman"/>
    </w:rPr>
  </w:style>
  <w:style w:type="character" w:styleId="ListLabel622">
    <w:name w:val="ListLabel 622"/>
    <w:qFormat/>
    <w:rPr>
      <w:rFonts w:ascii="Times New Roman CE" w:hAnsi="Times New Roman CE" w:cs="Times New Roman"/>
      <w:b/>
    </w:rPr>
  </w:style>
  <w:style w:type="character" w:styleId="ListLabel623">
    <w:name w:val="ListLabel 623"/>
    <w:qFormat/>
    <w:rPr>
      <w:rFonts w:cs="Times New Roman"/>
    </w:rPr>
  </w:style>
  <w:style w:type="character" w:styleId="ListLabel624">
    <w:name w:val="ListLabel 624"/>
    <w:qFormat/>
    <w:rPr>
      <w:rFonts w:cs="Times New Roman"/>
    </w:rPr>
  </w:style>
  <w:style w:type="character" w:styleId="ListLabel625">
    <w:name w:val="ListLabel 625"/>
    <w:qFormat/>
    <w:rPr>
      <w:rFonts w:cs="Times New Roman"/>
    </w:rPr>
  </w:style>
  <w:style w:type="character" w:styleId="ListLabel626">
    <w:name w:val="ListLabel 626"/>
    <w:qFormat/>
    <w:rPr>
      <w:rFonts w:cs="Times New Roman"/>
    </w:rPr>
  </w:style>
  <w:style w:type="character" w:styleId="ListLabel627">
    <w:name w:val="ListLabel 627"/>
    <w:qFormat/>
    <w:rPr>
      <w:rFonts w:cs="Times New Roman"/>
    </w:rPr>
  </w:style>
  <w:style w:type="character" w:styleId="ListLabel628">
    <w:name w:val="ListLabel 628"/>
    <w:qFormat/>
    <w:rPr>
      <w:rFonts w:cs="Times New Roman"/>
    </w:rPr>
  </w:style>
  <w:style w:type="character" w:styleId="ListLabel629">
    <w:name w:val="ListLabel 629"/>
    <w:qFormat/>
    <w:rPr>
      <w:rFonts w:cs="Times New Roman"/>
    </w:rPr>
  </w:style>
  <w:style w:type="character" w:styleId="ListLabel630">
    <w:name w:val="ListLabel 630"/>
    <w:qFormat/>
    <w:rPr>
      <w:rFonts w:cs="Times New Roman"/>
    </w:rPr>
  </w:style>
  <w:style w:type="character" w:styleId="ListLabel631">
    <w:name w:val="ListLabel 631"/>
    <w:qFormat/>
    <w:rPr>
      <w:rFonts w:ascii="Times New Roman CE" w:hAnsi="Times New Roman CE" w:cs="Times New Roman"/>
      <w:b w:val="false"/>
    </w:rPr>
  </w:style>
  <w:style w:type="character" w:styleId="ListLabel632">
    <w:name w:val="ListLabel 632"/>
    <w:qFormat/>
    <w:rPr>
      <w:rFonts w:cs="Times New Roman"/>
    </w:rPr>
  </w:style>
  <w:style w:type="character" w:styleId="ListLabel633">
    <w:name w:val="ListLabel 633"/>
    <w:qFormat/>
    <w:rPr>
      <w:rFonts w:cs="Times New Roman"/>
    </w:rPr>
  </w:style>
  <w:style w:type="character" w:styleId="ListLabel634">
    <w:name w:val="ListLabel 634"/>
    <w:qFormat/>
    <w:rPr>
      <w:rFonts w:cs="Times New Roman"/>
    </w:rPr>
  </w:style>
  <w:style w:type="character" w:styleId="ListLabel635">
    <w:name w:val="ListLabel 635"/>
    <w:qFormat/>
    <w:rPr>
      <w:rFonts w:cs="Times New Roman"/>
    </w:rPr>
  </w:style>
  <w:style w:type="character" w:styleId="ListLabel636">
    <w:name w:val="ListLabel 636"/>
    <w:qFormat/>
    <w:rPr>
      <w:rFonts w:cs="Times New Roman"/>
    </w:rPr>
  </w:style>
  <w:style w:type="character" w:styleId="ListLabel637">
    <w:name w:val="ListLabel 637"/>
    <w:qFormat/>
    <w:rPr>
      <w:rFonts w:cs="Times New Roman"/>
    </w:rPr>
  </w:style>
  <w:style w:type="character" w:styleId="ListLabel638">
    <w:name w:val="ListLabel 638"/>
    <w:qFormat/>
    <w:rPr>
      <w:rFonts w:cs="Times New Roman"/>
    </w:rPr>
  </w:style>
  <w:style w:type="character" w:styleId="ListLabel639">
    <w:name w:val="ListLabel 639"/>
    <w:qFormat/>
    <w:rPr>
      <w:rFonts w:cs="Times New Roman"/>
    </w:rPr>
  </w:style>
  <w:style w:type="character" w:styleId="ListLabel640">
    <w:name w:val="ListLabel 640"/>
    <w:qFormat/>
    <w:rPr>
      <w:rFonts w:ascii="Times New Roman CE" w:hAnsi="Times New Roman CE" w:cs="Times New Roman"/>
      <w:b w:val="false"/>
    </w:rPr>
  </w:style>
  <w:style w:type="character" w:styleId="ListLabel641">
    <w:name w:val="ListLabel 641"/>
    <w:qFormat/>
    <w:rPr>
      <w:rFonts w:cs="Times New Roman"/>
    </w:rPr>
  </w:style>
  <w:style w:type="character" w:styleId="ListLabel642">
    <w:name w:val="ListLabel 642"/>
    <w:qFormat/>
    <w:rPr>
      <w:rFonts w:cs="Times New Roman"/>
    </w:rPr>
  </w:style>
  <w:style w:type="character" w:styleId="ListLabel643">
    <w:name w:val="ListLabel 643"/>
    <w:qFormat/>
    <w:rPr>
      <w:rFonts w:cs="Times New Roman"/>
    </w:rPr>
  </w:style>
  <w:style w:type="character" w:styleId="ListLabel644">
    <w:name w:val="ListLabel 644"/>
    <w:qFormat/>
    <w:rPr>
      <w:rFonts w:cs="Times New Roman"/>
    </w:rPr>
  </w:style>
  <w:style w:type="character" w:styleId="ListLabel645">
    <w:name w:val="ListLabel 645"/>
    <w:qFormat/>
    <w:rPr>
      <w:rFonts w:cs="Times New Roman"/>
    </w:rPr>
  </w:style>
  <w:style w:type="character" w:styleId="ListLabel646">
    <w:name w:val="ListLabel 646"/>
    <w:qFormat/>
    <w:rPr>
      <w:rFonts w:cs="Times New Roman"/>
    </w:rPr>
  </w:style>
  <w:style w:type="character" w:styleId="ListLabel647">
    <w:name w:val="ListLabel 647"/>
    <w:qFormat/>
    <w:rPr>
      <w:rFonts w:cs="Times New Roman"/>
    </w:rPr>
  </w:style>
  <w:style w:type="character" w:styleId="ListLabel648">
    <w:name w:val="ListLabel 648"/>
    <w:qFormat/>
    <w:rPr>
      <w:rFonts w:cs="Times New Roman"/>
    </w:rPr>
  </w:style>
  <w:style w:type="character" w:styleId="ListLabel649">
    <w:name w:val="ListLabel 649"/>
    <w:qFormat/>
    <w:rPr>
      <w:rFonts w:ascii="Times New Roman CE" w:hAnsi="Times New Roman CE" w:cs="Times New Roman"/>
      <w:b/>
      <w:sz w:val="22"/>
    </w:rPr>
  </w:style>
  <w:style w:type="character" w:styleId="ListLabel650">
    <w:name w:val="ListLabel 650"/>
    <w:qFormat/>
    <w:rPr>
      <w:rFonts w:cs="Times New Roman"/>
    </w:rPr>
  </w:style>
  <w:style w:type="character" w:styleId="ListLabel651">
    <w:name w:val="ListLabel 651"/>
    <w:qFormat/>
    <w:rPr>
      <w:rFonts w:cs="Times New Roman"/>
    </w:rPr>
  </w:style>
  <w:style w:type="character" w:styleId="ListLabel652">
    <w:name w:val="ListLabel 652"/>
    <w:qFormat/>
    <w:rPr>
      <w:rFonts w:cs="Times New Roman"/>
    </w:rPr>
  </w:style>
  <w:style w:type="character" w:styleId="ListLabel653">
    <w:name w:val="ListLabel 653"/>
    <w:qFormat/>
    <w:rPr>
      <w:rFonts w:cs="Times New Roman"/>
    </w:rPr>
  </w:style>
  <w:style w:type="character" w:styleId="ListLabel654">
    <w:name w:val="ListLabel 654"/>
    <w:qFormat/>
    <w:rPr>
      <w:rFonts w:cs="Times New Roman"/>
    </w:rPr>
  </w:style>
  <w:style w:type="character" w:styleId="ListLabel655">
    <w:name w:val="ListLabel 655"/>
    <w:qFormat/>
    <w:rPr>
      <w:rFonts w:cs="Times New Roman"/>
    </w:rPr>
  </w:style>
  <w:style w:type="character" w:styleId="ListLabel656">
    <w:name w:val="ListLabel 656"/>
    <w:qFormat/>
    <w:rPr>
      <w:rFonts w:cs="Times New Roman"/>
    </w:rPr>
  </w:style>
  <w:style w:type="character" w:styleId="ListLabel657">
    <w:name w:val="ListLabel 657"/>
    <w:qFormat/>
    <w:rPr>
      <w:rFonts w:cs="Times New Roman"/>
    </w:rPr>
  </w:style>
  <w:style w:type="character" w:styleId="ListLabel658">
    <w:name w:val="ListLabel 658"/>
    <w:qFormat/>
    <w:rPr>
      <w:rFonts w:ascii="Times New Roman" w:hAnsi="Times New Roman" w:cs="Times New Roman"/>
      <w:sz w:val="22"/>
    </w:rPr>
  </w:style>
  <w:style w:type="character" w:styleId="ListLabel659">
    <w:name w:val="ListLabel 659"/>
    <w:qFormat/>
    <w:rPr>
      <w:rFonts w:cs="Times New Roman"/>
    </w:rPr>
  </w:style>
  <w:style w:type="character" w:styleId="ListLabel660">
    <w:name w:val="ListLabel 660"/>
    <w:qFormat/>
    <w:rPr>
      <w:rFonts w:cs="Times New Roman"/>
    </w:rPr>
  </w:style>
  <w:style w:type="character" w:styleId="ListLabel661">
    <w:name w:val="ListLabel 661"/>
    <w:qFormat/>
    <w:rPr>
      <w:rFonts w:cs="Times New Roman"/>
    </w:rPr>
  </w:style>
  <w:style w:type="character" w:styleId="ListLabel662">
    <w:name w:val="ListLabel 662"/>
    <w:qFormat/>
    <w:rPr>
      <w:rFonts w:cs="Times New Roman"/>
    </w:rPr>
  </w:style>
  <w:style w:type="character" w:styleId="ListLabel663">
    <w:name w:val="ListLabel 663"/>
    <w:qFormat/>
    <w:rPr>
      <w:rFonts w:cs="Times New Roman"/>
    </w:rPr>
  </w:style>
  <w:style w:type="character" w:styleId="ListLabel664">
    <w:name w:val="ListLabel 664"/>
    <w:qFormat/>
    <w:rPr>
      <w:rFonts w:cs="Times New Roman"/>
    </w:rPr>
  </w:style>
  <w:style w:type="character" w:styleId="ListLabel665">
    <w:name w:val="ListLabel 665"/>
    <w:qFormat/>
    <w:rPr>
      <w:rFonts w:cs="Times New Roman"/>
    </w:rPr>
  </w:style>
  <w:style w:type="character" w:styleId="ListLabel666">
    <w:name w:val="ListLabel 666"/>
    <w:qFormat/>
    <w:rPr>
      <w:rFonts w:cs="Times New Roman"/>
    </w:rPr>
  </w:style>
  <w:style w:type="character" w:styleId="ListLabel667">
    <w:name w:val="ListLabel 667"/>
    <w:qFormat/>
    <w:rPr>
      <w:rFonts w:ascii="Times New Roman" w:hAnsi="Times New Roman" w:cs="Times New Roman"/>
      <w:sz w:val="22"/>
    </w:rPr>
  </w:style>
  <w:style w:type="character" w:styleId="ListLabel668">
    <w:name w:val="ListLabel 668"/>
    <w:qFormat/>
    <w:rPr>
      <w:rFonts w:cs="Times New Roman"/>
    </w:rPr>
  </w:style>
  <w:style w:type="character" w:styleId="ListLabel669">
    <w:name w:val="ListLabel 669"/>
    <w:qFormat/>
    <w:rPr>
      <w:rFonts w:cs="Times New Roman"/>
    </w:rPr>
  </w:style>
  <w:style w:type="character" w:styleId="ListLabel670">
    <w:name w:val="ListLabel 670"/>
    <w:qFormat/>
    <w:rPr>
      <w:rFonts w:cs="Times New Roman"/>
    </w:rPr>
  </w:style>
  <w:style w:type="character" w:styleId="ListLabel671">
    <w:name w:val="ListLabel 671"/>
    <w:qFormat/>
    <w:rPr>
      <w:rFonts w:cs="Times New Roman"/>
    </w:rPr>
  </w:style>
  <w:style w:type="character" w:styleId="ListLabel672">
    <w:name w:val="ListLabel 672"/>
    <w:qFormat/>
    <w:rPr>
      <w:rFonts w:cs="Times New Roman"/>
    </w:rPr>
  </w:style>
  <w:style w:type="character" w:styleId="ListLabel673">
    <w:name w:val="ListLabel 673"/>
    <w:qFormat/>
    <w:rPr>
      <w:rFonts w:cs="Times New Roman"/>
    </w:rPr>
  </w:style>
  <w:style w:type="character" w:styleId="ListLabel674">
    <w:name w:val="ListLabel 674"/>
    <w:qFormat/>
    <w:rPr>
      <w:rFonts w:cs="Times New Roman"/>
    </w:rPr>
  </w:style>
  <w:style w:type="character" w:styleId="ListLabel675">
    <w:name w:val="ListLabel 675"/>
    <w:qFormat/>
    <w:rPr>
      <w:rFonts w:cs="Times New Roman"/>
    </w:rPr>
  </w:style>
  <w:style w:type="character" w:styleId="ListLabel676">
    <w:name w:val="ListLabel 676"/>
    <w:qFormat/>
    <w:rPr>
      <w:rFonts w:ascii="Times New Roman" w:hAnsi="Times New Roman" w:cs="Times New Roman"/>
      <w:sz w:val="22"/>
    </w:rPr>
  </w:style>
  <w:style w:type="character" w:styleId="ListLabel677">
    <w:name w:val="ListLabel 677"/>
    <w:qFormat/>
    <w:rPr>
      <w:rFonts w:cs="Times New Roman"/>
    </w:rPr>
  </w:style>
  <w:style w:type="character" w:styleId="ListLabel678">
    <w:name w:val="ListLabel 678"/>
    <w:qFormat/>
    <w:rPr>
      <w:rFonts w:cs="Times New Roman"/>
    </w:rPr>
  </w:style>
  <w:style w:type="character" w:styleId="ListLabel679">
    <w:name w:val="ListLabel 679"/>
    <w:qFormat/>
    <w:rPr>
      <w:rFonts w:cs="Times New Roman"/>
    </w:rPr>
  </w:style>
  <w:style w:type="character" w:styleId="ListLabel680">
    <w:name w:val="ListLabel 680"/>
    <w:qFormat/>
    <w:rPr>
      <w:rFonts w:cs="Times New Roman"/>
    </w:rPr>
  </w:style>
  <w:style w:type="character" w:styleId="ListLabel681">
    <w:name w:val="ListLabel 681"/>
    <w:qFormat/>
    <w:rPr>
      <w:rFonts w:cs="Times New Roman"/>
    </w:rPr>
  </w:style>
  <w:style w:type="character" w:styleId="ListLabel682">
    <w:name w:val="ListLabel 682"/>
    <w:qFormat/>
    <w:rPr>
      <w:rFonts w:cs="Times New Roman"/>
    </w:rPr>
  </w:style>
  <w:style w:type="character" w:styleId="ListLabel683">
    <w:name w:val="ListLabel 683"/>
    <w:qFormat/>
    <w:rPr>
      <w:rFonts w:cs="Times New Roman"/>
    </w:rPr>
  </w:style>
  <w:style w:type="character" w:styleId="ListLabel684">
    <w:name w:val="ListLabel 684"/>
    <w:qFormat/>
    <w:rPr>
      <w:rFonts w:cs="Times New Roman"/>
    </w:rPr>
  </w:style>
  <w:style w:type="character" w:styleId="ListLabel685">
    <w:name w:val="ListLabel 685"/>
    <w:qFormat/>
    <w:rPr>
      <w:rFonts w:ascii="Times New Roman" w:hAnsi="Times New Roman" w:cs="Times New Roman"/>
      <w:b/>
      <w:sz w:val="22"/>
    </w:rPr>
  </w:style>
  <w:style w:type="character" w:styleId="ListLabel686">
    <w:name w:val="ListLabel 686"/>
    <w:qFormat/>
    <w:rPr>
      <w:rFonts w:cs="Times New Roman"/>
    </w:rPr>
  </w:style>
  <w:style w:type="character" w:styleId="ListLabel687">
    <w:name w:val="ListLabel 687"/>
    <w:qFormat/>
    <w:rPr>
      <w:rFonts w:cs="Times New Roman"/>
    </w:rPr>
  </w:style>
  <w:style w:type="character" w:styleId="ListLabel688">
    <w:name w:val="ListLabel 688"/>
    <w:qFormat/>
    <w:rPr>
      <w:rFonts w:cs="Times New Roman"/>
    </w:rPr>
  </w:style>
  <w:style w:type="character" w:styleId="ListLabel689">
    <w:name w:val="ListLabel 689"/>
    <w:qFormat/>
    <w:rPr>
      <w:rFonts w:cs="Times New Roman"/>
    </w:rPr>
  </w:style>
  <w:style w:type="character" w:styleId="ListLabel690">
    <w:name w:val="ListLabel 690"/>
    <w:qFormat/>
    <w:rPr>
      <w:rFonts w:cs="Times New Roman"/>
    </w:rPr>
  </w:style>
  <w:style w:type="character" w:styleId="ListLabel691">
    <w:name w:val="ListLabel 691"/>
    <w:qFormat/>
    <w:rPr>
      <w:rFonts w:cs="Times New Roman"/>
    </w:rPr>
  </w:style>
  <w:style w:type="character" w:styleId="ListLabel692">
    <w:name w:val="ListLabel 692"/>
    <w:qFormat/>
    <w:rPr>
      <w:rFonts w:cs="Times New Roman"/>
    </w:rPr>
  </w:style>
  <w:style w:type="character" w:styleId="ListLabel693">
    <w:name w:val="ListLabel 693"/>
    <w:qFormat/>
    <w:rPr>
      <w:rFonts w:cs="Times New Roman"/>
    </w:rPr>
  </w:style>
  <w:style w:type="character" w:styleId="ListLabel694">
    <w:name w:val="ListLabel 694"/>
    <w:qFormat/>
    <w:rPr>
      <w:rFonts w:ascii="Times New Roman" w:hAnsi="Times New Roman" w:cs="Times New Roman"/>
      <w:sz w:val="22"/>
    </w:rPr>
  </w:style>
  <w:style w:type="character" w:styleId="ListLabel695">
    <w:name w:val="ListLabel 695"/>
    <w:qFormat/>
    <w:rPr>
      <w:rFonts w:cs="Times New Roman"/>
    </w:rPr>
  </w:style>
  <w:style w:type="character" w:styleId="ListLabel696">
    <w:name w:val="ListLabel 696"/>
    <w:qFormat/>
    <w:rPr>
      <w:rFonts w:cs="Times New Roman"/>
    </w:rPr>
  </w:style>
  <w:style w:type="character" w:styleId="ListLabel697">
    <w:name w:val="ListLabel 697"/>
    <w:qFormat/>
    <w:rPr>
      <w:rFonts w:cs="Times New Roman"/>
    </w:rPr>
  </w:style>
  <w:style w:type="character" w:styleId="ListLabel698">
    <w:name w:val="ListLabel 698"/>
    <w:qFormat/>
    <w:rPr>
      <w:rFonts w:cs="Times New Roman"/>
    </w:rPr>
  </w:style>
  <w:style w:type="character" w:styleId="ListLabel699">
    <w:name w:val="ListLabel 699"/>
    <w:qFormat/>
    <w:rPr>
      <w:rFonts w:cs="Times New Roman"/>
    </w:rPr>
  </w:style>
  <w:style w:type="character" w:styleId="ListLabel700">
    <w:name w:val="ListLabel 700"/>
    <w:qFormat/>
    <w:rPr>
      <w:rFonts w:cs="Times New Roman"/>
    </w:rPr>
  </w:style>
  <w:style w:type="character" w:styleId="ListLabel701">
    <w:name w:val="ListLabel 701"/>
    <w:qFormat/>
    <w:rPr>
      <w:rFonts w:cs="Times New Roman"/>
    </w:rPr>
  </w:style>
  <w:style w:type="character" w:styleId="ListLabel702">
    <w:name w:val="ListLabel 702"/>
    <w:qFormat/>
    <w:rPr>
      <w:rFonts w:cs="Times New Roman"/>
    </w:rPr>
  </w:style>
  <w:style w:type="character" w:styleId="ListLabel703">
    <w:name w:val="ListLabel 703"/>
    <w:qFormat/>
    <w:rPr>
      <w:rFonts w:ascii="Times New Roman" w:hAnsi="Times New Roman" w:cs="Times New Roman"/>
      <w:sz w:val="22"/>
    </w:rPr>
  </w:style>
  <w:style w:type="character" w:styleId="ListLabel704">
    <w:name w:val="ListLabel 704"/>
    <w:qFormat/>
    <w:rPr>
      <w:rFonts w:cs="Times New Roman"/>
    </w:rPr>
  </w:style>
  <w:style w:type="character" w:styleId="ListLabel705">
    <w:name w:val="ListLabel 705"/>
    <w:qFormat/>
    <w:rPr>
      <w:rFonts w:cs="Times New Roman"/>
    </w:rPr>
  </w:style>
  <w:style w:type="character" w:styleId="ListLabel706">
    <w:name w:val="ListLabel 706"/>
    <w:qFormat/>
    <w:rPr>
      <w:rFonts w:cs="Times New Roman"/>
    </w:rPr>
  </w:style>
  <w:style w:type="character" w:styleId="ListLabel707">
    <w:name w:val="ListLabel 707"/>
    <w:qFormat/>
    <w:rPr>
      <w:rFonts w:cs="Times New Roman"/>
    </w:rPr>
  </w:style>
  <w:style w:type="character" w:styleId="ListLabel708">
    <w:name w:val="ListLabel 708"/>
    <w:qFormat/>
    <w:rPr>
      <w:rFonts w:cs="Times New Roman"/>
    </w:rPr>
  </w:style>
  <w:style w:type="character" w:styleId="ListLabel709">
    <w:name w:val="ListLabel 709"/>
    <w:qFormat/>
    <w:rPr>
      <w:rFonts w:cs="Times New Roman"/>
    </w:rPr>
  </w:style>
  <w:style w:type="character" w:styleId="ListLabel710">
    <w:name w:val="ListLabel 710"/>
    <w:qFormat/>
    <w:rPr>
      <w:rFonts w:cs="Times New Roman"/>
    </w:rPr>
  </w:style>
  <w:style w:type="character" w:styleId="ListLabel711">
    <w:name w:val="ListLabel 711"/>
    <w:qFormat/>
    <w:rPr>
      <w:rFonts w:cs="Times New Roman"/>
    </w:rPr>
  </w:style>
  <w:style w:type="character" w:styleId="ListLabel712">
    <w:name w:val="ListLabel 712"/>
    <w:qFormat/>
    <w:rPr>
      <w:rFonts w:ascii="Times New Roman" w:hAnsi="Times New Roman" w:cs="Times New Roman"/>
      <w:sz w:val="22"/>
    </w:rPr>
  </w:style>
  <w:style w:type="character" w:styleId="ListLabel713">
    <w:name w:val="ListLabel 713"/>
    <w:qFormat/>
    <w:rPr>
      <w:rFonts w:cs="Times New Roman"/>
    </w:rPr>
  </w:style>
  <w:style w:type="character" w:styleId="ListLabel714">
    <w:name w:val="ListLabel 714"/>
    <w:qFormat/>
    <w:rPr>
      <w:rFonts w:cs="Times New Roman"/>
    </w:rPr>
  </w:style>
  <w:style w:type="character" w:styleId="ListLabel715">
    <w:name w:val="ListLabel 715"/>
    <w:qFormat/>
    <w:rPr>
      <w:rFonts w:cs="Times New Roman"/>
    </w:rPr>
  </w:style>
  <w:style w:type="character" w:styleId="ListLabel716">
    <w:name w:val="ListLabel 716"/>
    <w:qFormat/>
    <w:rPr>
      <w:rFonts w:cs="Times New Roman"/>
    </w:rPr>
  </w:style>
  <w:style w:type="character" w:styleId="ListLabel717">
    <w:name w:val="ListLabel 717"/>
    <w:qFormat/>
    <w:rPr>
      <w:rFonts w:cs="Times New Roman"/>
    </w:rPr>
  </w:style>
  <w:style w:type="character" w:styleId="ListLabel718">
    <w:name w:val="ListLabel 718"/>
    <w:qFormat/>
    <w:rPr>
      <w:rFonts w:cs="Times New Roman"/>
    </w:rPr>
  </w:style>
  <w:style w:type="character" w:styleId="ListLabel719">
    <w:name w:val="ListLabel 719"/>
    <w:qFormat/>
    <w:rPr>
      <w:rFonts w:cs="Times New Roman"/>
    </w:rPr>
  </w:style>
  <w:style w:type="character" w:styleId="ListLabel720">
    <w:name w:val="ListLabel 720"/>
    <w:qFormat/>
    <w:rPr>
      <w:rFonts w:cs="Times New Roman"/>
    </w:rPr>
  </w:style>
  <w:style w:type="character" w:styleId="ListLabel721">
    <w:name w:val="ListLabel 721"/>
    <w:qFormat/>
    <w:rPr>
      <w:rFonts w:ascii="Times New Roman" w:hAnsi="Times New Roman" w:cs="Times New Roman"/>
      <w:b/>
      <w:sz w:val="22"/>
    </w:rPr>
  </w:style>
  <w:style w:type="character" w:styleId="ListLabel722">
    <w:name w:val="ListLabel 722"/>
    <w:qFormat/>
    <w:rPr>
      <w:rFonts w:cs="Times New Roman"/>
    </w:rPr>
  </w:style>
  <w:style w:type="character" w:styleId="ListLabel723">
    <w:name w:val="ListLabel 723"/>
    <w:qFormat/>
    <w:rPr>
      <w:rFonts w:cs="Times New Roman"/>
    </w:rPr>
  </w:style>
  <w:style w:type="character" w:styleId="ListLabel724">
    <w:name w:val="ListLabel 724"/>
    <w:qFormat/>
    <w:rPr>
      <w:rFonts w:cs="Times New Roman"/>
    </w:rPr>
  </w:style>
  <w:style w:type="character" w:styleId="ListLabel725">
    <w:name w:val="ListLabel 725"/>
    <w:qFormat/>
    <w:rPr>
      <w:rFonts w:cs="Times New Roman"/>
    </w:rPr>
  </w:style>
  <w:style w:type="character" w:styleId="ListLabel726">
    <w:name w:val="ListLabel 726"/>
    <w:qFormat/>
    <w:rPr>
      <w:rFonts w:cs="Times New Roman"/>
    </w:rPr>
  </w:style>
  <w:style w:type="character" w:styleId="ListLabel727">
    <w:name w:val="ListLabel 727"/>
    <w:qFormat/>
    <w:rPr>
      <w:rFonts w:cs="Times New Roman"/>
    </w:rPr>
  </w:style>
  <w:style w:type="character" w:styleId="ListLabel728">
    <w:name w:val="ListLabel 728"/>
    <w:qFormat/>
    <w:rPr>
      <w:rFonts w:cs="Times New Roman"/>
    </w:rPr>
  </w:style>
  <w:style w:type="character" w:styleId="ListLabel729">
    <w:name w:val="ListLabel 729"/>
    <w:qFormat/>
    <w:rPr>
      <w:rFonts w:cs="Times New Roman"/>
    </w:rPr>
  </w:style>
  <w:style w:type="character" w:styleId="ListLabel730">
    <w:name w:val="ListLabel 730"/>
    <w:qFormat/>
    <w:rPr>
      <w:rFonts w:ascii="Times New Roman" w:hAnsi="Times New Roman" w:cs="Times New Roman"/>
      <w:sz w:val="22"/>
    </w:rPr>
  </w:style>
  <w:style w:type="character" w:styleId="ListLabel731">
    <w:name w:val="ListLabel 731"/>
    <w:qFormat/>
    <w:rPr>
      <w:rFonts w:cs="Times New Roman"/>
    </w:rPr>
  </w:style>
  <w:style w:type="character" w:styleId="ListLabel732">
    <w:name w:val="ListLabel 732"/>
    <w:qFormat/>
    <w:rPr>
      <w:rFonts w:cs="Times New Roman"/>
    </w:rPr>
  </w:style>
  <w:style w:type="character" w:styleId="ListLabel733">
    <w:name w:val="ListLabel 733"/>
    <w:qFormat/>
    <w:rPr>
      <w:rFonts w:cs="Times New Roman"/>
    </w:rPr>
  </w:style>
  <w:style w:type="character" w:styleId="ListLabel734">
    <w:name w:val="ListLabel 734"/>
    <w:qFormat/>
    <w:rPr>
      <w:rFonts w:cs="Times New Roman"/>
    </w:rPr>
  </w:style>
  <w:style w:type="character" w:styleId="ListLabel735">
    <w:name w:val="ListLabel 735"/>
    <w:qFormat/>
    <w:rPr>
      <w:rFonts w:cs="Times New Roman"/>
    </w:rPr>
  </w:style>
  <w:style w:type="character" w:styleId="ListLabel736">
    <w:name w:val="ListLabel 736"/>
    <w:qFormat/>
    <w:rPr>
      <w:rFonts w:cs="Times New Roman"/>
    </w:rPr>
  </w:style>
  <w:style w:type="character" w:styleId="ListLabel737">
    <w:name w:val="ListLabel 737"/>
    <w:qFormat/>
    <w:rPr>
      <w:rFonts w:cs="Times New Roman"/>
    </w:rPr>
  </w:style>
  <w:style w:type="character" w:styleId="ListLabel738">
    <w:name w:val="ListLabel 738"/>
    <w:qFormat/>
    <w:rPr>
      <w:rFonts w:cs="Times New Roman"/>
    </w:rPr>
  </w:style>
  <w:style w:type="character" w:styleId="ListLabel739">
    <w:name w:val="ListLabel 739"/>
    <w:qFormat/>
    <w:rPr>
      <w:rFonts w:ascii="Times New Roman" w:hAnsi="Times New Roman" w:cs="Times New Roman"/>
      <w:b/>
      <w:sz w:val="22"/>
    </w:rPr>
  </w:style>
  <w:style w:type="character" w:styleId="ListLabel740">
    <w:name w:val="ListLabel 740"/>
    <w:qFormat/>
    <w:rPr>
      <w:rFonts w:cs="Times New Roman"/>
    </w:rPr>
  </w:style>
  <w:style w:type="character" w:styleId="ListLabel741">
    <w:name w:val="ListLabel 741"/>
    <w:qFormat/>
    <w:rPr>
      <w:rFonts w:cs="Times New Roman"/>
    </w:rPr>
  </w:style>
  <w:style w:type="character" w:styleId="ListLabel742">
    <w:name w:val="ListLabel 742"/>
    <w:qFormat/>
    <w:rPr>
      <w:rFonts w:cs="Times New Roman"/>
    </w:rPr>
  </w:style>
  <w:style w:type="character" w:styleId="ListLabel743">
    <w:name w:val="ListLabel 743"/>
    <w:qFormat/>
    <w:rPr>
      <w:rFonts w:cs="Times New Roman"/>
    </w:rPr>
  </w:style>
  <w:style w:type="character" w:styleId="ListLabel744">
    <w:name w:val="ListLabel 744"/>
    <w:qFormat/>
    <w:rPr>
      <w:rFonts w:cs="Times New Roman"/>
    </w:rPr>
  </w:style>
  <w:style w:type="character" w:styleId="ListLabel745">
    <w:name w:val="ListLabel 745"/>
    <w:qFormat/>
    <w:rPr>
      <w:rFonts w:cs="Times New Roman"/>
    </w:rPr>
  </w:style>
  <w:style w:type="character" w:styleId="ListLabel746">
    <w:name w:val="ListLabel 746"/>
    <w:qFormat/>
    <w:rPr>
      <w:rFonts w:cs="Times New Roman"/>
    </w:rPr>
  </w:style>
  <w:style w:type="character" w:styleId="ListLabel747">
    <w:name w:val="ListLabel 747"/>
    <w:qFormat/>
    <w:rPr>
      <w:rFonts w:cs="Times New Roman"/>
    </w:rPr>
  </w:style>
  <w:style w:type="character" w:styleId="ListLabel748">
    <w:name w:val="ListLabel 748"/>
    <w:qFormat/>
    <w:rPr>
      <w:rFonts w:ascii="Times New Roman" w:hAnsi="Times New Roman" w:cs="Times New Roman"/>
      <w:sz w:val="22"/>
    </w:rPr>
  </w:style>
  <w:style w:type="character" w:styleId="ListLabel749">
    <w:name w:val="ListLabel 749"/>
    <w:qFormat/>
    <w:rPr>
      <w:rFonts w:cs="Times New Roman"/>
    </w:rPr>
  </w:style>
  <w:style w:type="character" w:styleId="ListLabel750">
    <w:name w:val="ListLabel 750"/>
    <w:qFormat/>
    <w:rPr>
      <w:rFonts w:cs="Times New Roman"/>
    </w:rPr>
  </w:style>
  <w:style w:type="character" w:styleId="ListLabel751">
    <w:name w:val="ListLabel 751"/>
    <w:qFormat/>
    <w:rPr>
      <w:rFonts w:cs="Times New Roman"/>
    </w:rPr>
  </w:style>
  <w:style w:type="character" w:styleId="ListLabel752">
    <w:name w:val="ListLabel 752"/>
    <w:qFormat/>
    <w:rPr>
      <w:rFonts w:cs="Times New Roman"/>
    </w:rPr>
  </w:style>
  <w:style w:type="character" w:styleId="ListLabel753">
    <w:name w:val="ListLabel 753"/>
    <w:qFormat/>
    <w:rPr>
      <w:rFonts w:cs="Times New Roman"/>
    </w:rPr>
  </w:style>
  <w:style w:type="character" w:styleId="ListLabel754">
    <w:name w:val="ListLabel 754"/>
    <w:qFormat/>
    <w:rPr>
      <w:rFonts w:cs="Times New Roman"/>
    </w:rPr>
  </w:style>
  <w:style w:type="character" w:styleId="ListLabel755">
    <w:name w:val="ListLabel 755"/>
    <w:qFormat/>
    <w:rPr>
      <w:rFonts w:cs="Times New Roman"/>
    </w:rPr>
  </w:style>
  <w:style w:type="character" w:styleId="ListLabel756">
    <w:name w:val="ListLabel 756"/>
    <w:qFormat/>
    <w:rPr>
      <w:rFonts w:cs="Times New Roman"/>
    </w:rPr>
  </w:style>
  <w:style w:type="character" w:styleId="ListLabel757">
    <w:name w:val="ListLabel 757"/>
    <w:qFormat/>
    <w:rPr>
      <w:rFonts w:ascii="Times New Roman" w:hAnsi="Times New Roman" w:cs="Times New Roman"/>
      <w:b/>
      <w:sz w:val="22"/>
    </w:rPr>
  </w:style>
  <w:style w:type="character" w:styleId="ListLabel758">
    <w:name w:val="ListLabel 758"/>
    <w:qFormat/>
    <w:rPr>
      <w:rFonts w:cs="Times New Roman"/>
    </w:rPr>
  </w:style>
  <w:style w:type="character" w:styleId="ListLabel759">
    <w:name w:val="ListLabel 759"/>
    <w:qFormat/>
    <w:rPr>
      <w:rFonts w:cs="Times New Roman"/>
    </w:rPr>
  </w:style>
  <w:style w:type="character" w:styleId="ListLabel760">
    <w:name w:val="ListLabel 760"/>
    <w:qFormat/>
    <w:rPr>
      <w:rFonts w:cs="Times New Roman"/>
    </w:rPr>
  </w:style>
  <w:style w:type="character" w:styleId="ListLabel761">
    <w:name w:val="ListLabel 761"/>
    <w:qFormat/>
    <w:rPr>
      <w:rFonts w:cs="Times New Roman"/>
    </w:rPr>
  </w:style>
  <w:style w:type="character" w:styleId="ListLabel762">
    <w:name w:val="ListLabel 762"/>
    <w:qFormat/>
    <w:rPr>
      <w:rFonts w:cs="Times New Roman"/>
    </w:rPr>
  </w:style>
  <w:style w:type="character" w:styleId="ListLabel763">
    <w:name w:val="ListLabel 763"/>
    <w:qFormat/>
    <w:rPr>
      <w:rFonts w:cs="Times New Roman"/>
    </w:rPr>
  </w:style>
  <w:style w:type="character" w:styleId="ListLabel764">
    <w:name w:val="ListLabel 764"/>
    <w:qFormat/>
    <w:rPr>
      <w:rFonts w:cs="Times New Roman"/>
    </w:rPr>
  </w:style>
  <w:style w:type="character" w:styleId="ListLabel765">
    <w:name w:val="ListLabel 765"/>
    <w:qFormat/>
    <w:rPr>
      <w:rFonts w:cs="Times New Roman"/>
    </w:rPr>
  </w:style>
  <w:style w:type="character" w:styleId="ListLabel766">
    <w:name w:val="ListLabel 766"/>
    <w:qFormat/>
    <w:rPr>
      <w:rFonts w:ascii="Times New Roman" w:hAnsi="Times New Roman" w:cs="Times New Roman"/>
      <w:b/>
      <w:sz w:val="22"/>
    </w:rPr>
  </w:style>
  <w:style w:type="character" w:styleId="ListLabel767">
    <w:name w:val="ListLabel 767"/>
    <w:qFormat/>
    <w:rPr>
      <w:rFonts w:cs="Times New Roman"/>
    </w:rPr>
  </w:style>
  <w:style w:type="character" w:styleId="ListLabel768">
    <w:name w:val="ListLabel 768"/>
    <w:qFormat/>
    <w:rPr>
      <w:rFonts w:cs="Times New Roman"/>
    </w:rPr>
  </w:style>
  <w:style w:type="character" w:styleId="ListLabel769">
    <w:name w:val="ListLabel 769"/>
    <w:qFormat/>
    <w:rPr>
      <w:rFonts w:cs="Times New Roman"/>
    </w:rPr>
  </w:style>
  <w:style w:type="character" w:styleId="ListLabel770">
    <w:name w:val="ListLabel 770"/>
    <w:qFormat/>
    <w:rPr>
      <w:rFonts w:cs="Times New Roman"/>
    </w:rPr>
  </w:style>
  <w:style w:type="character" w:styleId="ListLabel771">
    <w:name w:val="ListLabel 771"/>
    <w:qFormat/>
    <w:rPr>
      <w:rFonts w:cs="Times New Roman"/>
    </w:rPr>
  </w:style>
  <w:style w:type="character" w:styleId="ListLabel772">
    <w:name w:val="ListLabel 772"/>
    <w:qFormat/>
    <w:rPr>
      <w:rFonts w:cs="Times New Roman"/>
    </w:rPr>
  </w:style>
  <w:style w:type="character" w:styleId="ListLabel773">
    <w:name w:val="ListLabel 773"/>
    <w:qFormat/>
    <w:rPr>
      <w:rFonts w:cs="Times New Roman"/>
    </w:rPr>
  </w:style>
  <w:style w:type="character" w:styleId="ListLabel774">
    <w:name w:val="ListLabel 774"/>
    <w:qFormat/>
    <w:rPr>
      <w:rFonts w:cs="Times New Roman"/>
    </w:rPr>
  </w:style>
  <w:style w:type="character" w:styleId="ListLabel775">
    <w:name w:val="ListLabel 775"/>
    <w:qFormat/>
    <w:rPr>
      <w:rFonts w:ascii="Times New Roman" w:hAnsi="Times New Roman" w:cs="Times New Roman"/>
      <w:b/>
      <w:sz w:val="22"/>
    </w:rPr>
  </w:style>
  <w:style w:type="character" w:styleId="ListLabel776">
    <w:name w:val="ListLabel 776"/>
    <w:qFormat/>
    <w:rPr>
      <w:rFonts w:cs="Times New Roman"/>
    </w:rPr>
  </w:style>
  <w:style w:type="character" w:styleId="ListLabel777">
    <w:name w:val="ListLabel 777"/>
    <w:qFormat/>
    <w:rPr>
      <w:rFonts w:cs="Times New Roman"/>
    </w:rPr>
  </w:style>
  <w:style w:type="character" w:styleId="ListLabel778">
    <w:name w:val="ListLabel 778"/>
    <w:qFormat/>
    <w:rPr>
      <w:rFonts w:cs="Times New Roman"/>
    </w:rPr>
  </w:style>
  <w:style w:type="character" w:styleId="ListLabel779">
    <w:name w:val="ListLabel 779"/>
    <w:qFormat/>
    <w:rPr>
      <w:rFonts w:cs="Times New Roman"/>
    </w:rPr>
  </w:style>
  <w:style w:type="character" w:styleId="ListLabel780">
    <w:name w:val="ListLabel 780"/>
    <w:qFormat/>
    <w:rPr>
      <w:rFonts w:cs="Times New Roman"/>
    </w:rPr>
  </w:style>
  <w:style w:type="character" w:styleId="ListLabel781">
    <w:name w:val="ListLabel 781"/>
    <w:qFormat/>
    <w:rPr>
      <w:rFonts w:cs="Times New Roman"/>
    </w:rPr>
  </w:style>
  <w:style w:type="character" w:styleId="ListLabel782">
    <w:name w:val="ListLabel 782"/>
    <w:qFormat/>
    <w:rPr>
      <w:rFonts w:cs="Times New Roman"/>
    </w:rPr>
  </w:style>
  <w:style w:type="character" w:styleId="ListLabel783">
    <w:name w:val="ListLabel 783"/>
    <w:qFormat/>
    <w:rPr>
      <w:rFonts w:cs="Times New Roman"/>
    </w:rPr>
  </w:style>
  <w:style w:type="character" w:styleId="ListLabel784">
    <w:name w:val="ListLabel 784"/>
    <w:qFormat/>
    <w:rPr>
      <w:rFonts w:ascii="Times New Roman" w:hAnsi="Times New Roman" w:cs="Times New Roman"/>
      <w:b/>
      <w:sz w:val="22"/>
    </w:rPr>
  </w:style>
  <w:style w:type="character" w:styleId="ListLabel785">
    <w:name w:val="ListLabel 785"/>
    <w:qFormat/>
    <w:rPr>
      <w:rFonts w:cs="Times New Roman"/>
    </w:rPr>
  </w:style>
  <w:style w:type="character" w:styleId="ListLabel786">
    <w:name w:val="ListLabel 786"/>
    <w:qFormat/>
    <w:rPr>
      <w:rFonts w:cs="Times New Roman"/>
    </w:rPr>
  </w:style>
  <w:style w:type="character" w:styleId="ListLabel787">
    <w:name w:val="ListLabel 787"/>
    <w:qFormat/>
    <w:rPr>
      <w:rFonts w:cs="Times New Roman"/>
    </w:rPr>
  </w:style>
  <w:style w:type="character" w:styleId="ListLabel788">
    <w:name w:val="ListLabel 788"/>
    <w:qFormat/>
    <w:rPr>
      <w:rFonts w:cs="Times New Roman"/>
    </w:rPr>
  </w:style>
  <w:style w:type="character" w:styleId="ListLabel789">
    <w:name w:val="ListLabel 789"/>
    <w:qFormat/>
    <w:rPr>
      <w:rFonts w:cs="Times New Roman"/>
    </w:rPr>
  </w:style>
  <w:style w:type="character" w:styleId="ListLabel790">
    <w:name w:val="ListLabel 790"/>
    <w:qFormat/>
    <w:rPr>
      <w:rFonts w:cs="Times New Roman"/>
    </w:rPr>
  </w:style>
  <w:style w:type="character" w:styleId="ListLabel791">
    <w:name w:val="ListLabel 791"/>
    <w:qFormat/>
    <w:rPr>
      <w:rFonts w:cs="Times New Roman"/>
    </w:rPr>
  </w:style>
  <w:style w:type="character" w:styleId="ListLabel792">
    <w:name w:val="ListLabel 792"/>
    <w:qFormat/>
    <w:rPr>
      <w:rFonts w:cs="Times New Roman"/>
    </w:rPr>
  </w:style>
  <w:style w:type="character" w:styleId="ListLabel793">
    <w:name w:val="ListLabel 793"/>
    <w:qFormat/>
    <w:rPr>
      <w:rFonts w:ascii="Times New Roman" w:hAnsi="Times New Roman" w:cs="Times New Roman"/>
      <w:sz w:val="22"/>
    </w:rPr>
  </w:style>
  <w:style w:type="character" w:styleId="ListLabel794">
    <w:name w:val="ListLabel 794"/>
    <w:qFormat/>
    <w:rPr>
      <w:rFonts w:cs="Times New Roman"/>
    </w:rPr>
  </w:style>
  <w:style w:type="character" w:styleId="ListLabel795">
    <w:name w:val="ListLabel 795"/>
    <w:qFormat/>
    <w:rPr>
      <w:rFonts w:cs="Times New Roman"/>
    </w:rPr>
  </w:style>
  <w:style w:type="character" w:styleId="ListLabel796">
    <w:name w:val="ListLabel 796"/>
    <w:qFormat/>
    <w:rPr>
      <w:rFonts w:cs="Times New Roman"/>
    </w:rPr>
  </w:style>
  <w:style w:type="character" w:styleId="ListLabel797">
    <w:name w:val="ListLabel 797"/>
    <w:qFormat/>
    <w:rPr>
      <w:rFonts w:cs="Times New Roman"/>
    </w:rPr>
  </w:style>
  <w:style w:type="character" w:styleId="ListLabel798">
    <w:name w:val="ListLabel 798"/>
    <w:qFormat/>
    <w:rPr>
      <w:rFonts w:cs="Times New Roman"/>
    </w:rPr>
  </w:style>
  <w:style w:type="character" w:styleId="ListLabel799">
    <w:name w:val="ListLabel 799"/>
    <w:qFormat/>
    <w:rPr>
      <w:rFonts w:cs="Times New Roman"/>
    </w:rPr>
  </w:style>
  <w:style w:type="character" w:styleId="ListLabel800">
    <w:name w:val="ListLabel 800"/>
    <w:qFormat/>
    <w:rPr>
      <w:rFonts w:cs="Times New Roman"/>
    </w:rPr>
  </w:style>
  <w:style w:type="character" w:styleId="ListLabel801">
    <w:name w:val="ListLabel 801"/>
    <w:qFormat/>
    <w:rPr>
      <w:rFonts w:cs="Times New Roman"/>
    </w:rPr>
  </w:style>
  <w:style w:type="character" w:styleId="ListLabel802">
    <w:name w:val="ListLabel 802"/>
    <w:qFormat/>
    <w:rPr>
      <w:rFonts w:ascii="Times New Roman" w:hAnsi="Times New Roman" w:cs="Times New Roman"/>
      <w:sz w:val="22"/>
    </w:rPr>
  </w:style>
  <w:style w:type="character" w:styleId="ListLabel803">
    <w:name w:val="ListLabel 803"/>
    <w:qFormat/>
    <w:rPr>
      <w:rFonts w:cs="Times New Roman"/>
    </w:rPr>
  </w:style>
  <w:style w:type="character" w:styleId="ListLabel804">
    <w:name w:val="ListLabel 804"/>
    <w:qFormat/>
    <w:rPr>
      <w:rFonts w:cs="Times New Roman"/>
    </w:rPr>
  </w:style>
  <w:style w:type="character" w:styleId="ListLabel805">
    <w:name w:val="ListLabel 805"/>
    <w:qFormat/>
    <w:rPr>
      <w:rFonts w:cs="Times New Roman"/>
    </w:rPr>
  </w:style>
  <w:style w:type="character" w:styleId="ListLabel806">
    <w:name w:val="ListLabel 806"/>
    <w:qFormat/>
    <w:rPr>
      <w:rFonts w:cs="Times New Roman"/>
    </w:rPr>
  </w:style>
  <w:style w:type="character" w:styleId="ListLabel807">
    <w:name w:val="ListLabel 807"/>
    <w:qFormat/>
    <w:rPr>
      <w:rFonts w:cs="Times New Roman"/>
    </w:rPr>
  </w:style>
  <w:style w:type="character" w:styleId="ListLabel808">
    <w:name w:val="ListLabel 808"/>
    <w:qFormat/>
    <w:rPr>
      <w:rFonts w:cs="Times New Roman"/>
    </w:rPr>
  </w:style>
  <w:style w:type="character" w:styleId="ListLabel809">
    <w:name w:val="ListLabel 809"/>
    <w:qFormat/>
    <w:rPr>
      <w:rFonts w:cs="Times New Roman"/>
    </w:rPr>
  </w:style>
  <w:style w:type="character" w:styleId="ListLabel810">
    <w:name w:val="ListLabel 810"/>
    <w:qFormat/>
    <w:rPr>
      <w:rFonts w:cs="Times New Roman"/>
    </w:rPr>
  </w:style>
  <w:style w:type="character" w:styleId="ListLabel811">
    <w:name w:val="ListLabel 811"/>
    <w:qFormat/>
    <w:rPr>
      <w:rFonts w:ascii="Times New Roman" w:hAnsi="Times New Roman" w:cs="Times New Roman"/>
      <w:sz w:val="22"/>
    </w:rPr>
  </w:style>
  <w:style w:type="character" w:styleId="ListLabel812">
    <w:name w:val="ListLabel 812"/>
    <w:qFormat/>
    <w:rPr>
      <w:rFonts w:cs="Times New Roman"/>
    </w:rPr>
  </w:style>
  <w:style w:type="character" w:styleId="ListLabel813">
    <w:name w:val="ListLabel 813"/>
    <w:qFormat/>
    <w:rPr>
      <w:rFonts w:cs="Times New Roman"/>
    </w:rPr>
  </w:style>
  <w:style w:type="character" w:styleId="ListLabel814">
    <w:name w:val="ListLabel 814"/>
    <w:qFormat/>
    <w:rPr>
      <w:rFonts w:cs="Times New Roman"/>
    </w:rPr>
  </w:style>
  <w:style w:type="character" w:styleId="ListLabel815">
    <w:name w:val="ListLabel 815"/>
    <w:qFormat/>
    <w:rPr>
      <w:rFonts w:cs="Times New Roman"/>
    </w:rPr>
  </w:style>
  <w:style w:type="character" w:styleId="ListLabel816">
    <w:name w:val="ListLabel 816"/>
    <w:qFormat/>
    <w:rPr>
      <w:rFonts w:cs="Times New Roman"/>
    </w:rPr>
  </w:style>
  <w:style w:type="character" w:styleId="ListLabel817">
    <w:name w:val="ListLabel 817"/>
    <w:qFormat/>
    <w:rPr>
      <w:rFonts w:cs="Times New Roman"/>
    </w:rPr>
  </w:style>
  <w:style w:type="character" w:styleId="ListLabel818">
    <w:name w:val="ListLabel 818"/>
    <w:qFormat/>
    <w:rPr>
      <w:rFonts w:cs="Times New Roman"/>
    </w:rPr>
  </w:style>
  <w:style w:type="character" w:styleId="ListLabel819">
    <w:name w:val="ListLabel 819"/>
    <w:qFormat/>
    <w:rPr>
      <w:rFonts w:cs="Times New Roman"/>
    </w:rPr>
  </w:style>
  <w:style w:type="character" w:styleId="ListLabel820">
    <w:name w:val="ListLabel 820"/>
    <w:qFormat/>
    <w:rPr>
      <w:rFonts w:ascii="Times New Roman" w:hAnsi="Times New Roman" w:cs="Times New Roman"/>
      <w:sz w:val="22"/>
    </w:rPr>
  </w:style>
  <w:style w:type="character" w:styleId="ListLabel821">
    <w:name w:val="ListLabel 821"/>
    <w:qFormat/>
    <w:rPr>
      <w:rFonts w:cs="Times New Roman"/>
    </w:rPr>
  </w:style>
  <w:style w:type="character" w:styleId="ListLabel822">
    <w:name w:val="ListLabel 822"/>
    <w:qFormat/>
    <w:rPr>
      <w:rFonts w:cs="Times New Roman"/>
    </w:rPr>
  </w:style>
  <w:style w:type="character" w:styleId="ListLabel823">
    <w:name w:val="ListLabel 823"/>
    <w:qFormat/>
    <w:rPr>
      <w:rFonts w:cs="Times New Roman"/>
    </w:rPr>
  </w:style>
  <w:style w:type="character" w:styleId="ListLabel824">
    <w:name w:val="ListLabel 824"/>
    <w:qFormat/>
    <w:rPr>
      <w:rFonts w:cs="Times New Roman"/>
    </w:rPr>
  </w:style>
  <w:style w:type="character" w:styleId="ListLabel825">
    <w:name w:val="ListLabel 825"/>
    <w:qFormat/>
    <w:rPr>
      <w:rFonts w:cs="Times New Roman"/>
    </w:rPr>
  </w:style>
  <w:style w:type="character" w:styleId="ListLabel826">
    <w:name w:val="ListLabel 826"/>
    <w:qFormat/>
    <w:rPr>
      <w:rFonts w:cs="Times New Roman"/>
    </w:rPr>
  </w:style>
  <w:style w:type="character" w:styleId="ListLabel827">
    <w:name w:val="ListLabel 827"/>
    <w:qFormat/>
    <w:rPr>
      <w:rFonts w:cs="Times New Roman"/>
    </w:rPr>
  </w:style>
  <w:style w:type="character" w:styleId="ListLabel828">
    <w:name w:val="ListLabel 828"/>
    <w:qFormat/>
    <w:rPr>
      <w:rFonts w:cs="Times New Roman"/>
    </w:rPr>
  </w:style>
  <w:style w:type="character" w:styleId="ListLabel829">
    <w:name w:val="ListLabel 829"/>
    <w:qFormat/>
    <w:rPr>
      <w:rFonts w:ascii="Times New Roman" w:hAnsi="Times New Roman" w:cs="Times New Roman"/>
      <w:sz w:val="22"/>
    </w:rPr>
  </w:style>
  <w:style w:type="character" w:styleId="ListLabel830">
    <w:name w:val="ListLabel 830"/>
    <w:qFormat/>
    <w:rPr>
      <w:rFonts w:cs="Times New Roman"/>
    </w:rPr>
  </w:style>
  <w:style w:type="character" w:styleId="ListLabel831">
    <w:name w:val="ListLabel 831"/>
    <w:qFormat/>
    <w:rPr>
      <w:rFonts w:cs="Times New Roman"/>
    </w:rPr>
  </w:style>
  <w:style w:type="character" w:styleId="ListLabel832">
    <w:name w:val="ListLabel 832"/>
    <w:qFormat/>
    <w:rPr>
      <w:rFonts w:cs="Times New Roman"/>
    </w:rPr>
  </w:style>
  <w:style w:type="character" w:styleId="ListLabel833">
    <w:name w:val="ListLabel 833"/>
    <w:qFormat/>
    <w:rPr>
      <w:rFonts w:cs="Times New Roman"/>
    </w:rPr>
  </w:style>
  <w:style w:type="character" w:styleId="ListLabel834">
    <w:name w:val="ListLabel 834"/>
    <w:qFormat/>
    <w:rPr>
      <w:rFonts w:cs="Times New Roman"/>
    </w:rPr>
  </w:style>
  <w:style w:type="character" w:styleId="ListLabel835">
    <w:name w:val="ListLabel 835"/>
    <w:qFormat/>
    <w:rPr>
      <w:rFonts w:cs="Times New Roman"/>
    </w:rPr>
  </w:style>
  <w:style w:type="character" w:styleId="ListLabel836">
    <w:name w:val="ListLabel 836"/>
    <w:qFormat/>
    <w:rPr>
      <w:rFonts w:cs="Times New Roman"/>
    </w:rPr>
  </w:style>
  <w:style w:type="character" w:styleId="ListLabel837">
    <w:name w:val="ListLabel 837"/>
    <w:qFormat/>
    <w:rPr>
      <w:rFonts w:cs="Times New Roman"/>
    </w:rPr>
  </w:style>
  <w:style w:type="character" w:styleId="ListLabel838">
    <w:name w:val="ListLabel 838"/>
    <w:qFormat/>
    <w:rPr>
      <w:rFonts w:ascii="CMTI10" w:hAnsi="CMTI10" w:cs="Times New Roman"/>
      <w:sz w:val="22"/>
    </w:rPr>
  </w:style>
  <w:style w:type="character" w:styleId="ListLabel839">
    <w:name w:val="ListLabel 839"/>
    <w:qFormat/>
    <w:rPr>
      <w:rFonts w:cs="Times New Roman"/>
    </w:rPr>
  </w:style>
  <w:style w:type="character" w:styleId="ListLabel840">
    <w:name w:val="ListLabel 840"/>
    <w:qFormat/>
    <w:rPr>
      <w:rFonts w:cs="Times New Roman"/>
    </w:rPr>
  </w:style>
  <w:style w:type="character" w:styleId="ListLabel841">
    <w:name w:val="ListLabel 841"/>
    <w:qFormat/>
    <w:rPr>
      <w:rFonts w:cs="Times New Roman"/>
    </w:rPr>
  </w:style>
  <w:style w:type="character" w:styleId="ListLabel842">
    <w:name w:val="ListLabel 842"/>
    <w:qFormat/>
    <w:rPr>
      <w:rFonts w:cs="Times New Roman"/>
    </w:rPr>
  </w:style>
  <w:style w:type="character" w:styleId="ListLabel843">
    <w:name w:val="ListLabel 843"/>
    <w:qFormat/>
    <w:rPr>
      <w:rFonts w:cs="Times New Roman"/>
    </w:rPr>
  </w:style>
  <w:style w:type="character" w:styleId="ListLabel844">
    <w:name w:val="ListLabel 844"/>
    <w:qFormat/>
    <w:rPr>
      <w:rFonts w:cs="Times New Roman"/>
    </w:rPr>
  </w:style>
  <w:style w:type="character" w:styleId="ListLabel845">
    <w:name w:val="ListLabel 845"/>
    <w:qFormat/>
    <w:rPr>
      <w:rFonts w:cs="Times New Roman"/>
    </w:rPr>
  </w:style>
  <w:style w:type="character" w:styleId="ListLabel846">
    <w:name w:val="ListLabel 846"/>
    <w:qFormat/>
    <w:rPr>
      <w:rFonts w:cs="Times New Roman"/>
    </w:rPr>
  </w:style>
  <w:style w:type="character" w:styleId="ListLabel847">
    <w:name w:val="ListLabel 847"/>
    <w:qFormat/>
    <w:rPr>
      <w:rFonts w:ascii="CMTI10" w:hAnsi="CMTI10" w:cs="Times New Roman"/>
      <w:sz w:val="22"/>
    </w:rPr>
  </w:style>
  <w:style w:type="character" w:styleId="ListLabel848">
    <w:name w:val="ListLabel 848"/>
    <w:qFormat/>
    <w:rPr>
      <w:rFonts w:cs="Times New Roman"/>
    </w:rPr>
  </w:style>
  <w:style w:type="character" w:styleId="ListLabel849">
    <w:name w:val="ListLabel 849"/>
    <w:qFormat/>
    <w:rPr>
      <w:rFonts w:cs="Times New Roman"/>
    </w:rPr>
  </w:style>
  <w:style w:type="character" w:styleId="ListLabel850">
    <w:name w:val="ListLabel 850"/>
    <w:qFormat/>
    <w:rPr>
      <w:rFonts w:cs="Times New Roman"/>
    </w:rPr>
  </w:style>
  <w:style w:type="character" w:styleId="ListLabel851">
    <w:name w:val="ListLabel 851"/>
    <w:qFormat/>
    <w:rPr>
      <w:rFonts w:cs="Times New Roman"/>
    </w:rPr>
  </w:style>
  <w:style w:type="character" w:styleId="ListLabel852">
    <w:name w:val="ListLabel 852"/>
    <w:qFormat/>
    <w:rPr>
      <w:rFonts w:cs="Times New Roman"/>
    </w:rPr>
  </w:style>
  <w:style w:type="character" w:styleId="ListLabel853">
    <w:name w:val="ListLabel 853"/>
    <w:qFormat/>
    <w:rPr>
      <w:rFonts w:cs="Times New Roman"/>
    </w:rPr>
  </w:style>
  <w:style w:type="character" w:styleId="ListLabel854">
    <w:name w:val="ListLabel 854"/>
    <w:qFormat/>
    <w:rPr>
      <w:rFonts w:cs="Times New Roman"/>
    </w:rPr>
  </w:style>
  <w:style w:type="character" w:styleId="ListLabel855">
    <w:name w:val="ListLabel 855"/>
    <w:qFormat/>
    <w:rPr>
      <w:rFonts w:cs="Times New Roman"/>
    </w:rPr>
  </w:style>
  <w:style w:type="character" w:styleId="ListLabel856">
    <w:name w:val="ListLabel 856"/>
    <w:qFormat/>
    <w:rPr>
      <w:rFonts w:ascii="CMTI10" w:hAnsi="CMTI10" w:cs="Times New Roman"/>
      <w:sz w:val="22"/>
    </w:rPr>
  </w:style>
  <w:style w:type="character" w:styleId="ListLabel857">
    <w:name w:val="ListLabel 857"/>
    <w:qFormat/>
    <w:rPr>
      <w:rFonts w:cs="Times New Roman"/>
    </w:rPr>
  </w:style>
  <w:style w:type="character" w:styleId="ListLabel858">
    <w:name w:val="ListLabel 858"/>
    <w:qFormat/>
    <w:rPr>
      <w:rFonts w:cs="Times New Roman"/>
    </w:rPr>
  </w:style>
  <w:style w:type="character" w:styleId="ListLabel859">
    <w:name w:val="ListLabel 859"/>
    <w:qFormat/>
    <w:rPr>
      <w:rFonts w:cs="Times New Roman"/>
    </w:rPr>
  </w:style>
  <w:style w:type="character" w:styleId="ListLabel860">
    <w:name w:val="ListLabel 860"/>
    <w:qFormat/>
    <w:rPr>
      <w:rFonts w:cs="Times New Roman"/>
    </w:rPr>
  </w:style>
  <w:style w:type="character" w:styleId="ListLabel861">
    <w:name w:val="ListLabel 861"/>
    <w:qFormat/>
    <w:rPr>
      <w:rFonts w:cs="Times New Roman"/>
    </w:rPr>
  </w:style>
  <w:style w:type="character" w:styleId="ListLabel862">
    <w:name w:val="ListLabel 862"/>
    <w:qFormat/>
    <w:rPr>
      <w:rFonts w:cs="Times New Roman"/>
    </w:rPr>
  </w:style>
  <w:style w:type="character" w:styleId="ListLabel863">
    <w:name w:val="ListLabel 863"/>
    <w:qFormat/>
    <w:rPr>
      <w:rFonts w:cs="Times New Roman"/>
    </w:rPr>
  </w:style>
  <w:style w:type="character" w:styleId="ListLabel864">
    <w:name w:val="ListLabel 864"/>
    <w:qFormat/>
    <w:rPr>
      <w:rFonts w:cs="Times New Roman"/>
    </w:rPr>
  </w:style>
  <w:style w:type="character" w:styleId="ListLabel865">
    <w:name w:val="ListLabel 865"/>
    <w:qFormat/>
    <w:rPr>
      <w:rFonts w:ascii="Times New Roman" w:hAnsi="Times New Roman" w:cs="Times New Roman"/>
      <w:sz w:val="22"/>
    </w:rPr>
  </w:style>
  <w:style w:type="character" w:styleId="ListLabel866">
    <w:name w:val="ListLabel 866"/>
    <w:qFormat/>
    <w:rPr>
      <w:rFonts w:cs="Times New Roman"/>
    </w:rPr>
  </w:style>
  <w:style w:type="character" w:styleId="ListLabel867">
    <w:name w:val="ListLabel 867"/>
    <w:qFormat/>
    <w:rPr>
      <w:rFonts w:cs="Times New Roman"/>
    </w:rPr>
  </w:style>
  <w:style w:type="character" w:styleId="ListLabel868">
    <w:name w:val="ListLabel 868"/>
    <w:qFormat/>
    <w:rPr>
      <w:rFonts w:cs="Times New Roman"/>
    </w:rPr>
  </w:style>
  <w:style w:type="character" w:styleId="ListLabel869">
    <w:name w:val="ListLabel 869"/>
    <w:qFormat/>
    <w:rPr>
      <w:rFonts w:cs="Times New Roman"/>
    </w:rPr>
  </w:style>
  <w:style w:type="character" w:styleId="ListLabel870">
    <w:name w:val="ListLabel 870"/>
    <w:qFormat/>
    <w:rPr>
      <w:rFonts w:cs="Times New Roman"/>
    </w:rPr>
  </w:style>
  <w:style w:type="character" w:styleId="ListLabel871">
    <w:name w:val="ListLabel 871"/>
    <w:qFormat/>
    <w:rPr>
      <w:rFonts w:cs="Times New Roman"/>
    </w:rPr>
  </w:style>
  <w:style w:type="character" w:styleId="ListLabel872">
    <w:name w:val="ListLabel 872"/>
    <w:qFormat/>
    <w:rPr>
      <w:rFonts w:cs="Times New Roman"/>
    </w:rPr>
  </w:style>
  <w:style w:type="character" w:styleId="ListLabel873">
    <w:name w:val="ListLabel 873"/>
    <w:qFormat/>
    <w:rPr>
      <w:rFonts w:cs="Times New Roman"/>
    </w:rPr>
  </w:style>
  <w:style w:type="character" w:styleId="ListLabel874">
    <w:name w:val="ListLabel 874"/>
    <w:qFormat/>
    <w:rPr>
      <w:rFonts w:ascii="Times New Roman CE" w:hAnsi="Times New Roman CE" w:cs="Times New Roman"/>
      <w:b/>
      <w:sz w:val="22"/>
    </w:rPr>
  </w:style>
  <w:style w:type="character" w:styleId="ListLabel875">
    <w:name w:val="ListLabel 875"/>
    <w:qFormat/>
    <w:rPr>
      <w:rFonts w:cs="Times New Roman"/>
    </w:rPr>
  </w:style>
  <w:style w:type="character" w:styleId="ListLabel876">
    <w:name w:val="ListLabel 876"/>
    <w:qFormat/>
    <w:rPr>
      <w:rFonts w:cs="Times New Roman"/>
    </w:rPr>
  </w:style>
  <w:style w:type="character" w:styleId="ListLabel877">
    <w:name w:val="ListLabel 877"/>
    <w:qFormat/>
    <w:rPr>
      <w:rFonts w:cs="Times New Roman"/>
    </w:rPr>
  </w:style>
  <w:style w:type="character" w:styleId="ListLabel878">
    <w:name w:val="ListLabel 878"/>
    <w:qFormat/>
    <w:rPr>
      <w:rFonts w:cs="Times New Roman"/>
    </w:rPr>
  </w:style>
  <w:style w:type="character" w:styleId="ListLabel879">
    <w:name w:val="ListLabel 879"/>
    <w:qFormat/>
    <w:rPr>
      <w:rFonts w:cs="Times New Roman"/>
    </w:rPr>
  </w:style>
  <w:style w:type="character" w:styleId="ListLabel880">
    <w:name w:val="ListLabel 880"/>
    <w:qFormat/>
    <w:rPr>
      <w:rFonts w:cs="Times New Roman"/>
    </w:rPr>
  </w:style>
  <w:style w:type="character" w:styleId="ListLabel881">
    <w:name w:val="ListLabel 881"/>
    <w:qFormat/>
    <w:rPr>
      <w:rFonts w:cs="Times New Roman"/>
    </w:rPr>
  </w:style>
  <w:style w:type="character" w:styleId="ListLabel882">
    <w:name w:val="ListLabel 882"/>
    <w:qFormat/>
    <w:rPr>
      <w:rFonts w:cs="Times New Roman"/>
    </w:rPr>
  </w:style>
  <w:style w:type="character" w:styleId="ListLabel883">
    <w:name w:val="ListLabel 883"/>
    <w:qFormat/>
    <w:rPr>
      <w:rFonts w:ascii="Times New Roman" w:hAnsi="Times New Roman" w:cs="Times New Roman"/>
      <w:b/>
      <w:sz w:val="22"/>
    </w:rPr>
  </w:style>
  <w:style w:type="character" w:styleId="ListLabel884">
    <w:name w:val="ListLabel 884"/>
    <w:qFormat/>
    <w:rPr>
      <w:rFonts w:cs="Times New Roman"/>
    </w:rPr>
  </w:style>
  <w:style w:type="character" w:styleId="ListLabel885">
    <w:name w:val="ListLabel 885"/>
    <w:qFormat/>
    <w:rPr>
      <w:rFonts w:cs="Times New Roman"/>
    </w:rPr>
  </w:style>
  <w:style w:type="character" w:styleId="ListLabel886">
    <w:name w:val="ListLabel 886"/>
    <w:qFormat/>
    <w:rPr>
      <w:rFonts w:cs="Times New Roman"/>
    </w:rPr>
  </w:style>
  <w:style w:type="character" w:styleId="ListLabel887">
    <w:name w:val="ListLabel 887"/>
    <w:qFormat/>
    <w:rPr>
      <w:rFonts w:cs="Times New Roman"/>
    </w:rPr>
  </w:style>
  <w:style w:type="character" w:styleId="ListLabel888">
    <w:name w:val="ListLabel 888"/>
    <w:qFormat/>
    <w:rPr>
      <w:rFonts w:cs="Times New Roman"/>
    </w:rPr>
  </w:style>
  <w:style w:type="character" w:styleId="ListLabel889">
    <w:name w:val="ListLabel 889"/>
    <w:qFormat/>
    <w:rPr>
      <w:rFonts w:cs="Times New Roman"/>
    </w:rPr>
  </w:style>
  <w:style w:type="character" w:styleId="ListLabel890">
    <w:name w:val="ListLabel 890"/>
    <w:qFormat/>
    <w:rPr>
      <w:rFonts w:cs="Times New Roman"/>
    </w:rPr>
  </w:style>
  <w:style w:type="character" w:styleId="ListLabel891">
    <w:name w:val="ListLabel 891"/>
    <w:qFormat/>
    <w:rPr>
      <w:rFonts w:cs="Times New Roman"/>
    </w:rPr>
  </w:style>
  <w:style w:type="character" w:styleId="ListLabel892">
    <w:name w:val="ListLabel 892"/>
    <w:qFormat/>
    <w:rPr>
      <w:rFonts w:ascii="Times New Roman" w:hAnsi="Times New Roman" w:cs="Times New Roman"/>
      <w:sz w:val="22"/>
    </w:rPr>
  </w:style>
  <w:style w:type="character" w:styleId="ListLabel893">
    <w:name w:val="ListLabel 893"/>
    <w:qFormat/>
    <w:rPr>
      <w:rFonts w:cs="Times New Roman"/>
    </w:rPr>
  </w:style>
  <w:style w:type="character" w:styleId="ListLabel894">
    <w:name w:val="ListLabel 894"/>
    <w:qFormat/>
    <w:rPr>
      <w:rFonts w:cs="Times New Roman"/>
    </w:rPr>
  </w:style>
  <w:style w:type="character" w:styleId="ListLabel895">
    <w:name w:val="ListLabel 895"/>
    <w:qFormat/>
    <w:rPr>
      <w:rFonts w:cs="Times New Roman"/>
    </w:rPr>
  </w:style>
  <w:style w:type="character" w:styleId="ListLabel896">
    <w:name w:val="ListLabel 896"/>
    <w:qFormat/>
    <w:rPr>
      <w:rFonts w:cs="Times New Roman"/>
    </w:rPr>
  </w:style>
  <w:style w:type="character" w:styleId="ListLabel897">
    <w:name w:val="ListLabel 897"/>
    <w:qFormat/>
    <w:rPr>
      <w:rFonts w:cs="Times New Roman"/>
    </w:rPr>
  </w:style>
  <w:style w:type="character" w:styleId="ListLabel898">
    <w:name w:val="ListLabel 898"/>
    <w:qFormat/>
    <w:rPr>
      <w:rFonts w:cs="Times New Roman"/>
    </w:rPr>
  </w:style>
  <w:style w:type="character" w:styleId="ListLabel899">
    <w:name w:val="ListLabel 899"/>
    <w:qFormat/>
    <w:rPr>
      <w:rFonts w:cs="Times New Roman"/>
    </w:rPr>
  </w:style>
  <w:style w:type="character" w:styleId="ListLabel900">
    <w:name w:val="ListLabel 900"/>
    <w:qFormat/>
    <w:rPr>
      <w:rFonts w:cs="Times New Roman"/>
    </w:rPr>
  </w:style>
  <w:style w:type="character" w:styleId="ListLabel901">
    <w:name w:val="ListLabel 901"/>
    <w:qFormat/>
    <w:rPr>
      <w:rFonts w:ascii="Times New Roman" w:hAnsi="Times New Roman" w:cs="Times New Roman"/>
      <w:sz w:val="22"/>
    </w:rPr>
  </w:style>
  <w:style w:type="character" w:styleId="ListLabel902">
    <w:name w:val="ListLabel 902"/>
    <w:qFormat/>
    <w:rPr>
      <w:rFonts w:cs="Times New Roman"/>
    </w:rPr>
  </w:style>
  <w:style w:type="character" w:styleId="ListLabel903">
    <w:name w:val="ListLabel 903"/>
    <w:qFormat/>
    <w:rPr>
      <w:rFonts w:cs="Times New Roman"/>
    </w:rPr>
  </w:style>
  <w:style w:type="character" w:styleId="ListLabel904">
    <w:name w:val="ListLabel 904"/>
    <w:qFormat/>
    <w:rPr>
      <w:rFonts w:cs="Times New Roman"/>
    </w:rPr>
  </w:style>
  <w:style w:type="character" w:styleId="ListLabel905">
    <w:name w:val="ListLabel 905"/>
    <w:qFormat/>
    <w:rPr>
      <w:rFonts w:cs="Times New Roman"/>
    </w:rPr>
  </w:style>
  <w:style w:type="character" w:styleId="ListLabel906">
    <w:name w:val="ListLabel 906"/>
    <w:qFormat/>
    <w:rPr>
      <w:rFonts w:cs="Times New Roman"/>
    </w:rPr>
  </w:style>
  <w:style w:type="character" w:styleId="ListLabel907">
    <w:name w:val="ListLabel 907"/>
    <w:qFormat/>
    <w:rPr>
      <w:rFonts w:cs="Times New Roman"/>
    </w:rPr>
  </w:style>
  <w:style w:type="character" w:styleId="ListLabel908">
    <w:name w:val="ListLabel 908"/>
    <w:qFormat/>
    <w:rPr>
      <w:rFonts w:cs="Times New Roman"/>
    </w:rPr>
  </w:style>
  <w:style w:type="character" w:styleId="ListLabel909">
    <w:name w:val="ListLabel 909"/>
    <w:qFormat/>
    <w:rPr>
      <w:rFonts w:cs="Times New Roman"/>
    </w:rPr>
  </w:style>
  <w:style w:type="character" w:styleId="ListLabel910">
    <w:name w:val="ListLabel 910"/>
    <w:qFormat/>
    <w:rPr>
      <w:rFonts w:ascii="Times New Roman CE" w:hAnsi="Times New Roman CE" w:cs="Times New Roman"/>
      <w:b/>
      <w:sz w:val="26"/>
    </w:rPr>
  </w:style>
  <w:style w:type="character" w:styleId="ListLabel911">
    <w:name w:val="ListLabel 911"/>
    <w:qFormat/>
    <w:rPr>
      <w:rFonts w:ascii="Times New Roman CE" w:hAnsi="Times New Roman CE" w:cs="Times New Roman"/>
      <w:b/>
    </w:rPr>
  </w:style>
  <w:style w:type="character" w:styleId="ListLabel912">
    <w:name w:val="ListLabel 912"/>
    <w:qFormat/>
    <w:rPr>
      <w:rFonts w:ascii="Times New Roman" w:hAnsi="Times New Roman" w:cs="Times New Roman"/>
      <w:b/>
      <w:sz w:val="26"/>
    </w:rPr>
  </w:style>
  <w:style w:type="character" w:styleId="ListLabel913">
    <w:name w:val="ListLabel 913"/>
    <w:qFormat/>
    <w:rPr>
      <w:rFonts w:cs="Symbol"/>
    </w:rPr>
  </w:style>
  <w:style w:type="character" w:styleId="ListLabel914">
    <w:name w:val="ListLabel 914"/>
    <w:qFormat/>
    <w:rPr>
      <w:rFonts w:cs="Times New Roman"/>
    </w:rPr>
  </w:style>
  <w:style w:type="character" w:styleId="ListLabel915">
    <w:name w:val="ListLabel 915"/>
    <w:qFormat/>
    <w:rPr>
      <w:rFonts w:cs="Times New Roman"/>
    </w:rPr>
  </w:style>
  <w:style w:type="character" w:styleId="ListLabel916">
    <w:name w:val="ListLabel 916"/>
    <w:qFormat/>
    <w:rPr>
      <w:rFonts w:cs="Times New Roman"/>
    </w:rPr>
  </w:style>
  <w:style w:type="character" w:styleId="ListLabel917">
    <w:name w:val="ListLabel 917"/>
    <w:qFormat/>
    <w:rPr>
      <w:rFonts w:cs="Times New Roman"/>
    </w:rPr>
  </w:style>
  <w:style w:type="character" w:styleId="ListLabel918">
    <w:name w:val="ListLabel 918"/>
    <w:qFormat/>
    <w:rPr>
      <w:rFonts w:cs="Times New Roman"/>
    </w:rPr>
  </w:style>
  <w:style w:type="character" w:styleId="ListLabel919">
    <w:name w:val="ListLabel 919"/>
    <w:qFormat/>
    <w:rPr>
      <w:rFonts w:cs="Times New Roman"/>
    </w:rPr>
  </w:style>
  <w:style w:type="character" w:styleId="ListLabel920">
    <w:name w:val="ListLabel 920"/>
    <w:qFormat/>
    <w:rPr>
      <w:rFonts w:cs="Times New Roman"/>
    </w:rPr>
  </w:style>
  <w:style w:type="character" w:styleId="ListLabel921">
    <w:name w:val="ListLabel 921"/>
    <w:qFormat/>
    <w:rPr>
      <w:rFonts w:ascii="Times New Roman CE" w:hAnsi="Times New Roman CE" w:cs="Times New Roman"/>
      <w:b/>
    </w:rPr>
  </w:style>
  <w:style w:type="character" w:styleId="ListLabel922">
    <w:name w:val="ListLabel 922"/>
    <w:qFormat/>
    <w:rPr>
      <w:rFonts w:cs="Times New Roman"/>
    </w:rPr>
  </w:style>
  <w:style w:type="character" w:styleId="ListLabel923">
    <w:name w:val="ListLabel 923"/>
    <w:qFormat/>
    <w:rPr>
      <w:rFonts w:cs="Times New Roman"/>
    </w:rPr>
  </w:style>
  <w:style w:type="character" w:styleId="ListLabel924">
    <w:name w:val="ListLabel 924"/>
    <w:qFormat/>
    <w:rPr>
      <w:rFonts w:cs="Times New Roman"/>
    </w:rPr>
  </w:style>
  <w:style w:type="character" w:styleId="ListLabel925">
    <w:name w:val="ListLabel 925"/>
    <w:qFormat/>
    <w:rPr>
      <w:rFonts w:cs="Times New Roman"/>
    </w:rPr>
  </w:style>
  <w:style w:type="character" w:styleId="ListLabel926">
    <w:name w:val="ListLabel 926"/>
    <w:qFormat/>
    <w:rPr>
      <w:rFonts w:cs="Times New Roman"/>
    </w:rPr>
  </w:style>
  <w:style w:type="character" w:styleId="ListLabel927">
    <w:name w:val="ListLabel 927"/>
    <w:qFormat/>
    <w:rPr>
      <w:rFonts w:cs="Times New Roman"/>
    </w:rPr>
  </w:style>
  <w:style w:type="character" w:styleId="ListLabel928">
    <w:name w:val="ListLabel 928"/>
    <w:qFormat/>
    <w:rPr>
      <w:rFonts w:cs="Times New Roman"/>
    </w:rPr>
  </w:style>
  <w:style w:type="character" w:styleId="ListLabel929">
    <w:name w:val="ListLabel 929"/>
    <w:qFormat/>
    <w:rPr>
      <w:rFonts w:cs="Times New Roman"/>
    </w:rPr>
  </w:style>
  <w:style w:type="character" w:styleId="ListLabel930">
    <w:name w:val="ListLabel 930"/>
    <w:qFormat/>
    <w:rPr>
      <w:rFonts w:ascii="Times New Roman CE" w:hAnsi="Times New Roman CE" w:cs="Times New Roman"/>
      <w:b/>
      <w:sz w:val="26"/>
    </w:rPr>
  </w:style>
  <w:style w:type="character" w:styleId="ListLabel931">
    <w:name w:val="ListLabel 931"/>
    <w:qFormat/>
    <w:rPr>
      <w:rFonts w:ascii="Times New Roman CE" w:hAnsi="Times New Roman CE" w:cs="Times New Roman"/>
      <w:b/>
    </w:rPr>
  </w:style>
  <w:style w:type="character" w:styleId="ListLabel932">
    <w:name w:val="ListLabel 932"/>
    <w:qFormat/>
    <w:rPr>
      <w:rFonts w:cs="Times New Roman"/>
    </w:rPr>
  </w:style>
  <w:style w:type="character" w:styleId="ListLabel933">
    <w:name w:val="ListLabel 933"/>
    <w:qFormat/>
    <w:rPr>
      <w:rFonts w:cs="Times New Roman"/>
    </w:rPr>
  </w:style>
  <w:style w:type="character" w:styleId="ListLabel934">
    <w:name w:val="ListLabel 934"/>
    <w:qFormat/>
    <w:rPr>
      <w:rFonts w:cs="Times New Roman"/>
    </w:rPr>
  </w:style>
  <w:style w:type="character" w:styleId="ListLabel935">
    <w:name w:val="ListLabel 935"/>
    <w:qFormat/>
    <w:rPr>
      <w:rFonts w:cs="Times New Roman"/>
    </w:rPr>
  </w:style>
  <w:style w:type="character" w:styleId="ListLabel936">
    <w:name w:val="ListLabel 936"/>
    <w:qFormat/>
    <w:rPr>
      <w:rFonts w:cs="Times New Roman"/>
    </w:rPr>
  </w:style>
  <w:style w:type="character" w:styleId="ListLabel937">
    <w:name w:val="ListLabel 937"/>
    <w:qFormat/>
    <w:rPr>
      <w:rFonts w:cs="Times New Roman"/>
    </w:rPr>
  </w:style>
  <w:style w:type="character" w:styleId="ListLabel938">
    <w:name w:val="ListLabel 938"/>
    <w:qFormat/>
    <w:rPr>
      <w:rFonts w:cs="Times New Roman"/>
    </w:rPr>
  </w:style>
  <w:style w:type="character" w:styleId="ListLabel939">
    <w:name w:val="ListLabel 939"/>
    <w:qFormat/>
    <w:rPr>
      <w:rFonts w:cs="Times New Roman"/>
    </w:rPr>
  </w:style>
  <w:style w:type="character" w:styleId="ListLabel940">
    <w:name w:val="ListLabel 940"/>
    <w:qFormat/>
    <w:rPr>
      <w:rFonts w:ascii="Times New Roman CE" w:hAnsi="Times New Roman CE" w:cs="Times New Roman"/>
      <w:b/>
      <w:sz w:val="22"/>
    </w:rPr>
  </w:style>
  <w:style w:type="character" w:styleId="ListLabel941">
    <w:name w:val="ListLabel 941"/>
    <w:qFormat/>
    <w:rPr>
      <w:rFonts w:cs="Times New Roman"/>
    </w:rPr>
  </w:style>
  <w:style w:type="character" w:styleId="ListLabel942">
    <w:name w:val="ListLabel 942"/>
    <w:qFormat/>
    <w:rPr>
      <w:rFonts w:cs="Times New Roman"/>
    </w:rPr>
  </w:style>
  <w:style w:type="character" w:styleId="ListLabel943">
    <w:name w:val="ListLabel 943"/>
    <w:qFormat/>
    <w:rPr>
      <w:rFonts w:cs="Times New Roman"/>
    </w:rPr>
  </w:style>
  <w:style w:type="character" w:styleId="ListLabel944">
    <w:name w:val="ListLabel 944"/>
    <w:qFormat/>
    <w:rPr>
      <w:rFonts w:cs="Times New Roman"/>
    </w:rPr>
  </w:style>
  <w:style w:type="character" w:styleId="ListLabel945">
    <w:name w:val="ListLabel 945"/>
    <w:qFormat/>
    <w:rPr>
      <w:rFonts w:cs="Times New Roman"/>
    </w:rPr>
  </w:style>
  <w:style w:type="character" w:styleId="ListLabel946">
    <w:name w:val="ListLabel 946"/>
    <w:qFormat/>
    <w:rPr>
      <w:rFonts w:cs="Times New Roman"/>
    </w:rPr>
  </w:style>
  <w:style w:type="character" w:styleId="ListLabel947">
    <w:name w:val="ListLabel 947"/>
    <w:qFormat/>
    <w:rPr>
      <w:rFonts w:cs="Times New Roman"/>
    </w:rPr>
  </w:style>
  <w:style w:type="character" w:styleId="ListLabel948">
    <w:name w:val="ListLabel 948"/>
    <w:qFormat/>
    <w:rPr>
      <w:rFonts w:cs="Times New Roman"/>
    </w:rPr>
  </w:style>
  <w:style w:type="character" w:styleId="ListLabel949">
    <w:name w:val="ListLabel 949"/>
    <w:qFormat/>
    <w:rPr>
      <w:rFonts w:ascii="Times New Roman CE" w:hAnsi="Times New Roman CE" w:cs="Times New Roman"/>
      <w:b/>
      <w:sz w:val="22"/>
    </w:rPr>
  </w:style>
  <w:style w:type="character" w:styleId="ListLabel950">
    <w:name w:val="ListLabel 950"/>
    <w:qFormat/>
    <w:rPr>
      <w:rFonts w:cs="Times New Roman"/>
    </w:rPr>
  </w:style>
  <w:style w:type="character" w:styleId="ListLabel951">
    <w:name w:val="ListLabel 951"/>
    <w:qFormat/>
    <w:rPr>
      <w:rFonts w:cs="Times New Roman"/>
    </w:rPr>
  </w:style>
  <w:style w:type="character" w:styleId="ListLabel952">
    <w:name w:val="ListLabel 952"/>
    <w:qFormat/>
    <w:rPr>
      <w:rFonts w:cs="Times New Roman"/>
    </w:rPr>
  </w:style>
  <w:style w:type="character" w:styleId="ListLabel953">
    <w:name w:val="ListLabel 953"/>
    <w:qFormat/>
    <w:rPr>
      <w:rFonts w:cs="Times New Roman"/>
    </w:rPr>
  </w:style>
  <w:style w:type="character" w:styleId="ListLabel954">
    <w:name w:val="ListLabel 954"/>
    <w:qFormat/>
    <w:rPr>
      <w:rFonts w:cs="Times New Roman"/>
    </w:rPr>
  </w:style>
  <w:style w:type="character" w:styleId="ListLabel955">
    <w:name w:val="ListLabel 955"/>
    <w:qFormat/>
    <w:rPr>
      <w:rFonts w:cs="Times New Roman"/>
    </w:rPr>
  </w:style>
  <w:style w:type="character" w:styleId="ListLabel956">
    <w:name w:val="ListLabel 956"/>
    <w:qFormat/>
    <w:rPr>
      <w:rFonts w:cs="Times New Roman"/>
    </w:rPr>
  </w:style>
  <w:style w:type="character" w:styleId="ListLabel957">
    <w:name w:val="ListLabel 957"/>
    <w:qFormat/>
    <w:rPr>
      <w:rFonts w:cs="Times New Roman"/>
    </w:rPr>
  </w:style>
  <w:style w:type="character" w:styleId="ListLabel958">
    <w:name w:val="ListLabel 958"/>
    <w:qFormat/>
    <w:rPr>
      <w:rFonts w:ascii="Times New Roman CE" w:hAnsi="Times New Roman CE" w:cs="Times New Roman"/>
      <w:b/>
      <w:sz w:val="22"/>
    </w:rPr>
  </w:style>
  <w:style w:type="character" w:styleId="ListLabel959">
    <w:name w:val="ListLabel 959"/>
    <w:qFormat/>
    <w:rPr>
      <w:rFonts w:cs="Times New Roman"/>
    </w:rPr>
  </w:style>
  <w:style w:type="character" w:styleId="ListLabel960">
    <w:name w:val="ListLabel 960"/>
    <w:qFormat/>
    <w:rPr>
      <w:rFonts w:cs="Times New Roman"/>
    </w:rPr>
  </w:style>
  <w:style w:type="character" w:styleId="ListLabel961">
    <w:name w:val="ListLabel 961"/>
    <w:qFormat/>
    <w:rPr>
      <w:rFonts w:cs="Times New Roman"/>
    </w:rPr>
  </w:style>
  <w:style w:type="character" w:styleId="ListLabel962">
    <w:name w:val="ListLabel 962"/>
    <w:qFormat/>
    <w:rPr>
      <w:rFonts w:cs="Times New Roman"/>
    </w:rPr>
  </w:style>
  <w:style w:type="character" w:styleId="ListLabel963">
    <w:name w:val="ListLabel 963"/>
    <w:qFormat/>
    <w:rPr>
      <w:rFonts w:cs="Times New Roman"/>
    </w:rPr>
  </w:style>
  <w:style w:type="character" w:styleId="ListLabel964">
    <w:name w:val="ListLabel 964"/>
    <w:qFormat/>
    <w:rPr>
      <w:rFonts w:cs="Times New Roman"/>
    </w:rPr>
  </w:style>
  <w:style w:type="character" w:styleId="ListLabel965">
    <w:name w:val="ListLabel 965"/>
    <w:qFormat/>
    <w:rPr>
      <w:rFonts w:cs="Times New Roman"/>
    </w:rPr>
  </w:style>
  <w:style w:type="character" w:styleId="ListLabel966">
    <w:name w:val="ListLabel 966"/>
    <w:qFormat/>
    <w:rPr>
      <w:rFonts w:cs="Times New Roman"/>
    </w:rPr>
  </w:style>
  <w:style w:type="character" w:styleId="ListLabel967">
    <w:name w:val="ListLabel 967"/>
    <w:qFormat/>
    <w:rPr>
      <w:rFonts w:ascii="Times New Roman CE" w:hAnsi="Times New Roman CE" w:cs="Times New Roman"/>
      <w:sz w:val="22"/>
    </w:rPr>
  </w:style>
  <w:style w:type="character" w:styleId="ListLabel968">
    <w:name w:val="ListLabel 968"/>
    <w:qFormat/>
    <w:rPr>
      <w:rFonts w:cs="Times New Roman"/>
    </w:rPr>
  </w:style>
  <w:style w:type="character" w:styleId="ListLabel969">
    <w:name w:val="ListLabel 969"/>
    <w:qFormat/>
    <w:rPr>
      <w:rFonts w:cs="Times New Roman"/>
    </w:rPr>
  </w:style>
  <w:style w:type="character" w:styleId="ListLabel970">
    <w:name w:val="ListLabel 970"/>
    <w:qFormat/>
    <w:rPr>
      <w:rFonts w:cs="Times New Roman"/>
    </w:rPr>
  </w:style>
  <w:style w:type="character" w:styleId="ListLabel971">
    <w:name w:val="ListLabel 971"/>
    <w:qFormat/>
    <w:rPr>
      <w:rFonts w:cs="Times New Roman"/>
    </w:rPr>
  </w:style>
  <w:style w:type="character" w:styleId="ListLabel972">
    <w:name w:val="ListLabel 972"/>
    <w:qFormat/>
    <w:rPr>
      <w:rFonts w:cs="Times New Roman"/>
    </w:rPr>
  </w:style>
  <w:style w:type="character" w:styleId="ListLabel973">
    <w:name w:val="ListLabel 973"/>
    <w:qFormat/>
    <w:rPr>
      <w:rFonts w:cs="Times New Roman"/>
    </w:rPr>
  </w:style>
  <w:style w:type="character" w:styleId="ListLabel974">
    <w:name w:val="ListLabel 974"/>
    <w:qFormat/>
    <w:rPr>
      <w:rFonts w:cs="Times New Roman"/>
    </w:rPr>
  </w:style>
  <w:style w:type="character" w:styleId="ListLabel975">
    <w:name w:val="ListLabel 975"/>
    <w:qFormat/>
    <w:rPr>
      <w:rFonts w:cs="Times New Roman"/>
    </w:rPr>
  </w:style>
  <w:style w:type="character" w:styleId="ListLabel976">
    <w:name w:val="ListLabel 976"/>
    <w:qFormat/>
    <w:rPr>
      <w:rFonts w:cs="Times New Roman"/>
    </w:rPr>
  </w:style>
  <w:style w:type="character" w:styleId="ListLabel977">
    <w:name w:val="ListLabel 977"/>
    <w:qFormat/>
    <w:rPr>
      <w:rFonts w:cs="Times New Roman"/>
    </w:rPr>
  </w:style>
  <w:style w:type="character" w:styleId="ListLabel978">
    <w:name w:val="ListLabel 978"/>
    <w:qFormat/>
    <w:rPr>
      <w:rFonts w:cs="Times New Roman"/>
    </w:rPr>
  </w:style>
  <w:style w:type="character" w:styleId="ListLabel979">
    <w:name w:val="ListLabel 979"/>
    <w:qFormat/>
    <w:rPr>
      <w:rFonts w:cs="Times New Roman"/>
    </w:rPr>
  </w:style>
  <w:style w:type="character" w:styleId="ListLabel980">
    <w:name w:val="ListLabel 980"/>
    <w:qFormat/>
    <w:rPr>
      <w:rFonts w:cs="Times New Roman"/>
    </w:rPr>
  </w:style>
  <w:style w:type="character" w:styleId="ListLabel981">
    <w:name w:val="ListLabel 981"/>
    <w:qFormat/>
    <w:rPr>
      <w:rFonts w:cs="Times New Roman"/>
    </w:rPr>
  </w:style>
  <w:style w:type="character" w:styleId="ListLabel982">
    <w:name w:val="ListLabel 982"/>
    <w:qFormat/>
    <w:rPr>
      <w:rFonts w:cs="Times New Roman"/>
    </w:rPr>
  </w:style>
  <w:style w:type="character" w:styleId="ListLabel983">
    <w:name w:val="ListLabel 983"/>
    <w:qFormat/>
    <w:rPr>
      <w:rFonts w:cs="Times New Roman"/>
    </w:rPr>
  </w:style>
  <w:style w:type="character" w:styleId="ListLabel984">
    <w:name w:val="ListLabel 984"/>
    <w:qFormat/>
    <w:rPr>
      <w:rFonts w:cs="Times New Roman"/>
    </w:rPr>
  </w:style>
  <w:style w:type="character" w:styleId="Style8">
    <w:name w:val="Ссылка указателя"/>
    <w:qFormat/>
    <w:rPr/>
  </w:style>
  <w:style w:type="paragraph" w:styleId="Style9">
    <w:name w:val="Заголовок"/>
    <w:basedOn w:val="Normal"/>
    <w:next w:val="Style10"/>
    <w:qFormat/>
    <w:pPr>
      <w:keepNext/>
      <w:spacing w:before="240" w:after="120"/>
    </w:pPr>
    <w:rPr>
      <w:rFonts w:ascii="Liberation Sans" w:hAnsi="Liberation Sans" w:eastAsia="Microsoft YaHei" w:cs="Lucida Sans"/>
      <w:sz w:val="28"/>
      <w:szCs w:val="28"/>
    </w:rPr>
  </w:style>
  <w:style w:type="paragraph" w:styleId="Style10">
    <w:name w:val="Body Text"/>
    <w:basedOn w:val="Normal"/>
    <w:pPr>
      <w:widowControl/>
      <w:spacing w:before="0" w:after="120"/>
      <w:ind w:left="0" w:right="0" w:hanging="0"/>
      <w:jc w:val="both"/>
      <w:textAlignment w:val="auto"/>
    </w:pPr>
    <w:rPr>
      <w:rFonts w:cs="Times New Roman"/>
      <w:sz w:val="24"/>
      <w:szCs w:val="20"/>
      <w:lang w:val="ro-RO" w:eastAsia="ru-RU" w:bidi="ar-SA"/>
    </w:rPr>
  </w:style>
  <w:style w:type="paragraph" w:styleId="Style11">
    <w:name w:val="List"/>
    <w:basedOn w:val="Style10"/>
    <w:pPr/>
    <w:rPr>
      <w:rFonts w:cs="Lucida Sans"/>
    </w:rPr>
  </w:style>
  <w:style w:type="paragraph" w:styleId="Style12">
    <w:name w:val="Caption"/>
    <w:basedOn w:val="Normal"/>
    <w:qFormat/>
    <w:pPr>
      <w:suppressLineNumbers/>
      <w:spacing w:before="120" w:after="120"/>
    </w:pPr>
    <w:rPr>
      <w:rFonts w:cs="Lucida Sans"/>
      <w:i/>
      <w:iCs/>
      <w:sz w:val="24"/>
      <w:szCs w:val="24"/>
    </w:rPr>
  </w:style>
  <w:style w:type="paragraph" w:styleId="Style13">
    <w:name w:val="Указатель"/>
    <w:basedOn w:val="Normal"/>
    <w:qFormat/>
    <w:pPr>
      <w:suppressLineNumbers/>
    </w:pPr>
    <w:rPr>
      <w:rFonts w:cs="Lucida Sans"/>
    </w:rPr>
  </w:style>
  <w:style w:type="paragraph" w:styleId="DocumentMap">
    <w:name w:val="DocumentMap"/>
    <w:qFormat/>
    <w:pPr>
      <w:widowControl/>
      <w:bidi w:val="0"/>
      <w:ind w:left="0" w:right="0" w:hanging="0"/>
      <w:jc w:val="left"/>
      <w:textAlignment w:val="auto"/>
    </w:pPr>
    <w:rPr>
      <w:rFonts w:ascii="Times New Roman" w:hAnsi="Times New Roman" w:eastAsia="Courier New" w:cs="Times New Roman"/>
      <w:color w:val="auto"/>
      <w:sz w:val="20"/>
      <w:szCs w:val="20"/>
      <w:lang w:val="en-US" w:eastAsia="en-US" w:bidi="ar-SA"/>
    </w:rPr>
  </w:style>
  <w:style w:type="paragraph" w:styleId="Style14">
    <w:name w:val="Header"/>
    <w:basedOn w:val="Normal"/>
    <w:pPr>
      <w:widowControl/>
      <w:tabs>
        <w:tab w:val="center" w:pos="4536" w:leader="none"/>
        <w:tab w:val="right" w:pos="9072" w:leader="none"/>
      </w:tabs>
      <w:ind w:left="0" w:right="0" w:hanging="0"/>
      <w:jc w:val="left"/>
      <w:textAlignment w:val="auto"/>
    </w:pPr>
    <w:rPr>
      <w:rFonts w:cs="Times New Roman"/>
      <w:sz w:val="26"/>
      <w:szCs w:val="20"/>
      <w:lang w:val="ro-RO" w:eastAsia="ru-RU" w:bidi="ar-SA"/>
    </w:rPr>
  </w:style>
  <w:style w:type="paragraph" w:styleId="Style15">
    <w:name w:val="Body Text Indent"/>
    <w:basedOn w:val="Normal"/>
    <w:pPr>
      <w:widowControl/>
      <w:ind w:left="0" w:right="0" w:hanging="0"/>
      <w:jc w:val="left"/>
      <w:textAlignment w:val="auto"/>
    </w:pPr>
    <w:rPr>
      <w:rFonts w:cs="Times New Roman"/>
      <w:b/>
      <w:sz w:val="26"/>
      <w:szCs w:val="20"/>
      <w:lang w:val="ro-RO" w:eastAsia="ru-RU" w:bidi="ar-SA"/>
    </w:rPr>
  </w:style>
  <w:style w:type="paragraph" w:styleId="BalloonText">
    <w:name w:val="Balloon Text"/>
    <w:basedOn w:val="Normal"/>
    <w:qFormat/>
    <w:pPr>
      <w:widowControl/>
      <w:ind w:left="0" w:right="0" w:hanging="0"/>
      <w:jc w:val="left"/>
      <w:textAlignment w:val="auto"/>
    </w:pPr>
    <w:rPr>
      <w:rFonts w:ascii="Tahoma" w:hAnsi="Tahoma" w:cs="Tahoma"/>
      <w:sz w:val="16"/>
      <w:szCs w:val="16"/>
      <w:lang w:val="ru-RU" w:eastAsia="ru-RU" w:bidi="ar-SA"/>
    </w:rPr>
  </w:style>
  <w:style w:type="paragraph" w:styleId="Articol">
    <w:name w:val="Articol"/>
    <w:basedOn w:val="Normal"/>
    <w:qFormat/>
    <w:pPr>
      <w:widowControl/>
      <w:spacing w:before="60" w:after="60"/>
      <w:ind w:left="0" w:right="0" w:firstLine="567"/>
      <w:jc w:val="both"/>
      <w:textAlignment w:val="auto"/>
    </w:pPr>
    <w:rPr>
      <w:rFonts w:cs="Times New Roman"/>
      <w:sz w:val="28"/>
      <w:szCs w:val="24"/>
      <w:lang w:val="ro-RO" w:eastAsia="ru-RU" w:bidi="ar-SA"/>
    </w:rPr>
  </w:style>
  <w:style w:type="paragraph" w:styleId="Style16">
    <w:name w:val="Footer"/>
    <w:basedOn w:val="Normal"/>
    <w:pPr>
      <w:widowControl/>
      <w:tabs>
        <w:tab w:val="center" w:pos="4677" w:leader="none"/>
        <w:tab w:val="right" w:pos="9355" w:leader="none"/>
      </w:tabs>
      <w:ind w:left="0" w:right="0" w:hanging="0"/>
      <w:jc w:val="left"/>
      <w:textAlignment w:val="auto"/>
    </w:pPr>
    <w:rPr>
      <w:rFonts w:cs="Times New Roman"/>
      <w:sz w:val="24"/>
      <w:szCs w:val="24"/>
      <w:lang w:val="ro-RO" w:eastAsia="ru-RU" w:bidi="ar-SA"/>
    </w:rPr>
  </w:style>
  <w:style w:type="paragraph" w:styleId="TableGrid">
    <w:name w:val="Table Grid"/>
    <w:basedOn w:val="DocumentMap"/>
    <w:qFormat/>
    <w:pPr>
      <w:widowControl/>
      <w:ind w:left="0" w:right="0" w:hanging="0"/>
      <w:jc w:val="left"/>
      <w:textAlignment w:val="auto"/>
    </w:pPr>
    <w:rPr>
      <w:rFonts w:cs="Times New Roman"/>
      <w:sz w:val="20"/>
      <w:szCs w:val="20"/>
      <w:lang w:val="en-US" w:eastAsia="en-US" w:bidi="ar-SA"/>
    </w:rPr>
  </w:style>
  <w:style w:type="paragraph" w:styleId="NormalWeb">
    <w:name w:val="Normal (Web)"/>
    <w:basedOn w:val="Normal"/>
    <w:qFormat/>
    <w:pPr>
      <w:widowControl/>
      <w:spacing w:beforeAutospacing="1" w:afterAutospacing="1"/>
      <w:ind w:left="0" w:right="0" w:hanging="0"/>
      <w:jc w:val="left"/>
      <w:textAlignment w:val="auto"/>
    </w:pPr>
    <w:rPr>
      <w:rFonts w:cs="Times New Roman"/>
      <w:sz w:val="24"/>
      <w:szCs w:val="24"/>
      <w:lang w:val="ru-RU" w:eastAsia="ru-RU" w:bidi="ar-SA"/>
    </w:rPr>
  </w:style>
  <w:style w:type="paragraph" w:styleId="CharChar">
    <w:name w:val="Char Char Знак Знак"/>
    <w:basedOn w:val="Normal"/>
    <w:qFormat/>
    <w:pPr>
      <w:widowControl/>
      <w:spacing w:lineRule="exact" w:line="240" w:before="0" w:after="160"/>
      <w:ind w:left="0" w:right="0" w:hanging="0"/>
      <w:jc w:val="left"/>
      <w:textAlignment w:val="auto"/>
    </w:pPr>
    <w:rPr>
      <w:rFonts w:ascii="Arial" w:hAnsi="Arial" w:eastAsia="Batang" w:cs="Arial"/>
      <w:sz w:val="20"/>
      <w:szCs w:val="20"/>
      <w:lang w:val="en-US" w:eastAsia="en-US" w:bidi="ar-SA"/>
    </w:rPr>
  </w:style>
  <w:style w:type="paragraph" w:styleId="ListParagraph">
    <w:name w:val="List Paragraph"/>
    <w:basedOn w:val="Normal"/>
    <w:qFormat/>
    <w:pPr>
      <w:widowControl/>
      <w:spacing w:before="0" w:after="0"/>
      <w:ind w:left="720" w:right="0" w:hanging="0"/>
      <w:contextualSpacing/>
      <w:jc w:val="left"/>
      <w:textAlignment w:val="auto"/>
    </w:pPr>
    <w:rPr>
      <w:rFonts w:cs="Times New Roman"/>
      <w:sz w:val="24"/>
      <w:szCs w:val="20"/>
      <w:lang w:val="ru-RU" w:eastAsia="ru-RU" w:bidi="ar-SA"/>
    </w:rPr>
  </w:style>
  <w:style w:type="paragraph" w:styleId="Normal1">
    <w:name w:val="[Normal]"/>
    <w:qFormat/>
    <w:pPr>
      <w:widowControl/>
      <w:bidi w:val="0"/>
      <w:ind w:left="0" w:right="0" w:hanging="0"/>
      <w:jc w:val="left"/>
      <w:textAlignment w:val="auto"/>
    </w:pPr>
    <w:rPr>
      <w:rFonts w:ascii="Arial" w:hAnsi="Arial" w:eastAsia="Courier New" w:cs="Arial"/>
      <w:color w:val="auto"/>
      <w:sz w:val="24"/>
      <w:szCs w:val="24"/>
      <w:lang w:val="ru-RU" w:eastAsia="ru-RU" w:bidi="ar-SA"/>
    </w:rPr>
  </w:style>
  <w:style w:type="paragraph" w:styleId="Style17">
    <w:name w:val="Абзац списка"/>
    <w:basedOn w:val="Normal"/>
    <w:qFormat/>
    <w:pPr>
      <w:widowControl/>
      <w:spacing w:lineRule="auto" w:line="276" w:before="0" w:after="200"/>
      <w:ind w:left="720" w:right="0" w:hanging="0"/>
      <w:contextualSpacing/>
      <w:jc w:val="left"/>
      <w:textAlignment w:val="auto"/>
    </w:pPr>
    <w:rPr>
      <w:rFonts w:ascii="Calibri" w:hAnsi="Calibri" w:cs="Times New Roman"/>
      <w:sz w:val="22"/>
      <w:szCs w:val="22"/>
      <w:lang w:val="ru-RU" w:eastAsia="en-US" w:bidi="ar-SA"/>
    </w:rPr>
  </w:style>
  <w:style w:type="paragraph" w:styleId="Standard">
    <w:name w:val="Standard"/>
    <w:qFormat/>
    <w:pPr>
      <w:widowControl w:val="false"/>
      <w:suppressAutoHyphens w:val="true"/>
      <w:bidi w:val="0"/>
      <w:ind w:left="0" w:right="0" w:hanging="0"/>
      <w:jc w:val="left"/>
      <w:textAlignment w:val="baseline"/>
    </w:pPr>
    <w:rPr>
      <w:rFonts w:ascii="Times New Roman" w:hAnsi="Times New Roman" w:eastAsia="DejaVu Sans" w:cs="Times New Roman"/>
      <w:color w:val="auto"/>
      <w:sz w:val="24"/>
      <w:szCs w:val="24"/>
      <w:lang w:val="en-US" w:eastAsia="en-US" w:bidi="ar-SA"/>
    </w:rPr>
  </w:style>
  <w:style w:type="paragraph" w:styleId="3f3f3f3f3f3f3f3f3f3f3f3f3f2">
    <w:name w:val="О3fс3fн3fо3fв3fн3fо3fй3f т3fе3fк3fс3fт3f 2"/>
    <w:basedOn w:val="Normal"/>
    <w:qFormat/>
    <w:pPr>
      <w:widowControl w:val="false"/>
      <w:ind w:left="0" w:right="0" w:hanging="0"/>
      <w:jc w:val="left"/>
      <w:textAlignment w:val="auto"/>
    </w:pPr>
    <w:rPr>
      <w:rFonts w:cs="Times New Roman"/>
      <w:sz w:val="28"/>
      <w:szCs w:val="28"/>
      <w:lang w:val="ro-RO" w:eastAsia="zh-CN" w:bidi="hi-IN"/>
    </w:rPr>
  </w:style>
  <w:style w:type="paragraph" w:styleId="TOCHeading">
    <w:name w:val="TOC Heading"/>
    <w:basedOn w:val="1"/>
    <w:qFormat/>
    <w:pPr>
      <w:keepNext/>
      <w:keepLines/>
      <w:widowControl/>
      <w:spacing w:lineRule="auto" w:line="276" w:before="480" w:after="60"/>
      <w:ind w:left="0" w:right="0" w:hanging="0"/>
      <w:jc w:val="left"/>
      <w:textAlignment w:val="auto"/>
    </w:pPr>
    <w:rPr>
      <w:rFonts w:ascii="Cambria" w:hAnsi="Cambria" w:cs="Times New Roman"/>
      <w:b/>
      <w:bCs/>
      <w:color w:val="365F91"/>
      <w:sz w:val="28"/>
      <w:szCs w:val="28"/>
      <w:lang w:val="en-US" w:eastAsia="en-US" w:bidi="ar-SA"/>
    </w:rPr>
  </w:style>
  <w:style w:type="paragraph" w:styleId="11">
    <w:name w:val="TOC 1"/>
    <w:basedOn w:val="Normal"/>
    <w:autoRedefine/>
    <w:pPr>
      <w:widowControl/>
      <w:tabs>
        <w:tab w:val="right" w:pos="9799" w:leader="dot"/>
      </w:tabs>
      <w:ind w:left="0" w:right="0" w:hanging="0"/>
      <w:jc w:val="left"/>
      <w:textAlignment w:val="auto"/>
    </w:pPr>
    <w:rPr>
      <w:rFonts w:cs="Times New Roman"/>
      <w:b/>
      <w:sz w:val="24"/>
      <w:szCs w:val="24"/>
      <w:lang w:val="ru-RU" w:eastAsia="ru-RU" w:bidi="ar-SA"/>
    </w:rPr>
  </w:style>
  <w:style w:type="paragraph" w:styleId="21">
    <w:name w:val="TOC 2"/>
    <w:basedOn w:val="Normal"/>
    <w:autoRedefine/>
    <w:pPr>
      <w:widowControl/>
      <w:ind w:left="240" w:right="0" w:hanging="0"/>
      <w:jc w:val="left"/>
      <w:textAlignment w:val="auto"/>
    </w:pPr>
    <w:rPr>
      <w:rFonts w:cs="Times New Roman"/>
      <w:sz w:val="24"/>
      <w:szCs w:val="24"/>
      <w:lang w:val="ru-RU" w:eastAsia="ru-RU" w:bidi="ar-SA"/>
    </w:rPr>
  </w:style>
  <w:style w:type="paragraph" w:styleId="CharChar1">
    <w:name w:val="Char Char Знак Знак1"/>
    <w:basedOn w:val="Normal"/>
    <w:qFormat/>
    <w:pPr>
      <w:widowControl/>
      <w:spacing w:lineRule="exact" w:line="240" w:before="0" w:after="160"/>
      <w:ind w:left="0" w:right="0" w:hanging="0"/>
      <w:jc w:val="left"/>
      <w:textAlignment w:val="auto"/>
    </w:pPr>
    <w:rPr>
      <w:rFonts w:ascii="Arial" w:hAnsi="Arial" w:eastAsia="Batang" w:cs="Arial"/>
      <w:sz w:val="20"/>
      <w:szCs w:val="20"/>
      <w:lang w:val="en-US" w:eastAsia="en-US" w:bidi="ar-SA"/>
    </w:rPr>
  </w:style>
  <w:style w:type="paragraph" w:styleId="Style18">
    <w:name w:val="Содержимое таблицы"/>
    <w:basedOn w:val="Normal"/>
    <w:qFormat/>
    <w:pPr>
      <w:widowControl/>
      <w:suppressAutoHyphens w:val="true"/>
      <w:ind w:left="0" w:right="0" w:hanging="0"/>
      <w:jc w:val="left"/>
      <w:textAlignment w:val="auto"/>
    </w:pPr>
    <w:rPr>
      <w:rFonts w:cs="Times New Roman"/>
      <w:sz w:val="24"/>
      <w:szCs w:val="24"/>
      <w:lang w:val="ru-RU" w:eastAsia="ar-SA" w:bidi="ar-SA"/>
    </w:rPr>
  </w:style>
  <w:style w:type="paragraph" w:styleId="Style19">
    <w:name w:val="Subtitle"/>
    <w:basedOn w:val="Normal"/>
    <w:qFormat/>
    <w:pPr>
      <w:keepNext/>
      <w:widowControl/>
      <w:suppressAutoHyphens w:val="true"/>
      <w:spacing w:before="240" w:after="120"/>
      <w:ind w:left="0" w:right="0" w:hanging="0"/>
      <w:jc w:val="center"/>
      <w:textAlignment w:val="auto"/>
    </w:pPr>
    <w:rPr>
      <w:rFonts w:ascii="Arial" w:hAnsi="Arial" w:cs="Mangal"/>
      <w:i/>
      <w:iCs/>
      <w:sz w:val="28"/>
      <w:szCs w:val="28"/>
      <w:lang w:val="ru-RU" w:eastAsia="ar-SA" w:bidi="ar-SA"/>
    </w:rPr>
  </w:style>
  <w:style w:type="paragraph" w:styleId="Style51">
    <w:name w:val="Style5"/>
    <w:basedOn w:val="Normal"/>
    <w:qFormat/>
    <w:pPr>
      <w:widowControl w:val="false"/>
      <w:suppressAutoHyphens w:val="true"/>
      <w:ind w:left="0" w:right="0" w:hanging="0"/>
      <w:jc w:val="left"/>
      <w:textAlignment w:val="auto"/>
    </w:pPr>
    <w:rPr>
      <w:rFonts w:ascii="Franklin Gothic Medium" w:hAnsi="Franklin Gothic Medium" w:eastAsia="SimSun" w:cs="Franklin Gothic Medium"/>
      <w:sz w:val="24"/>
      <w:szCs w:val="24"/>
      <w:lang w:val="ru-RU" w:eastAsia="ar-SA" w:bidi="ar-SA"/>
    </w:rPr>
  </w:style>
  <w:style w:type="paragraph" w:styleId="Style20">
    <w:name w:val="Title"/>
    <w:basedOn w:val="Normal"/>
    <w:qFormat/>
    <w:pPr>
      <w:widowControl/>
      <w:suppressAutoHyphens w:val="true"/>
      <w:ind w:left="0" w:right="0" w:hanging="0"/>
      <w:jc w:val="center"/>
      <w:textAlignment w:val="auto"/>
    </w:pPr>
    <w:rPr>
      <w:rFonts w:cs="Calibri"/>
      <w:sz w:val="48"/>
      <w:szCs w:val="48"/>
      <w:lang w:val="en-US" w:eastAsia="ar-SA" w:bidi="ar-SA"/>
    </w:rPr>
  </w:style>
  <w:style w:type="paragraph" w:styleId="HTMLPreformatted">
    <w:name w:val="HTML Preformatted"/>
    <w:basedOn w:val="Normal"/>
    <w:qFormat/>
    <w:pPr>
      <w:widowControl/>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ind w:left="0" w:right="0" w:hanging="0"/>
      <w:jc w:val="left"/>
      <w:textAlignment w:val="auto"/>
    </w:pPr>
    <w:rPr>
      <w:rFonts w:ascii="Courier New" w:hAnsi="Courier New" w:cs="Courier New"/>
      <w:color w:val="000000"/>
      <w:sz w:val="20"/>
      <w:szCs w:val="20"/>
      <w:lang w:val="ru-RU" w:eastAsia="ru-RU" w:bidi="ar-SA"/>
    </w:rPr>
  </w:style>
  <w:style w:type="paragraph" w:styleId="31">
    <w:name w:val="TOC 3"/>
    <w:basedOn w:val="Normal"/>
    <w:autoRedefine/>
    <w:pPr>
      <w:widowControl/>
      <w:ind w:left="480" w:right="0" w:hanging="0"/>
      <w:jc w:val="left"/>
      <w:textAlignment w:val="auto"/>
    </w:pPr>
    <w:rPr>
      <w:rFonts w:ascii="Calibri" w:hAnsi="Calibri" w:cs="Times New Roman"/>
      <w:sz w:val="20"/>
      <w:szCs w:val="20"/>
      <w:lang w:val="ru-RU" w:eastAsia="ru-RU" w:bidi="ar-SA"/>
    </w:rPr>
  </w:style>
  <w:style w:type="paragraph" w:styleId="41">
    <w:name w:val="TOC 4"/>
    <w:basedOn w:val="Normal"/>
    <w:autoRedefine/>
    <w:pPr>
      <w:widowControl/>
      <w:ind w:left="720" w:right="0" w:hanging="0"/>
      <w:jc w:val="left"/>
      <w:textAlignment w:val="auto"/>
    </w:pPr>
    <w:rPr>
      <w:rFonts w:ascii="Calibri" w:hAnsi="Calibri" w:cs="Times New Roman"/>
      <w:sz w:val="20"/>
      <w:szCs w:val="20"/>
      <w:lang w:val="ru-RU" w:eastAsia="ru-RU" w:bidi="ar-SA"/>
    </w:rPr>
  </w:style>
  <w:style w:type="paragraph" w:styleId="51">
    <w:name w:val="TOC 5"/>
    <w:basedOn w:val="Normal"/>
    <w:autoRedefine/>
    <w:pPr>
      <w:widowControl/>
      <w:ind w:left="960" w:right="0" w:hanging="0"/>
      <w:jc w:val="left"/>
      <w:textAlignment w:val="auto"/>
    </w:pPr>
    <w:rPr>
      <w:rFonts w:ascii="Calibri" w:hAnsi="Calibri" w:cs="Times New Roman"/>
      <w:sz w:val="20"/>
      <w:szCs w:val="20"/>
      <w:lang w:val="ru-RU" w:eastAsia="ru-RU" w:bidi="ar-SA"/>
    </w:rPr>
  </w:style>
  <w:style w:type="paragraph" w:styleId="61">
    <w:name w:val="TOC 6"/>
    <w:basedOn w:val="Normal"/>
    <w:autoRedefine/>
    <w:pPr>
      <w:widowControl/>
      <w:ind w:left="1200" w:right="0" w:hanging="0"/>
      <w:jc w:val="left"/>
      <w:textAlignment w:val="auto"/>
    </w:pPr>
    <w:rPr>
      <w:rFonts w:ascii="Calibri" w:hAnsi="Calibri" w:cs="Times New Roman"/>
      <w:sz w:val="20"/>
      <w:szCs w:val="20"/>
      <w:lang w:val="ru-RU" w:eastAsia="ru-RU" w:bidi="ar-SA"/>
    </w:rPr>
  </w:style>
  <w:style w:type="paragraph" w:styleId="71">
    <w:name w:val="TOC 7"/>
    <w:basedOn w:val="Normal"/>
    <w:autoRedefine/>
    <w:pPr>
      <w:widowControl/>
      <w:ind w:left="1440" w:right="0" w:hanging="0"/>
      <w:jc w:val="left"/>
      <w:textAlignment w:val="auto"/>
    </w:pPr>
    <w:rPr>
      <w:rFonts w:ascii="Calibri" w:hAnsi="Calibri" w:cs="Times New Roman"/>
      <w:sz w:val="20"/>
      <w:szCs w:val="20"/>
      <w:lang w:val="ru-RU" w:eastAsia="ru-RU" w:bidi="ar-SA"/>
    </w:rPr>
  </w:style>
  <w:style w:type="paragraph" w:styleId="81">
    <w:name w:val="TOC 8"/>
    <w:basedOn w:val="Normal"/>
    <w:autoRedefine/>
    <w:pPr>
      <w:widowControl/>
      <w:ind w:left="1680" w:right="0" w:hanging="0"/>
      <w:jc w:val="left"/>
      <w:textAlignment w:val="auto"/>
    </w:pPr>
    <w:rPr>
      <w:rFonts w:ascii="Calibri" w:hAnsi="Calibri" w:cs="Times New Roman"/>
      <w:sz w:val="20"/>
      <w:szCs w:val="20"/>
      <w:lang w:val="ru-RU" w:eastAsia="ru-RU" w:bidi="ar-SA"/>
    </w:rPr>
  </w:style>
  <w:style w:type="paragraph" w:styleId="91">
    <w:name w:val="TOC 9"/>
    <w:basedOn w:val="Normal"/>
    <w:autoRedefine/>
    <w:pPr>
      <w:widowControl/>
      <w:ind w:left="1920" w:right="0" w:hanging="0"/>
      <w:jc w:val="left"/>
      <w:textAlignment w:val="auto"/>
    </w:pPr>
    <w:rPr>
      <w:rFonts w:ascii="Calibri" w:hAnsi="Calibri" w:cs="Times New Roman"/>
      <w:sz w:val="20"/>
      <w:szCs w:val="20"/>
      <w:lang w:val="ru-RU" w:eastAsia="ru-RU" w:bidi="ar-SA"/>
    </w:rPr>
  </w:style>
  <w:style w:type="paragraph" w:styleId="Caption">
    <w:name w:val="caption"/>
    <w:basedOn w:val="Normal"/>
    <w:qFormat/>
    <w:pPr>
      <w:widowControl/>
      <w:suppressAutoHyphens w:val="true"/>
      <w:spacing w:lineRule="auto" w:line="276" w:before="120" w:after="120"/>
      <w:ind w:left="0" w:right="0" w:hanging="0"/>
      <w:jc w:val="left"/>
      <w:textAlignment w:val="auto"/>
    </w:pPr>
    <w:rPr>
      <w:rFonts w:ascii="Calibri" w:hAnsi="Calibri" w:cs="Times New Roman"/>
      <w:i/>
      <w:iCs/>
      <w:sz w:val="22"/>
      <w:szCs w:val="22"/>
      <w:lang w:val="en-US" w:eastAsia="ar-SA" w:bidi="ar-SA"/>
    </w:rPr>
  </w:style>
  <w:style w:type="paragraph" w:styleId="NoSpacing">
    <w:name w:val="No Spacing"/>
    <w:basedOn w:val="Normal"/>
    <w:qFormat/>
    <w:pPr>
      <w:widowControl/>
      <w:ind w:left="0" w:right="0" w:hanging="0"/>
      <w:jc w:val="left"/>
      <w:textAlignment w:val="auto"/>
    </w:pPr>
    <w:rPr>
      <w:rFonts w:ascii="Calibri" w:hAnsi="Calibri" w:cs="Times New Roman"/>
      <w:sz w:val="22"/>
      <w:szCs w:val="22"/>
      <w:lang w:val="en-US" w:eastAsia="en-US" w:bidi="ar-SA"/>
    </w:rPr>
  </w:style>
  <w:style w:type="paragraph" w:styleId="Quote">
    <w:name w:val="Quote"/>
    <w:basedOn w:val="Normal"/>
    <w:qFormat/>
    <w:pPr>
      <w:widowControl/>
      <w:spacing w:lineRule="auto" w:line="276" w:before="200" w:after="0"/>
      <w:ind w:left="360" w:right="360" w:hanging="0"/>
      <w:jc w:val="left"/>
      <w:textAlignment w:val="auto"/>
    </w:pPr>
    <w:rPr>
      <w:rFonts w:ascii="Calibri" w:hAnsi="Calibri" w:cs="Times New Roman"/>
      <w:i/>
      <w:iCs/>
      <w:sz w:val="22"/>
      <w:szCs w:val="22"/>
      <w:lang w:val="en-US" w:eastAsia="en-US" w:bidi="ar-SA"/>
    </w:rPr>
  </w:style>
  <w:style w:type="paragraph" w:styleId="IntenseQuote">
    <w:name w:val="Intense Quote"/>
    <w:basedOn w:val="Normal"/>
    <w:qFormat/>
    <w:pPr>
      <w:widowControl/>
      <w:pBdr>
        <w:bottom w:val="single" w:sz="4" w:space="1" w:color="000001"/>
      </w:pBdr>
      <w:spacing w:lineRule="auto" w:line="276" w:before="200" w:after="280"/>
      <w:ind w:left="1008" w:right="1152" w:hanging="0"/>
      <w:jc w:val="both"/>
      <w:textAlignment w:val="auto"/>
    </w:pPr>
    <w:rPr>
      <w:rFonts w:ascii="Calibri" w:hAnsi="Calibri" w:cs="Times New Roman"/>
      <w:b/>
      <w:bCs/>
      <w:i/>
      <w:iCs/>
      <w:sz w:val="22"/>
      <w:szCs w:val="22"/>
      <w:lang w:val="en-US" w:eastAsia="en-US" w:bidi="ar-SA"/>
    </w:rPr>
  </w:style>
  <w:style w:type="paragraph" w:styleId="Default">
    <w:name w:val="Default"/>
    <w:qFormat/>
    <w:pPr>
      <w:widowControl/>
      <w:bidi w:val="0"/>
      <w:ind w:left="0" w:right="0" w:hanging="0"/>
      <w:jc w:val="left"/>
      <w:textAlignment w:val="auto"/>
    </w:pPr>
    <w:rPr>
      <w:rFonts w:ascii="Times New Roman" w:hAnsi="Times New Roman" w:eastAsia="Courier New" w:cs="Times New Roman"/>
      <w:color w:val="000000"/>
      <w:sz w:val="24"/>
      <w:szCs w:val="24"/>
      <w:lang w:val="en-US" w:eastAsia="en-US" w:bidi="ar-SA"/>
    </w:rPr>
  </w:style>
  <w:style w:type="paragraph" w:styleId="MSSARText">
    <w:name w:val="MSS_AR_Text"/>
    <w:basedOn w:val="Normal"/>
    <w:qFormat/>
    <w:pPr>
      <w:widowControl/>
      <w:spacing w:lineRule="auto" w:line="360"/>
      <w:ind w:left="0" w:right="0" w:firstLine="397"/>
      <w:jc w:val="both"/>
      <w:textAlignment w:val="auto"/>
    </w:pPr>
    <w:rPr>
      <w:rFonts w:ascii="Times New Roman" w:hAnsi="Times New Roman" w:eastAsia="MS Mincho" w:cs="Times New Roman"/>
      <w:sz w:val="24"/>
      <w:szCs w:val="24"/>
      <w:lang w:val="en-US" w:eastAsia="ja-JP" w:bidi="ar-SA"/>
    </w:rPr>
  </w:style>
  <w:style w:type="paragraph" w:styleId="Titlu11">
    <w:name w:val="Titlu 1_1"/>
    <w:basedOn w:val="Normal"/>
    <w:qFormat/>
    <w:pPr>
      <w:widowControl/>
      <w:suppressAutoHyphens w:val="true"/>
      <w:ind w:left="0" w:right="0" w:hanging="0"/>
      <w:jc w:val="left"/>
      <w:textAlignment w:val="auto"/>
    </w:pPr>
    <w:rPr>
      <w:rFonts w:cs="Times New Roman"/>
      <w:b/>
      <w:bCs/>
      <w:sz w:val="24"/>
      <w:szCs w:val="20"/>
      <w:lang w:val="ro-RO" w:eastAsia="ar-SA" w:bidi="ar-SA"/>
    </w:rPr>
  </w:style>
  <w:style w:type="paragraph" w:styleId="Style21">
    <w:name w:val="Текст в заданном формате"/>
    <w:basedOn w:val="Normal"/>
    <w:qFormat/>
    <w:pPr>
      <w:widowControl w:val="false"/>
      <w:suppressAutoHyphens w:val="true"/>
      <w:ind w:left="0" w:right="0" w:hanging="0"/>
      <w:jc w:val="left"/>
      <w:textAlignment w:val="auto"/>
    </w:pPr>
    <w:rPr>
      <w:rFonts w:ascii="Andale Mono" w:hAnsi="Andale Mono" w:eastAsia="Droid Sans Fallback" w:cs="Andale Mono"/>
      <w:sz w:val="20"/>
      <w:szCs w:val="20"/>
      <w:lang w:val="en-US" w:eastAsia="hi-IN" w:bidi="hi-IN"/>
    </w:rPr>
  </w:style>
  <w:style w:type="paragraph" w:styleId="HTML">
    <w:name w:val="Стандартный HTML"/>
    <w:basedOn w:val="Normal"/>
    <w:qFormat/>
    <w:pPr>
      <w:widowControl w:val="fals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ind w:left="0" w:right="0" w:hanging="0"/>
      <w:jc w:val="left"/>
      <w:textAlignment w:val="auto"/>
    </w:pPr>
    <w:rPr>
      <w:rFonts w:ascii="Courier New" w:hAnsi="Courier New" w:eastAsia="Droid Sans Fallback" w:cs="Courier New"/>
      <w:sz w:val="20"/>
      <w:szCs w:val="24"/>
      <w:lang w:val="ru-RU" w:eastAsia="zh-CN" w:bidi="hi-IN"/>
    </w:rPr>
  </w:style>
  <w:style w:type="paragraph" w:styleId="Summary">
    <w:name w:val="summary"/>
    <w:basedOn w:val="Normal"/>
    <w:qFormat/>
    <w:pPr>
      <w:widowControl/>
      <w:spacing w:lineRule="atLeast" w:line="270" w:before="0" w:after="135"/>
      <w:ind w:left="0" w:right="0" w:hanging="0"/>
      <w:jc w:val="left"/>
      <w:textAlignment w:val="auto"/>
    </w:pPr>
    <w:rPr>
      <w:rFonts w:ascii="Helvetica" w:hAnsi="Helvetica" w:cs="Times New Roman"/>
      <w:sz w:val="23"/>
      <w:szCs w:val="23"/>
      <w:lang w:val="en-US" w:eastAsia="en-US" w:bidi="ar-SA"/>
    </w:rPr>
  </w:style>
  <w:style w:type="paragraph" w:styleId="Style91">
    <w:name w:val="style9"/>
    <w:basedOn w:val="Normal"/>
    <w:qFormat/>
    <w:pPr>
      <w:widowControl/>
      <w:spacing w:beforeAutospacing="1" w:afterAutospacing="1"/>
      <w:ind w:left="0" w:right="0" w:hanging="0"/>
      <w:jc w:val="left"/>
      <w:textAlignment w:val="auto"/>
    </w:pPr>
    <w:rPr>
      <w:rFonts w:cs="Times New Roman"/>
      <w:sz w:val="24"/>
      <w:szCs w:val="24"/>
      <w:lang w:val="ro-RO" w:eastAsia="ro-RO" w:bidi="ar-SA"/>
    </w:rPr>
  </w:style>
  <w:style w:type="paragraph" w:styleId="Style22">
    <w:name w:val="Текст"/>
    <w:basedOn w:val="Normal"/>
    <w:qFormat/>
    <w:pPr>
      <w:widowControl/>
      <w:suppressAutoHyphens w:val="true"/>
      <w:spacing w:lineRule="atLeast" w:line="100"/>
      <w:ind w:left="0" w:right="0" w:hanging="0"/>
      <w:jc w:val="left"/>
      <w:textAlignment w:val="auto"/>
    </w:pPr>
    <w:rPr>
      <w:rFonts w:cs="Times New Roman"/>
      <w:b/>
      <w:bCs/>
      <w:sz w:val="22"/>
      <w:szCs w:val="20"/>
      <w:lang w:val="ro-RO" w:eastAsia="ar-SA" w:bidi="ar-SA"/>
    </w:rPr>
  </w:style>
  <w:style w:type="paragraph" w:styleId="HTML1">
    <w:name w:val="Стандартный HTML1"/>
    <w:basedOn w:val="Normal"/>
    <w:qFormat/>
    <w:pPr>
      <w:widowControl w:val="false"/>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ind w:left="0" w:right="0" w:hanging="0"/>
      <w:jc w:val="left"/>
      <w:textAlignment w:val="auto"/>
    </w:pPr>
    <w:rPr>
      <w:rFonts w:ascii="Courier New" w:hAnsi="Courier New" w:eastAsia="Droid Sans Fallback" w:cs="Courier New"/>
      <w:sz w:val="20"/>
      <w:szCs w:val="24"/>
      <w:lang w:val="ru-RU" w:eastAsia="zh-CN" w:bidi="hi-IN"/>
    </w:rPr>
  </w:style>
  <w:style w:type="paragraph" w:styleId="Affiliation">
    <w:name w:val="affiliation"/>
    <w:basedOn w:val="Normal"/>
    <w:qFormat/>
    <w:pPr>
      <w:widowControl/>
      <w:suppressAutoHyphens w:val="true"/>
      <w:spacing w:lineRule="atLeast" w:line="200" w:before="120" w:after="0"/>
      <w:ind w:left="238" w:right="0" w:hanging="0"/>
      <w:jc w:val="left"/>
      <w:textAlignment w:val="baseline"/>
    </w:pPr>
    <w:rPr>
      <w:rFonts w:ascii="Times" w:hAnsi="Times" w:cs="Times New Roman"/>
      <w:sz w:val="17"/>
      <w:szCs w:val="20"/>
      <w:lang w:eastAsia="de-DE" w:bidi="ar-SA"/>
    </w:rPr>
  </w:style>
  <w:style w:type="paragraph" w:styleId="Western">
    <w:name w:val="western"/>
    <w:basedOn w:val="Normal"/>
    <w:qFormat/>
    <w:pPr>
      <w:widowControl/>
      <w:spacing w:beforeAutospacing="1" w:after="119"/>
      <w:ind w:left="0" w:right="0" w:hanging="0"/>
      <w:jc w:val="left"/>
      <w:textAlignment w:val="auto"/>
    </w:pPr>
    <w:rPr>
      <w:rFonts w:cs="Times New Roman"/>
      <w:color w:val="000000"/>
      <w:sz w:val="24"/>
      <w:szCs w:val="24"/>
      <w:lang w:val="ru-RU" w:eastAsia="ru-RU" w:bidi="ar-SA"/>
    </w:rPr>
  </w:style>
  <w:style w:type="paragraph" w:styleId="Aacaonienea">
    <w:name w:val="Aacao nienea"/>
    <w:basedOn w:val="Normal"/>
    <w:qFormat/>
    <w:pPr>
      <w:widowControl/>
      <w:spacing w:lineRule="auto" w:line="276" w:before="0" w:after="200"/>
      <w:ind w:left="720" w:right="0" w:hanging="0"/>
      <w:contextualSpacing/>
      <w:jc w:val="left"/>
      <w:textAlignment w:val="auto"/>
    </w:pPr>
    <w:rPr>
      <w:rFonts w:ascii="Calibri" w:hAnsi="Calibri" w:cs="Times New Roman"/>
      <w:sz w:val="22"/>
      <w:szCs w:val="22"/>
      <w:lang w:val="ru-RU" w:eastAsia="en-US" w:bidi="ar-SA"/>
    </w:rPr>
  </w:style>
  <w:style w:type="paragraph" w:styleId="Formular">
    <w:name w:val="Formular"/>
    <w:basedOn w:val="Normal"/>
    <w:qFormat/>
    <w:pPr>
      <w:widowControl/>
      <w:ind w:left="0" w:right="0" w:hanging="0"/>
      <w:jc w:val="center"/>
      <w:textAlignment w:val="auto"/>
    </w:pPr>
    <w:rPr>
      <w:rFonts w:cs="Times New Roman"/>
      <w:b/>
      <w:bCs/>
      <w:sz w:val="22"/>
      <w:szCs w:val="22"/>
      <w:lang w:val="ro-RO" w:eastAsia="ru-RU" w:bidi="ar-SA"/>
    </w:rPr>
  </w:style>
  <w:style w:type="paragraph" w:styleId="BodyText2">
    <w:name w:val="Body Text 2"/>
    <w:basedOn w:val="Normal"/>
    <w:qFormat/>
    <w:pPr>
      <w:widowControl/>
      <w:spacing w:lineRule="auto" w:line="480" w:before="0" w:after="120"/>
      <w:ind w:left="0" w:right="0" w:hanging="0"/>
      <w:jc w:val="left"/>
      <w:textAlignment w:val="auto"/>
    </w:pPr>
    <w:rPr>
      <w:rFonts w:cs="Times New Roman"/>
      <w:sz w:val="24"/>
      <w:szCs w:val="24"/>
      <w:lang w:val="ru-RU" w:eastAsia="ru-RU" w:bidi="ar-SA"/>
    </w:rPr>
  </w:style>
  <w:style w:type="paragraph" w:styleId="Main">
    <w:name w:val="!main"/>
    <w:basedOn w:val="Normal"/>
    <w:qFormat/>
    <w:pPr>
      <w:widowControl w:val="false"/>
      <w:suppressAutoHyphens w:val="true"/>
      <w:ind w:left="0" w:right="0" w:hanging="0"/>
      <w:jc w:val="left"/>
      <w:textAlignment w:val="auto"/>
    </w:pPr>
    <w:rPr>
      <w:rFonts w:ascii="Liberation Serif" w:hAnsi="Liberation Serif" w:eastAsia="Droid Sans Fallback" w:cs="Liberation Serif"/>
      <w:sz w:val="24"/>
      <w:szCs w:val="24"/>
      <w:lang w:val="en-US" w:eastAsia="zh-CN" w:bidi="hi-IN"/>
    </w:rPr>
  </w:style>
  <w:style w:type="paragraph" w:styleId="Para">
    <w:name w:val="para"/>
    <w:basedOn w:val="Normal"/>
    <w:qFormat/>
    <w:pPr>
      <w:widowControl/>
      <w:spacing w:beforeAutospacing="1" w:afterAutospacing="1"/>
      <w:ind w:left="0" w:right="0" w:hanging="0"/>
      <w:jc w:val="left"/>
      <w:textAlignment w:val="auto"/>
    </w:pPr>
    <w:rPr>
      <w:rFonts w:cs="Times New Roman"/>
      <w:sz w:val="24"/>
      <w:szCs w:val="24"/>
      <w:lang w:val="ro-RO" w:eastAsia="ro-RO" w:bidi="ar-SA"/>
    </w:rPr>
  </w:style>
  <w:style w:type="paragraph" w:styleId="12">
    <w:name w:val="Абзац списка1"/>
    <w:basedOn w:val="Normal"/>
    <w:qFormat/>
    <w:pPr>
      <w:widowControl/>
      <w:spacing w:lineRule="auto" w:line="276" w:before="0" w:after="200"/>
      <w:ind w:left="720" w:right="0" w:hanging="0"/>
      <w:contextualSpacing/>
      <w:jc w:val="both"/>
      <w:textAlignment w:val="auto"/>
    </w:pPr>
    <w:rPr>
      <w:rFonts w:ascii="Calibri" w:hAnsi="Calibri" w:cs="Times New Roman"/>
      <w:sz w:val="22"/>
      <w:szCs w:val="22"/>
      <w:lang w:val="ru-RU" w:eastAsia="en-US" w:bidi="ar-SA"/>
    </w:rPr>
  </w:style>
  <w:style w:type="paragraph" w:styleId="Tex">
    <w:name w:val="Tex"/>
    <w:basedOn w:val="Normal"/>
    <w:qFormat/>
    <w:pPr>
      <w:widowControl/>
      <w:suppressAutoHyphens w:val="true"/>
      <w:ind w:left="0" w:right="0" w:hanging="0"/>
      <w:jc w:val="left"/>
      <w:textAlignment w:val="auto"/>
    </w:pPr>
    <w:rPr>
      <w:rFonts w:cs="Times New Roman"/>
      <w:b/>
      <w:bCs/>
      <w:sz w:val="22"/>
      <w:szCs w:val="20"/>
      <w:lang w:val="ro-RO" w:eastAsia="zh-CN" w:bidi="ar-SA"/>
    </w:rPr>
  </w:style>
  <w:style w:type="paragraph" w:styleId="ListParagraph1">
    <w:name w:val="List Paragraph1"/>
    <w:basedOn w:val="Normal"/>
    <w:qFormat/>
    <w:pPr>
      <w:widowControl/>
      <w:spacing w:before="0" w:after="0"/>
      <w:ind w:left="720" w:right="0" w:hanging="0"/>
      <w:contextualSpacing/>
      <w:jc w:val="left"/>
      <w:textAlignment w:val="auto"/>
    </w:pPr>
    <w:rPr>
      <w:rFonts w:cs="Times New Roman"/>
      <w:sz w:val="24"/>
      <w:szCs w:val="24"/>
      <w:lang w:val="ru-RU" w:eastAsia="ru-RU" w:bidi="ar-SA"/>
    </w:rPr>
  </w:style>
  <w:style w:type="paragraph" w:styleId="M3631457141119765027gmailmsolistparagraph">
    <w:name w:val="m_3631457141119765027gmail-msolistparagraph"/>
    <w:basedOn w:val="Normal"/>
    <w:qFormat/>
    <w:pPr>
      <w:widowControl/>
      <w:spacing w:beforeAutospacing="1" w:afterAutospacing="1"/>
      <w:ind w:left="0" w:right="0" w:hanging="0"/>
      <w:jc w:val="left"/>
      <w:textAlignment w:val="auto"/>
    </w:pPr>
    <w:rPr>
      <w:rFonts w:cs="Times New Roman"/>
      <w:sz w:val="24"/>
      <w:szCs w:val="24"/>
      <w:lang w:val="en-US" w:eastAsia="en-US" w:bidi="ar-SA"/>
    </w:rPr>
  </w:style>
  <w:style w:type="paragraph" w:styleId="Style23">
    <w:name w:val="Содержимое врезки"/>
    <w:basedOn w:val="Normal"/>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hyperlink" Target="http://www.math.md/people/differential-equations/" TargetMode="External"/><Relationship Id="rId5" Type="http://schemas.openxmlformats.org/officeDocument/2006/relationships/image" Target="media/image2.wmf"/><Relationship Id="rId6" Type="http://schemas.openxmlformats.org/officeDocument/2006/relationships/image" Target="media/image3.wmf"/><Relationship Id="rId7" Type="http://schemas.openxmlformats.org/officeDocument/2006/relationships/hyperlink" Target="http://www.jetpletters.ac.ru/" TargetMode="External"/><Relationship Id="rId8" Type="http://schemas.openxmlformats.org/officeDocument/2006/relationships/hyperlink" Target="http://www.jetpletters.ac.ru/cgi-bin/front/gf/en" TargetMode="External"/><Relationship Id="rId9" Type="http://schemas.openxmlformats.org/officeDocument/2006/relationships/hyperlink" Target="http://edu.asm.md/en/noutate/international-scientific-conference-phd-students-iv-edition" TargetMode="External"/><Relationship Id="rId10" Type="http://schemas.openxmlformats.org/officeDocument/2006/relationships/hyperlink" Target="http://www.cmap.polytechnique.fr/~novikov/miptip16/index.htm" TargetMode="External"/><Relationship Id="rId11" Type="http://schemas.openxmlformats.org/officeDocument/2006/relationships/hyperlink" Target="http://www.math.md/people/arnautov-vladimir/" TargetMode="External"/><Relationship Id="rId12" Type="http://schemas.openxmlformats.org/officeDocument/2006/relationships/hyperlink" Target="http://www.math.md/publications/basm/issues/y2016-n2/12230/" TargetMode="External"/><Relationship Id="rId13" Type="http://schemas.openxmlformats.org/officeDocument/2006/relationships/hyperlink" Target="http://www.math.md/publications/basm/issues/y2016-n2/12234/" TargetMode="External"/><Relationship Id="rId14" Type="http://schemas.openxmlformats.org/officeDocument/2006/relationships/hyperlink" Target="file:///C:\\Users\\Jenia\\Desktop\\Energetika Moldovi Conf 2016\\PDF\\A-92.pdf" TargetMode="External"/><Relationship Id="rId15" Type="http://schemas.openxmlformats.org/officeDocument/2006/relationships/hyperlink" Target="http://www.tandfonline.com/doi/full/10.1080/01495739.2016.1237266" TargetMode="External"/><Relationship Id="rId16" Type="http://schemas.openxmlformats.org/officeDocument/2006/relationships/hyperlink" Target="http://link.springer.com/journal/11497" TargetMode="External"/><Relationship Id="rId17" Type="http://schemas.openxmlformats.org/officeDocument/2006/relationships/hyperlink" Target="http://link.springer.com/journal/11497/13/5/page/1" TargetMode="External"/><Relationship Id="rId18" Type="http://schemas.openxmlformats.org/officeDocument/2006/relationships/hyperlink" Target="http://parallel.bas.bg/Conferences/SciCom11.html" TargetMode="External"/><Relationship Id="rId19" Type="http://schemas.openxmlformats.org/officeDocument/2006/relationships/hyperlink" Target="http://parallel.bas.bg/Conferences/SciCom11.html" TargetMode="External"/><Relationship Id="rId20" Type="http://schemas.openxmlformats.org/officeDocument/2006/relationships/hyperlink" Target="http://dblp.uni-trier.de/db/journals/fuin/index.html" TargetMode="External"/><Relationship Id="rId21" Type="http://schemas.openxmlformats.org/officeDocument/2006/relationships/hyperlink" Target="http://www.sciencedirect.com/science/article/pii/S0304397515011263" TargetMode="External"/><Relationship Id="rId22" Type="http://schemas.openxmlformats.org/officeDocument/2006/relationships/hyperlink" Target="http://link.springer.com/journal/11497/13/5/page/2" TargetMode="External"/><Relationship Id="rId23" Type="http://schemas.openxmlformats.org/officeDocument/2006/relationships/hyperlink" Target="http://dblp.uni-trier.de/pers/hd/s/Staiger:Ludwig" TargetMode="External"/><Relationship Id="rId24" Type="http://schemas.openxmlformats.org/officeDocument/2006/relationships/hyperlink" Target="http://dblp.uni-trier.de/db/journals/ijuc/index.html" TargetMode="External"/><Relationship Id="rId25" Type="http://schemas.openxmlformats.org/officeDocument/2006/relationships/hyperlink" Target="http://dblp.uni-trier.de/db/journals/lncs.html" TargetMode="External"/><Relationship Id="rId26" Type="http://schemas.openxmlformats.org/officeDocument/2006/relationships/hyperlink" Target="http://www.etks.opu.ua/?fetch=articles&amp;with=info&amp;id=839" TargetMode="External"/><Relationship Id="rId27" Type="http://schemas.openxmlformats.org/officeDocument/2006/relationships/hyperlink" Target="http://www.gcn.us.es/files/14bwmc/001_bwmc2016RbyP.pdf" TargetMode="External"/><Relationship Id="rId28" Type="http://schemas.openxmlformats.org/officeDocument/2006/relationships/hyperlink" Target="http://bradscholars.brad.ac.uk/" TargetMode="External"/><Relationship Id="rId29" Type="http://schemas.openxmlformats.org/officeDocument/2006/relationships/hyperlink" Target="http://consilr.info.uaic.ro/2016/ConsILR2016Program.pdf" TargetMode="External"/><Relationship Id="rId30" Type="http://schemas.openxmlformats.org/officeDocument/2006/relationships/hyperlink" Target="http://consilr.info.uaic.ro/2015/Consilr_2015.pdf" TargetMode="External"/><Relationship Id="rId31" Type="http://schemas.openxmlformats.org/officeDocument/2006/relationships/hyperlink" Target="http://consilr.info.uaic.ro/2016/ConsILR2016Program.pdf" TargetMode="External"/><Relationship Id="rId32" Type="http://schemas.openxmlformats.org/officeDocument/2006/relationships/hyperlink" Target="http://www.romai.ro/documente_poze/Conferinte/Caim16/book_abs.pdf" TargetMode="External"/><Relationship Id="rId33" Type="http://schemas.openxmlformats.org/officeDocument/2006/relationships/hyperlink" Target="http://parallel.bas.bg/Conferences/SciCom11.html" TargetMode="External"/><Relationship Id="rId34" Type="http://schemas.openxmlformats.org/officeDocument/2006/relationships/image" Target="media/image4.png"/><Relationship Id="rId35" Type="http://schemas.openxmlformats.org/officeDocument/2006/relationships/image" Target="media/image5.png"/><Relationship Id="rId36" Type="http://schemas.openxmlformats.org/officeDocument/2006/relationships/image" Target="media/image6.png"/><Relationship Id="rId37" Type="http://schemas.openxmlformats.org/officeDocument/2006/relationships/image" Target="media/image7.png"/><Relationship Id="rId38" Type="http://schemas.openxmlformats.org/officeDocument/2006/relationships/hyperlink" Target="http://www.icmc.usp.br/CMS/Arquivos/arquivos_enviados /BIBLIOTECA_158_Nota Serie Mat 420.pdf" TargetMode="External"/><Relationship Id="rId39" Type="http://schemas.openxmlformats.org/officeDocument/2006/relationships/hyperlink" Target="http://www.math.md/publications/basm/issues/y2015-n3/12121/" TargetMode="External"/><Relationship Id="rId40" Type="http://schemas.openxmlformats.org/officeDocument/2006/relationships/hyperlink" Target="http://www.math.md/publications/basm/issues/y2015-n3/12121/" TargetMode="External"/><Relationship Id="rId41" Type="http://schemas.openxmlformats.org/officeDocument/2006/relationships/hyperlink" Target="http://cecmi.usm.md/mitre/en" TargetMode="External"/><Relationship Id="rId42" Type="http://schemas.openxmlformats.org/officeDocument/2006/relationships/hyperlink" Target="http://cecmi.usm.md/mitre/en" TargetMode="External"/><Relationship Id="rId43" Type="http://schemas.openxmlformats.org/officeDocument/2006/relationships/hyperlink" Target="mailto:imam@math.md" TargetMode="External"/><Relationship Id="rId44" Type="http://schemas.openxmlformats.org/officeDocument/2006/relationships/image" Target="media/image8.jpeg"/><Relationship Id="rId45" Type="http://schemas.openxmlformats.org/officeDocument/2006/relationships/image" Target="media/image9.jpeg"/><Relationship Id="rId46" Type="http://schemas.openxmlformats.org/officeDocument/2006/relationships/image" Target="media/image10.jpeg"/><Relationship Id="rId47" Type="http://schemas.openxmlformats.org/officeDocument/2006/relationships/hyperlink" Target="mailto:imam@math.md" TargetMode="External"/><Relationship Id="rId48" Type="http://schemas.openxmlformats.org/officeDocument/2006/relationships/image" Target="media/image11.jpeg"/><Relationship Id="rId49" Type="http://schemas.openxmlformats.org/officeDocument/2006/relationships/hyperlink" Target="mailto:imam@math.md" TargetMode="External"/><Relationship Id="rId50" Type="http://schemas.openxmlformats.org/officeDocument/2006/relationships/image" Target="media/image12.jpeg"/><Relationship Id="rId51" Type="http://schemas.openxmlformats.org/officeDocument/2006/relationships/image" Target="media/image13.jpeg"/><Relationship Id="rId52" Type="http://schemas.openxmlformats.org/officeDocument/2006/relationships/image" Target="media/image14.jpeg"/><Relationship Id="rId53" Type="http://schemas.openxmlformats.org/officeDocument/2006/relationships/image" Target="media/image15.jpeg"/><Relationship Id="rId54" Type="http://schemas.openxmlformats.org/officeDocument/2006/relationships/hyperlink" Target="http://www.cartepedia.ro/editor/marian-gheorghe-26722" TargetMode="External"/><Relationship Id="rId55" Type="http://schemas.openxmlformats.org/officeDocument/2006/relationships/hyperlink" Target="http://www.cartepedia.ro/editor/ion-petre-26723" TargetMode="External"/><Relationship Id="rId56" Type="http://schemas.openxmlformats.org/officeDocument/2006/relationships/hyperlink" Target="http://www.cartepedia.ro/editor/mario-j-perez-jimenez-26724" TargetMode="External"/><Relationship Id="rId57" Type="http://schemas.openxmlformats.org/officeDocument/2006/relationships/hyperlink" Target="http://www.cartepedia.ro/editor/grzegorz-rozenberg-26725" TargetMode="External"/><Relationship Id="rId58" Type="http://schemas.openxmlformats.org/officeDocument/2006/relationships/hyperlink" Target="http://www.cartepedia.ro/editor/arto-salomaa-26726" TargetMode="External"/><Relationship Id="rId59" Type="http://schemas.openxmlformats.org/officeDocument/2006/relationships/image" Target="media/image16.jpeg"/><Relationship Id="rId60" Type="http://schemas.openxmlformats.org/officeDocument/2006/relationships/image" Target="media/image17.jpeg"/><Relationship Id="rId61" Type="http://schemas.openxmlformats.org/officeDocument/2006/relationships/image" Target="media/image18.jpeg"/><Relationship Id="rId62" Type="http://schemas.openxmlformats.org/officeDocument/2006/relationships/image" Target="media/image19.png"/><Relationship Id="rId63" Type="http://schemas.openxmlformats.org/officeDocument/2006/relationships/image" Target="media/image20.jpeg"/><Relationship Id="rId64" Type="http://schemas.openxmlformats.org/officeDocument/2006/relationships/image" Target="media/image21.jpeg"/><Relationship Id="rId65" Type="http://schemas.openxmlformats.org/officeDocument/2006/relationships/hyperlink" Target="http://www.icmc.usp.br/CMS/Arquivos/arquivos_enviados/BIBLIOTECA_158_Nota Serie Mat 420.pdf" TargetMode="External"/><Relationship Id="rId66" Type="http://schemas.openxmlformats.org/officeDocument/2006/relationships/hyperlink" Target="http://www.etks.opu.ua/?fetch=articles&amp;with=info&amp;id=839" TargetMode="External"/><Relationship Id="rId67" Type="http://schemas.openxmlformats.org/officeDocument/2006/relationships/hyperlink" Target="http://www.jetpletters.ac.ru/" TargetMode="External"/><Relationship Id="rId68" Type="http://schemas.openxmlformats.org/officeDocument/2006/relationships/hyperlink" Target="http://www.jetpletters.ac.ru/cgi-bin/front/gf/en" TargetMode="External"/><Relationship Id="rId69" Type="http://schemas.openxmlformats.org/officeDocument/2006/relationships/hyperlink" Target="http://www.tandfonline.com/doi/full/10.1080/01495739.2016.1237266" TargetMode="External"/><Relationship Id="rId70" Type="http://schemas.openxmlformats.org/officeDocument/2006/relationships/hyperlink" Target="http://dblp.uni-trier.de/db/journals/fuin/index.html" TargetMode="External"/><Relationship Id="rId71" Type="http://schemas.openxmlformats.org/officeDocument/2006/relationships/hyperlink" Target="http://www.sciencedirect.com/science/article/pii/S0304397515011263" TargetMode="External"/><Relationship Id="rId72" Type="http://schemas.openxmlformats.org/officeDocument/2006/relationships/hyperlink" Target="http://link.springer.com/journal/11497" TargetMode="External"/><Relationship Id="rId73" Type="http://schemas.openxmlformats.org/officeDocument/2006/relationships/hyperlink" Target="http://link.springer.com/journal/11497/13/5/page/1" TargetMode="External"/><Relationship Id="rId74" Type="http://schemas.openxmlformats.org/officeDocument/2006/relationships/hyperlink" Target="http://dblp.uni-trier.de/pers/hd/s/Staiger:Ludwig" TargetMode="External"/><Relationship Id="rId75" Type="http://schemas.openxmlformats.org/officeDocument/2006/relationships/hyperlink" Target="http://dblp.uni-trier.de/db/journals/ijuc/index.html" TargetMode="External"/><Relationship Id="rId76" Type="http://schemas.openxmlformats.org/officeDocument/2006/relationships/hyperlink" Target="http://dblp.uni-trier.de/db/journals/lncs.html" TargetMode="External"/><Relationship Id="rId77" Type="http://schemas.openxmlformats.org/officeDocument/2006/relationships/hyperlink" Target="http://www.math.md/people/arnautov-vladimir/" TargetMode="External"/><Relationship Id="rId78" Type="http://schemas.openxmlformats.org/officeDocument/2006/relationships/hyperlink" Target="http://www.math.md/publications/basm/issues/y2016-n2/12230/" TargetMode="External"/><Relationship Id="rId79" Type="http://schemas.openxmlformats.org/officeDocument/2006/relationships/hyperlink" Target="http://www.math.md/publications/basm/issues/y2016-n2/12234/" TargetMode="External"/><Relationship Id="rId80" Type="http://schemas.openxmlformats.org/officeDocument/2006/relationships/hyperlink" Target="http://www.math.md/publications/basm/issues/y2015-n3/12121/" TargetMode="External"/><Relationship Id="rId81" Type="http://schemas.openxmlformats.org/officeDocument/2006/relationships/hyperlink" Target="http://www.gcn.us.es/files/14bwmc/001_bwmc2016RbyP.pdf" TargetMode="External"/><Relationship Id="rId82" Type="http://schemas.openxmlformats.org/officeDocument/2006/relationships/hyperlink" Target="http://bradscholars.brad.ac.uk/" TargetMode="External"/><Relationship Id="rId83" Type="http://schemas.openxmlformats.org/officeDocument/2006/relationships/hyperlink" Target="http://consilr.info.uaic.ro/2016/ConsILR2016Program.pdf" TargetMode="External"/><Relationship Id="rId84" Type="http://schemas.openxmlformats.org/officeDocument/2006/relationships/hyperlink" Target="file:///C:\\Users\\Jenia\\Desktop\\Energetika Moldovi Conf 2016\\PDF\\A-92.pdf" TargetMode="External"/><Relationship Id="rId85" Type="http://schemas.openxmlformats.org/officeDocument/2006/relationships/hyperlink" Target="http://consilr.info.uaic.ro/2015/Consilr_2015.pdf" TargetMode="External"/><Relationship Id="rId86" Type="http://schemas.openxmlformats.org/officeDocument/2006/relationships/hyperlink" Target="http://consilr.info.uaic.ro/2016/ConsILR2016Program.pdf" TargetMode="External"/><Relationship Id="rId87" Type="http://schemas.openxmlformats.org/officeDocument/2006/relationships/hyperlink" Target="http://edu.asm.md/en/noutate/international-scientific-conference-phd-students-iv-edition" TargetMode="External"/><Relationship Id="rId88" Type="http://schemas.openxmlformats.org/officeDocument/2006/relationships/hyperlink" Target="http://www.cmap.polytechnique.fr/~novikov/miptip16/index.htm" TargetMode="External"/><Relationship Id="rId89" Type="http://schemas.openxmlformats.org/officeDocument/2006/relationships/hyperlink" Target="http://www.romai.ro/documente_poze/Conferinte/Caim16/book_abs.pdf" TargetMode="External"/><Relationship Id="rId90" Type="http://schemas.openxmlformats.org/officeDocument/2006/relationships/hyperlink" Target="http://parallel.bas.bg/Conferences/SciCom11.html" TargetMode="External"/><Relationship Id="rId91" Type="http://schemas.openxmlformats.org/officeDocument/2006/relationships/hyperlink" Target="http://parallel.bas.bg/Conferences/SciCom11.html" TargetMode="External"/><Relationship Id="rId92" Type="http://schemas.openxmlformats.org/officeDocument/2006/relationships/header" Target="header1.xml"/><Relationship Id="rId93" Type="http://schemas.openxmlformats.org/officeDocument/2006/relationships/header" Target="header2.xml"/><Relationship Id="rId94" Type="http://schemas.openxmlformats.org/officeDocument/2006/relationships/footer" Target="footer2.xml"/><Relationship Id="rId95" Type="http://schemas.openxmlformats.org/officeDocument/2006/relationships/footer" Target="footer3.xml"/><Relationship Id="rId96" Type="http://schemas.openxmlformats.org/officeDocument/2006/relationships/hyperlink" Target="mailto:alpopa@gmail.com" TargetMode="External"/><Relationship Id="rId97" Type="http://schemas.openxmlformats.org/officeDocument/2006/relationships/hyperlink" Target="http://www.ust.md/" TargetMode="External"/><Relationship Id="rId98" Type="http://schemas.openxmlformats.org/officeDocument/2006/relationships/hyperlink" Target="file:///C:\\Users\\Jenia\\Desktop\\Energetika Moldovi Conf 2016\\PDF\\A-92.pdf" TargetMode="External"/><Relationship Id="rId99" Type="http://schemas.openxmlformats.org/officeDocument/2006/relationships/hyperlink" Target="http://parallel.bas.bg/Conferences/SciCom11.html" TargetMode="External"/><Relationship Id="rId100" Type="http://schemas.openxmlformats.org/officeDocument/2006/relationships/hyperlink" Target="http://www.gcn.us.es/files/14bwmc/001_bwmc2016RbyP.pdf" TargetMode="External"/><Relationship Id="rId101" Type="http://schemas.openxmlformats.org/officeDocument/2006/relationships/hyperlink" Target="http://consilr.info.uaic.ro/2016/ConsILR2016Program.pdf" TargetMode="External"/><Relationship Id="rId102" Type="http://schemas.openxmlformats.org/officeDocument/2006/relationships/hyperlink" Target="http://consilr.info.uaic.ro/2016/ConsILR2016Program.pdf" TargetMode="External"/><Relationship Id="rId103" Type="http://schemas.openxmlformats.org/officeDocument/2006/relationships/hyperlink" Target="http://consilr.info.uaic.ro/2016/ConsILR2016Program.pdf" TargetMode="External"/><Relationship Id="rId104" Type="http://schemas.openxmlformats.org/officeDocument/2006/relationships/hyperlink" Target="http://parallel.bas.bg/Conferences/SciCom11.html" TargetMode="External"/><Relationship Id="rId105" Type="http://schemas.openxmlformats.org/officeDocument/2006/relationships/hyperlink" Target="mailto:Svetlana.Cojocaru@math.md" TargetMode="External"/><Relationship Id="rId106" Type="http://schemas.openxmlformats.org/officeDocument/2006/relationships/hyperlink" Target="http://www.math.md/" TargetMode="External"/><Relationship Id="rId107" Type="http://schemas.openxmlformats.org/officeDocument/2006/relationships/hyperlink" Target="http://science.thomsonreuters.com/cgi-bin/jrnlst/jloptions.cgi?PC=D" TargetMode="External"/><Relationship Id="rId108" Type="http://schemas.openxmlformats.org/officeDocument/2006/relationships/hyperlink" Target="http://science.thomsonreuters.com/cgi-bin/jrnlst/jloptions.cgi?PC=SS" TargetMode="External"/><Relationship Id="rId109" Type="http://schemas.openxmlformats.org/officeDocument/2006/relationships/hyperlink" Target="http://science.thomsonreuters.com/cgi-bin/jrnlst/jloptions.cgi?PC=D" TargetMode="External"/><Relationship Id="rId110" Type="http://schemas.openxmlformats.org/officeDocument/2006/relationships/hyperlink" Target="http://science.thomsonreuters.com/cgi-bin/jrnlst/jloptions.cgi?PC=SS" TargetMode="External"/><Relationship Id="rId111" Type="http://schemas.openxmlformats.org/officeDocument/2006/relationships/hyperlink" Target="mailto:nvulpe@gmail.com" TargetMode="External"/><Relationship Id="rId112" Type="http://schemas.openxmlformats.org/officeDocument/2006/relationships/hyperlink" Target="mailto:nvulpe@gmail.com" TargetMode="External"/><Relationship Id="rId113" Type="http://schemas.openxmlformats.org/officeDocument/2006/relationships/hyperlink" Target="http://science.thomsonreuters.com/cgi-bin/jrnlst/jloptions.cgi?PC=ghfD" TargetMode="External"/><Relationship Id="rId114" Type="http://schemas.openxmlformats.org/officeDocument/2006/relationships/hyperlink" Target="http://science.thomsonreuters.com/cgi-bin/jrnlst/jloptions.cgi?PC=SS" TargetMode="External"/><Relationship Id="rId115" Type="http://schemas.openxmlformats.org/officeDocument/2006/relationships/hyperlink" Target="mailto:kolesnik@math.md" TargetMode="External"/><Relationship Id="rId116" Type="http://schemas.openxmlformats.org/officeDocument/2006/relationships/hyperlink" Target="http://www.math.md/" TargetMode="External"/><Relationship Id="rId117" Type="http://schemas.openxmlformats.org/officeDocument/2006/relationships/hyperlink" Target="http://science.thomsonreuters.com/cgi-bin/jrnlst/jloptions.cgi?PC=D" TargetMode="External"/><Relationship Id="rId118" Type="http://schemas.openxmlformats.org/officeDocument/2006/relationships/hyperlink" Target="http://science.thomsonreuters.com/cgi-bin/jrnlst/jloptions.cgi?PC=SS" TargetMode="External"/><Relationship Id="rId119" Type="http://schemas.openxmlformats.org/officeDocument/2006/relationships/hyperlink" Target="http://science.thomsonreuters.com/cgi-bin/jrnlst/jloptions.cgi?PC=D" TargetMode="External"/><Relationship Id="rId120" Type="http://schemas.openxmlformats.org/officeDocument/2006/relationships/hyperlink" Target="http://science.thomsonreuters.com/cgi-bin/jrnlst/jloptions.cgi?PC=SS" TargetMode="External"/><Relationship Id="rId121" Type="http://schemas.openxmlformats.org/officeDocument/2006/relationships/hyperlink" Target="mailto:secrieru@math.md" TargetMode="External"/><Relationship Id="rId122" Type="http://schemas.openxmlformats.org/officeDocument/2006/relationships/hyperlink" Target="mailto:secrieru@math.md" TargetMode="External"/><Relationship Id="rId123" Type="http://schemas.openxmlformats.org/officeDocument/2006/relationships/hyperlink" Target="http://science.thomsonreuters.com/cgi-bin/jrnlst/jloptions.cgi?PC=D" TargetMode="External"/><Relationship Id="rId124" Type="http://schemas.openxmlformats.org/officeDocument/2006/relationships/hyperlink" Target="http://science.thomsonreuters.com/cgi-bin/jrnlst/jloptions.cgi?PC=SS" TargetMode="External"/><Relationship Id="rId125" Type="http://schemas.openxmlformats.org/officeDocument/2006/relationships/numbering" Target="numbering.xml"/><Relationship Id="rId126" Type="http://schemas.openxmlformats.org/officeDocument/2006/relationships/fontTable" Target="fontTable.xml"/><Relationship Id="rId12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0</TotalTime>
  <Application>LibreOffice/5.2.3.3$Windows_X86_64 LibreOffice_project/d54a8868f08a7b39642414cf2c8ef2f228f780cf</Application>
  <Pages>140</Pages>
  <Words>49968</Words>
  <Characters>320795</Characters>
  <CharactersWithSpaces>367462</CharactersWithSpaces>
  <Paragraphs>11078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2017-01-17T09:59:00Z</dcterms:created>
  <dc:creator>Maria</dc:creator>
  <dc:description/>
  <dc:language>ru-RU</dc:language>
  <cp:lastModifiedBy/>
  <cp:lastPrinted>2017-01-17T09:56:00Z</cp:lastPrinted>
  <dcterms:modified xsi:type="dcterms:W3CDTF">2017-01-17T09:59:00Z</dcterms:modified>
  <cp:revision>2</cp:revision>
  <dc:subject/>
  <dc:title>2 februarie</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perator">
    <vt:lpwstr> Elvira</vt:lpwstr>
  </property>
</Properties>
</file>